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1D984">
      <w:pPr>
        <w:shd w:val="clear"/>
        <w:spacing w:line="360" w:lineRule="auto"/>
        <w:rPr>
          <w:rFonts w:hint="eastAsia" w:ascii="宋体" w:hAnsi="宋体" w:cs="宋体"/>
          <w:b/>
          <w:sz w:val="32"/>
          <w:szCs w:val="32"/>
          <w:highlight w:val="none"/>
          <w:u w:val="single"/>
        </w:rPr>
      </w:pPr>
      <w:bookmarkStart w:id="0" w:name="_Toc19042"/>
    </w:p>
    <w:p w14:paraId="18A2955E">
      <w:pPr>
        <w:shd w:val="clear"/>
        <w:spacing w:line="360" w:lineRule="auto"/>
        <w:jc w:val="center"/>
        <w:rPr>
          <w:rFonts w:hint="eastAsia" w:ascii="宋体" w:hAnsi="宋体" w:cs="宋体"/>
          <w:b/>
          <w:sz w:val="44"/>
          <w:szCs w:val="44"/>
          <w:highlight w:val="none"/>
        </w:rPr>
      </w:pPr>
      <w:r>
        <w:rPr>
          <w:rFonts w:hint="eastAsia" w:ascii="宋体" w:hAnsi="宋体" w:cs="宋体"/>
          <w:b/>
          <w:sz w:val="44"/>
          <w:szCs w:val="44"/>
          <w:highlight w:val="none"/>
        </w:rPr>
        <w:t>鼎信数智技术集团股份有限公司2026-2028年职工体检服务项目</w:t>
      </w:r>
    </w:p>
    <w:p w14:paraId="3048E6A7">
      <w:pPr>
        <w:shd w:val="clear"/>
        <w:spacing w:line="360" w:lineRule="auto"/>
        <w:jc w:val="center"/>
        <w:rPr>
          <w:rFonts w:hint="eastAsia" w:ascii="宋体" w:hAnsi="宋体" w:cs="宋体"/>
          <w:bCs/>
          <w:sz w:val="28"/>
          <w:szCs w:val="28"/>
          <w:highlight w:val="none"/>
        </w:rPr>
      </w:pPr>
      <w:r>
        <w:rPr>
          <w:rFonts w:hint="eastAsia" w:ascii="宋体" w:hAnsi="宋体" w:cs="宋体"/>
          <w:bCs/>
          <w:sz w:val="28"/>
          <w:szCs w:val="28"/>
          <w:highlight w:val="none"/>
        </w:rPr>
        <w:t>（项目编号：</w:t>
      </w:r>
      <w:r>
        <w:rPr>
          <w:rFonts w:hint="eastAsia" w:ascii="宋体" w:hAnsi="宋体" w:cs="宋体"/>
          <w:bCs/>
          <w:sz w:val="28"/>
          <w:szCs w:val="28"/>
          <w:highlight w:val="none"/>
          <w:lang w:eastAsia="zh-CN"/>
        </w:rPr>
        <w:t>DXZB202610001</w:t>
      </w:r>
      <w:r>
        <w:rPr>
          <w:rFonts w:hint="eastAsia" w:ascii="宋体" w:hAnsi="宋体" w:cs="宋体"/>
          <w:bCs/>
          <w:sz w:val="28"/>
          <w:szCs w:val="28"/>
          <w:highlight w:val="none"/>
        </w:rPr>
        <w:t>）</w:t>
      </w:r>
    </w:p>
    <w:p w14:paraId="77C574A6">
      <w:pPr>
        <w:shd w:val="clear"/>
        <w:spacing w:line="360" w:lineRule="auto"/>
        <w:rPr>
          <w:rFonts w:hint="eastAsia" w:ascii="宋体" w:hAnsi="宋体" w:cs="宋体"/>
          <w:b/>
          <w:sz w:val="36"/>
          <w:szCs w:val="36"/>
          <w:highlight w:val="none"/>
        </w:rPr>
      </w:pPr>
    </w:p>
    <w:p w14:paraId="6D18F84B">
      <w:pPr>
        <w:shd w:val="clear"/>
        <w:spacing w:line="360" w:lineRule="auto"/>
        <w:rPr>
          <w:rFonts w:hint="eastAsia" w:ascii="宋体" w:hAnsi="宋体" w:cs="宋体"/>
          <w:b/>
          <w:sz w:val="48"/>
          <w:szCs w:val="48"/>
          <w:highlight w:val="none"/>
        </w:rPr>
      </w:pPr>
    </w:p>
    <w:p w14:paraId="71FA35FA">
      <w:pPr>
        <w:shd w:val="clear"/>
        <w:spacing w:line="360" w:lineRule="auto"/>
        <w:jc w:val="center"/>
        <w:rPr>
          <w:rFonts w:hint="eastAsia" w:ascii="宋体" w:hAnsi="宋体" w:cs="宋体"/>
          <w:b/>
          <w:sz w:val="72"/>
          <w:szCs w:val="72"/>
          <w:highlight w:val="none"/>
        </w:rPr>
      </w:pPr>
      <w:r>
        <w:rPr>
          <w:rFonts w:hint="eastAsia" w:ascii="宋体" w:hAnsi="宋体" w:cs="宋体"/>
          <w:b/>
          <w:sz w:val="72"/>
          <w:szCs w:val="72"/>
          <w:highlight w:val="none"/>
        </w:rPr>
        <w:t>询 比 文 件</w:t>
      </w:r>
    </w:p>
    <w:p w14:paraId="26F5A4D8">
      <w:pPr>
        <w:shd w:val="clear"/>
        <w:rPr>
          <w:rFonts w:hint="eastAsia" w:ascii="宋体" w:hAnsi="宋体" w:cs="宋体"/>
          <w:b/>
          <w:sz w:val="36"/>
          <w:highlight w:val="none"/>
        </w:rPr>
      </w:pPr>
    </w:p>
    <w:p w14:paraId="38C1B109">
      <w:pPr>
        <w:shd w:val="clear"/>
        <w:jc w:val="center"/>
        <w:rPr>
          <w:rFonts w:hint="eastAsia" w:ascii="宋体" w:hAnsi="宋体" w:cs="宋体"/>
          <w:b/>
          <w:sz w:val="36"/>
          <w:highlight w:val="none"/>
        </w:rPr>
      </w:pPr>
      <w:r>
        <w:rPr>
          <w:rFonts w:ascii="Arial" w:hAnsi="Arial" w:cs="Arial"/>
          <w:b/>
          <w:bCs/>
          <w:sz w:val="96"/>
          <w:highlight w:val="none"/>
        </w:rPr>
        <w:drawing>
          <wp:inline distT="0" distB="0" distL="114300" distR="114300">
            <wp:extent cx="1785620" cy="2587625"/>
            <wp:effectExtent l="0" t="0" r="5080" b="3175"/>
            <wp:docPr id="1" name="图片 1" descr="Z:\3.质量管理部\王纲群\鼎信招采事业部\办公常用\鼎信数智LOGO\logo4.png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Z:\3.质量管理部\王纲群\鼎信招采事业部\办公常用\鼎信数智LOGO\logo4.pnglogo4"/>
                    <pic:cNvPicPr>
                      <a:picLocks noChangeAspect="1"/>
                    </pic:cNvPicPr>
                  </pic:nvPicPr>
                  <pic:blipFill>
                    <a:blip r:embed="rId7"/>
                    <a:stretch>
                      <a:fillRect/>
                    </a:stretch>
                  </pic:blipFill>
                  <pic:spPr>
                    <a:xfrm>
                      <a:off x="0" y="0"/>
                      <a:ext cx="1785620" cy="2587625"/>
                    </a:xfrm>
                    <a:prstGeom prst="rect">
                      <a:avLst/>
                    </a:prstGeom>
                    <a:noFill/>
                    <a:ln>
                      <a:noFill/>
                    </a:ln>
                  </pic:spPr>
                </pic:pic>
              </a:graphicData>
            </a:graphic>
          </wp:inline>
        </w:drawing>
      </w:r>
    </w:p>
    <w:p w14:paraId="79B17371">
      <w:pPr>
        <w:shd w:val="clear"/>
        <w:rPr>
          <w:rFonts w:hint="eastAsia" w:ascii="宋体" w:hAnsi="宋体" w:cs="宋体"/>
          <w:b/>
          <w:sz w:val="36"/>
          <w:highlight w:val="none"/>
        </w:rPr>
      </w:pPr>
    </w:p>
    <w:p w14:paraId="27A6B9B4">
      <w:pPr>
        <w:shd w:val="clear"/>
        <w:rPr>
          <w:rFonts w:hint="eastAsia" w:ascii="宋体" w:hAnsi="宋体" w:cs="宋体"/>
          <w:b/>
          <w:sz w:val="28"/>
          <w:szCs w:val="28"/>
          <w:highlight w:val="none"/>
        </w:rPr>
      </w:pPr>
    </w:p>
    <w:p w14:paraId="422EE769">
      <w:pPr>
        <w:shd w:val="clear"/>
        <w:jc w:val="center"/>
        <w:rPr>
          <w:rFonts w:hint="eastAsia" w:ascii="宋体" w:hAnsi="宋体" w:cs="宋体"/>
          <w:b/>
          <w:sz w:val="28"/>
          <w:szCs w:val="28"/>
          <w:highlight w:val="none"/>
          <w:u w:val="single"/>
        </w:rPr>
      </w:pPr>
      <w:r>
        <w:rPr>
          <w:rFonts w:hint="eastAsia" w:ascii="宋体" w:hAnsi="宋体" w:cs="宋体"/>
          <w:b/>
          <w:sz w:val="28"/>
          <w:szCs w:val="28"/>
          <w:highlight w:val="none"/>
        </w:rPr>
        <w:t>采购人:</w:t>
      </w:r>
      <w:r>
        <w:rPr>
          <w:rFonts w:hint="eastAsia" w:ascii="宋体" w:hAnsi="宋体" w:cs="宋体"/>
          <w:b/>
          <w:sz w:val="28"/>
          <w:szCs w:val="28"/>
          <w:highlight w:val="none"/>
          <w:u w:val="single"/>
        </w:rPr>
        <w:t>鼎信数智技术集团股份有限公司</w:t>
      </w:r>
    </w:p>
    <w:p w14:paraId="1C7089C1">
      <w:pPr>
        <w:shd w:val="clear"/>
        <w:rPr>
          <w:rFonts w:hint="eastAsia" w:ascii="宋体" w:hAnsi="宋体" w:cs="宋体"/>
          <w:sz w:val="24"/>
          <w:szCs w:val="15"/>
          <w:highlight w:val="none"/>
        </w:rPr>
      </w:pPr>
    </w:p>
    <w:p w14:paraId="24616617">
      <w:pPr>
        <w:shd w:val="clear"/>
        <w:spacing w:line="360" w:lineRule="auto"/>
        <w:jc w:val="center"/>
        <w:rPr>
          <w:rFonts w:hint="eastAsia" w:ascii="宋体" w:hAnsi="宋体" w:cs="宋体"/>
          <w:sz w:val="32"/>
          <w:szCs w:val="32"/>
          <w:highlight w:val="none"/>
        </w:rPr>
      </w:pPr>
      <w:r>
        <w:rPr>
          <w:rFonts w:hint="eastAsia" w:ascii="宋体" w:hAnsi="宋体" w:cs="宋体"/>
          <w:b/>
          <w:sz w:val="32"/>
          <w:highlight w:val="none"/>
          <w:u w:val="single"/>
        </w:rPr>
        <w:t>2026年10月</w:t>
      </w:r>
      <w:r>
        <w:rPr>
          <w:rFonts w:hint="eastAsia" w:ascii="宋体" w:hAnsi="宋体" w:cs="宋体"/>
          <w:b/>
          <w:sz w:val="28"/>
          <w:szCs w:val="28"/>
          <w:highlight w:val="none"/>
        </w:rPr>
        <w:br w:type="page"/>
      </w:r>
    </w:p>
    <w:p w14:paraId="479643F1">
      <w:pPr>
        <w:pStyle w:val="3"/>
        <w:shd w:val="clear"/>
        <w:spacing w:line="720" w:lineRule="auto"/>
        <w:jc w:val="center"/>
        <w:rPr>
          <w:rFonts w:hint="eastAsia" w:ascii="宋体" w:hAnsi="宋体" w:eastAsia="宋体" w:cs="宋体"/>
          <w:b/>
          <w:sz w:val="48"/>
          <w:szCs w:val="48"/>
          <w:highlight w:val="none"/>
        </w:rPr>
      </w:pPr>
      <w:r>
        <w:rPr>
          <w:rFonts w:hint="eastAsia" w:ascii="宋体" w:hAnsi="宋体" w:eastAsia="宋体" w:cs="宋体"/>
          <w:b/>
          <w:sz w:val="48"/>
          <w:szCs w:val="48"/>
          <w:highlight w:val="none"/>
        </w:rPr>
        <w:t>目  录</w:t>
      </w:r>
    </w:p>
    <w:p w14:paraId="6AB9483E">
      <w:pPr>
        <w:pStyle w:val="18"/>
        <w:shd w:val="clear"/>
        <w:tabs>
          <w:tab w:val="right" w:leader="dot" w:pos="8990"/>
        </w:tabs>
        <w:spacing w:before="312" w:beforeLines="100" w:after="312" w:afterLines="100" w:line="480" w:lineRule="auto"/>
        <w:rPr>
          <w:rFonts w:hint="eastAsia" w:ascii="宋体" w:hAnsi="宋体" w:cs="宋体"/>
          <w:sz w:val="28"/>
          <w:szCs w:val="28"/>
          <w:highlight w:val="none"/>
        </w:rPr>
      </w:pPr>
      <w:r>
        <w:rPr>
          <w:rFonts w:hint="eastAsia" w:ascii="宋体" w:hAnsi="宋体" w:cs="宋体"/>
          <w:b/>
          <w:sz w:val="28"/>
          <w:szCs w:val="28"/>
          <w:highlight w:val="none"/>
        </w:rPr>
        <w:fldChar w:fldCharType="begin"/>
      </w:r>
      <w:r>
        <w:rPr>
          <w:rFonts w:hint="eastAsia" w:ascii="宋体" w:hAnsi="宋体" w:cs="宋体"/>
          <w:b/>
          <w:sz w:val="28"/>
          <w:szCs w:val="28"/>
          <w:highlight w:val="none"/>
        </w:rPr>
        <w:instrText xml:space="preserve"> TOC \o "1-1" \h \z \u </w:instrText>
      </w:r>
      <w:r>
        <w:rPr>
          <w:rFonts w:hint="eastAsia" w:ascii="宋体" w:hAnsi="宋体" w:cs="宋体"/>
          <w:b/>
          <w:sz w:val="28"/>
          <w:szCs w:val="28"/>
          <w:highlight w:val="none"/>
        </w:rPr>
        <w:fldChar w:fldCharType="separate"/>
      </w:r>
      <w:r>
        <w:rPr>
          <w:highlight w:val="none"/>
        </w:rPr>
        <w:fldChar w:fldCharType="begin"/>
      </w:r>
      <w:r>
        <w:rPr>
          <w:highlight w:val="none"/>
        </w:rPr>
        <w:instrText xml:space="preserve"> HYPERLINK \l "_Toc24364563" </w:instrText>
      </w:r>
      <w:r>
        <w:rPr>
          <w:highlight w:val="none"/>
        </w:rPr>
        <w:fldChar w:fldCharType="separate"/>
      </w:r>
      <w:r>
        <w:rPr>
          <w:rStyle w:val="31"/>
          <w:rFonts w:hint="eastAsia" w:ascii="宋体" w:hAnsi="宋体" w:cs="宋体"/>
          <w:color w:val="auto"/>
          <w:sz w:val="28"/>
          <w:szCs w:val="28"/>
          <w:highlight w:val="none"/>
        </w:rPr>
        <w:t>第一章 询比公告</w:t>
      </w:r>
      <w:r>
        <w:rPr>
          <w:rStyle w:val="31"/>
          <w:rFonts w:hint="eastAsia" w:ascii="宋体" w:hAnsi="宋体" w:cs="宋体"/>
          <w:color w:val="auto"/>
          <w:sz w:val="28"/>
          <w:szCs w:val="28"/>
          <w:highlight w:val="none"/>
        </w:rPr>
        <w:fldChar w:fldCharType="end"/>
      </w:r>
    </w:p>
    <w:p w14:paraId="61156E9A">
      <w:pPr>
        <w:pStyle w:val="18"/>
        <w:shd w:val="clear"/>
        <w:tabs>
          <w:tab w:val="right" w:leader="dot" w:pos="8990"/>
        </w:tabs>
        <w:spacing w:before="312" w:beforeLines="100" w:after="312" w:afterLines="100" w:line="480" w:lineRule="auto"/>
        <w:rPr>
          <w:rFonts w:hint="eastAsia" w:ascii="宋体" w:hAnsi="宋体" w:cs="宋体"/>
          <w:sz w:val="28"/>
          <w:szCs w:val="28"/>
          <w:highlight w:val="none"/>
        </w:rPr>
      </w:pPr>
      <w:r>
        <w:rPr>
          <w:highlight w:val="none"/>
        </w:rPr>
        <w:fldChar w:fldCharType="begin"/>
      </w:r>
      <w:r>
        <w:rPr>
          <w:highlight w:val="none"/>
        </w:rPr>
        <w:instrText xml:space="preserve"> HYPERLINK \l "_Toc24364565" </w:instrText>
      </w:r>
      <w:r>
        <w:rPr>
          <w:highlight w:val="none"/>
        </w:rPr>
        <w:fldChar w:fldCharType="separate"/>
      </w:r>
      <w:r>
        <w:rPr>
          <w:rStyle w:val="31"/>
          <w:rFonts w:hint="eastAsia" w:ascii="宋体" w:hAnsi="宋体" w:cs="宋体"/>
          <w:color w:val="auto"/>
          <w:sz w:val="28"/>
          <w:szCs w:val="28"/>
          <w:highlight w:val="none"/>
        </w:rPr>
        <w:t>第二章 供应商须知</w:t>
      </w:r>
      <w:r>
        <w:rPr>
          <w:rStyle w:val="31"/>
          <w:rFonts w:hint="eastAsia" w:ascii="宋体" w:hAnsi="宋体" w:cs="宋体"/>
          <w:color w:val="auto"/>
          <w:sz w:val="28"/>
          <w:szCs w:val="28"/>
          <w:highlight w:val="none"/>
        </w:rPr>
        <w:fldChar w:fldCharType="end"/>
      </w:r>
    </w:p>
    <w:p w14:paraId="0E41025C">
      <w:pPr>
        <w:pStyle w:val="18"/>
        <w:shd w:val="clear"/>
        <w:tabs>
          <w:tab w:val="right" w:leader="dot" w:pos="8990"/>
        </w:tabs>
        <w:spacing w:before="312" w:beforeLines="100" w:after="312" w:afterLines="100" w:line="480" w:lineRule="auto"/>
        <w:rPr>
          <w:rFonts w:hint="eastAsia" w:ascii="宋体" w:hAnsi="宋体" w:cs="宋体"/>
          <w:sz w:val="28"/>
          <w:szCs w:val="28"/>
          <w:highlight w:val="none"/>
        </w:rPr>
      </w:pPr>
      <w:r>
        <w:rPr>
          <w:highlight w:val="none"/>
        </w:rPr>
        <w:fldChar w:fldCharType="begin"/>
      </w:r>
      <w:r>
        <w:rPr>
          <w:highlight w:val="none"/>
        </w:rPr>
        <w:instrText xml:space="preserve"> HYPERLINK \l "_Toc24364566" </w:instrText>
      </w:r>
      <w:r>
        <w:rPr>
          <w:highlight w:val="none"/>
        </w:rPr>
        <w:fldChar w:fldCharType="separate"/>
      </w:r>
      <w:r>
        <w:rPr>
          <w:rStyle w:val="31"/>
          <w:rFonts w:hint="eastAsia" w:ascii="宋体" w:hAnsi="宋体" w:cs="宋体"/>
          <w:color w:val="auto"/>
          <w:sz w:val="28"/>
          <w:szCs w:val="28"/>
          <w:highlight w:val="none"/>
        </w:rPr>
        <w:t>第三章 采购合同</w:t>
      </w:r>
      <w:r>
        <w:rPr>
          <w:rStyle w:val="31"/>
          <w:rFonts w:hint="eastAsia" w:ascii="宋体" w:hAnsi="宋体" w:cs="宋体"/>
          <w:color w:val="auto"/>
          <w:sz w:val="28"/>
          <w:szCs w:val="28"/>
          <w:highlight w:val="none"/>
        </w:rPr>
        <w:fldChar w:fldCharType="end"/>
      </w:r>
    </w:p>
    <w:p w14:paraId="6F0432ED">
      <w:pPr>
        <w:pStyle w:val="18"/>
        <w:shd w:val="clear"/>
        <w:tabs>
          <w:tab w:val="right" w:leader="dot" w:pos="8990"/>
        </w:tabs>
        <w:spacing w:before="312" w:beforeLines="100" w:after="312" w:afterLines="100" w:line="480" w:lineRule="auto"/>
        <w:rPr>
          <w:rFonts w:hint="eastAsia" w:ascii="宋体" w:hAnsi="宋体" w:cs="宋体"/>
          <w:sz w:val="28"/>
          <w:szCs w:val="28"/>
          <w:highlight w:val="none"/>
        </w:rPr>
      </w:pPr>
      <w:r>
        <w:rPr>
          <w:highlight w:val="none"/>
        </w:rPr>
        <w:fldChar w:fldCharType="begin"/>
      </w:r>
      <w:r>
        <w:rPr>
          <w:highlight w:val="none"/>
        </w:rPr>
        <w:instrText xml:space="preserve"> HYPERLINK \l "_Toc24364567" </w:instrText>
      </w:r>
      <w:r>
        <w:rPr>
          <w:highlight w:val="none"/>
        </w:rPr>
        <w:fldChar w:fldCharType="separate"/>
      </w:r>
      <w:r>
        <w:rPr>
          <w:rFonts w:hint="eastAsia" w:ascii="宋体" w:hAnsi="宋体" w:cs="宋体"/>
          <w:sz w:val="28"/>
          <w:szCs w:val="28"/>
          <w:highlight w:val="none"/>
        </w:rPr>
        <w:t>第四章 响应文件格式</w:t>
      </w:r>
      <w:r>
        <w:rPr>
          <w:rFonts w:hint="eastAsia" w:ascii="宋体" w:hAnsi="宋体" w:cs="宋体"/>
          <w:sz w:val="28"/>
          <w:szCs w:val="28"/>
          <w:highlight w:val="none"/>
        </w:rPr>
        <w:fldChar w:fldCharType="end"/>
      </w:r>
    </w:p>
    <w:p w14:paraId="0F228E16">
      <w:pPr>
        <w:pStyle w:val="18"/>
        <w:shd w:val="clear"/>
        <w:tabs>
          <w:tab w:val="right" w:leader="dot" w:pos="8990"/>
        </w:tabs>
        <w:spacing w:before="312" w:beforeLines="100" w:after="312" w:afterLines="100" w:line="480" w:lineRule="auto"/>
        <w:rPr>
          <w:highlight w:val="none"/>
        </w:rPr>
      </w:pPr>
      <w:r>
        <w:rPr>
          <w:highlight w:val="none"/>
        </w:rPr>
        <w:fldChar w:fldCharType="begin"/>
      </w:r>
      <w:r>
        <w:rPr>
          <w:highlight w:val="none"/>
        </w:rPr>
        <w:instrText xml:space="preserve"> HYPERLINK \l "_Toc24364568" </w:instrText>
      </w:r>
      <w:r>
        <w:rPr>
          <w:highlight w:val="none"/>
        </w:rPr>
        <w:fldChar w:fldCharType="separate"/>
      </w:r>
      <w:r>
        <w:rPr>
          <w:rStyle w:val="31"/>
          <w:rFonts w:hint="eastAsia" w:ascii="宋体" w:hAnsi="宋体" w:cs="宋体"/>
          <w:color w:val="auto"/>
          <w:sz w:val="28"/>
          <w:szCs w:val="28"/>
          <w:highlight w:val="none"/>
        </w:rPr>
        <w:t>第五章 评审方法（综合评分）</w:t>
      </w:r>
      <w:r>
        <w:rPr>
          <w:rStyle w:val="31"/>
          <w:rFonts w:hint="eastAsia" w:ascii="宋体" w:hAnsi="宋体" w:cs="宋体"/>
          <w:color w:val="auto"/>
          <w:sz w:val="28"/>
          <w:szCs w:val="28"/>
          <w:highlight w:val="none"/>
        </w:rPr>
        <w:fldChar w:fldCharType="end"/>
      </w:r>
    </w:p>
    <w:p w14:paraId="3BB18955">
      <w:pPr>
        <w:pStyle w:val="18"/>
        <w:shd w:val="clear"/>
        <w:tabs>
          <w:tab w:val="right" w:leader="dot" w:pos="8990"/>
        </w:tabs>
        <w:spacing w:before="312" w:beforeLines="100" w:after="312" w:afterLines="100" w:line="480" w:lineRule="auto"/>
        <w:rPr>
          <w:rFonts w:hint="eastAsia" w:ascii="宋体" w:hAnsi="宋体" w:cs="宋体"/>
          <w:sz w:val="28"/>
          <w:szCs w:val="28"/>
          <w:highlight w:val="none"/>
        </w:rPr>
      </w:pPr>
      <w:r>
        <w:rPr>
          <w:highlight w:val="none"/>
        </w:rPr>
        <w:fldChar w:fldCharType="begin"/>
      </w:r>
      <w:r>
        <w:rPr>
          <w:highlight w:val="none"/>
        </w:rPr>
        <w:instrText xml:space="preserve"> HYPERLINK \l "_Toc24364569" </w:instrText>
      </w:r>
      <w:r>
        <w:rPr>
          <w:highlight w:val="none"/>
        </w:rPr>
        <w:fldChar w:fldCharType="separate"/>
      </w:r>
      <w:r>
        <w:rPr>
          <w:rStyle w:val="31"/>
          <w:rFonts w:hint="eastAsia" w:ascii="宋体" w:hAnsi="宋体" w:cs="宋体"/>
          <w:color w:val="auto"/>
          <w:sz w:val="28"/>
          <w:szCs w:val="28"/>
          <w:highlight w:val="none"/>
        </w:rPr>
        <w:t>第六章 采购需求</w:t>
      </w:r>
      <w:r>
        <w:rPr>
          <w:rStyle w:val="31"/>
          <w:rFonts w:hint="eastAsia" w:ascii="宋体" w:hAnsi="宋体" w:cs="宋体"/>
          <w:color w:val="auto"/>
          <w:sz w:val="28"/>
          <w:szCs w:val="28"/>
          <w:highlight w:val="none"/>
        </w:rPr>
        <w:fldChar w:fldCharType="end"/>
      </w:r>
    </w:p>
    <w:p w14:paraId="24EE4338">
      <w:pPr>
        <w:pStyle w:val="3"/>
        <w:shd w:val="clear"/>
        <w:spacing w:before="312" w:beforeLines="100" w:after="312" w:afterLines="100" w:line="480" w:lineRule="auto"/>
        <w:jc w:val="center"/>
        <w:rPr>
          <w:rFonts w:hint="eastAsia" w:ascii="宋体" w:hAnsi="宋体" w:eastAsia="宋体" w:cs="宋体"/>
          <w:b/>
          <w:sz w:val="48"/>
          <w:szCs w:val="48"/>
          <w:highlight w:val="none"/>
        </w:rPr>
      </w:pPr>
      <w:r>
        <w:rPr>
          <w:rFonts w:hint="eastAsia" w:ascii="宋体" w:hAnsi="宋体" w:eastAsia="宋体" w:cs="宋体"/>
          <w:b/>
          <w:sz w:val="28"/>
          <w:szCs w:val="28"/>
          <w:highlight w:val="none"/>
        </w:rPr>
        <w:fldChar w:fldCharType="end"/>
      </w:r>
    </w:p>
    <w:p w14:paraId="63957DCE">
      <w:pPr>
        <w:shd w:val="clear"/>
        <w:jc w:val="center"/>
        <w:rPr>
          <w:rFonts w:hint="eastAsia" w:ascii="宋体" w:hAnsi="宋体" w:cs="宋体"/>
          <w:b/>
          <w:sz w:val="48"/>
          <w:szCs w:val="48"/>
          <w:highlight w:val="none"/>
        </w:rPr>
      </w:pPr>
      <w:r>
        <w:rPr>
          <w:rFonts w:hint="eastAsia" w:ascii="宋体" w:hAnsi="宋体" w:cs="宋体"/>
          <w:b/>
          <w:sz w:val="28"/>
          <w:szCs w:val="28"/>
          <w:highlight w:val="none"/>
        </w:rPr>
        <w:br w:type="page"/>
      </w:r>
    </w:p>
    <w:p w14:paraId="79082618">
      <w:pPr>
        <w:shd w:val="clear"/>
        <w:jc w:val="center"/>
        <w:rPr>
          <w:rFonts w:hint="eastAsia" w:ascii="宋体" w:hAnsi="宋体" w:cs="宋体"/>
          <w:szCs w:val="32"/>
          <w:highlight w:val="none"/>
        </w:rPr>
      </w:pPr>
      <w:bookmarkStart w:id="1" w:name="_Toc20514"/>
      <w:r>
        <w:rPr>
          <w:rFonts w:hint="eastAsia" w:hAnsi="黑体" w:eastAsia="黑体" w:cs="黑体"/>
          <w:bCs/>
          <w:sz w:val="52"/>
          <w:szCs w:val="52"/>
          <w:highlight w:val="none"/>
        </w:rPr>
        <w:t>第一章 询比公告</w:t>
      </w:r>
      <w:bookmarkEnd w:id="1"/>
    </w:p>
    <w:p w14:paraId="48AA53E4">
      <w:pPr>
        <w:shd w:val="clear"/>
        <w:spacing w:line="360" w:lineRule="auto"/>
        <w:ind w:firstLine="480" w:firstLineChars="200"/>
        <w:rPr>
          <w:rFonts w:hint="eastAsia" w:ascii="宋体" w:hAnsi="宋体" w:cs="宋体"/>
          <w:sz w:val="24"/>
          <w:highlight w:val="none"/>
          <w:u w:val="single"/>
        </w:rPr>
      </w:pPr>
    </w:p>
    <w:p w14:paraId="49611E54">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鼎信数智技术集团股份有限公司2026-2028年职工体检服务项目已具备采购条件，现公开邀请具备条件的供应商参加询比采购活动。</w:t>
      </w:r>
    </w:p>
    <w:p w14:paraId="2DD567D0">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1</w:t>
      </w:r>
      <w:r>
        <w:rPr>
          <w:rFonts w:hint="eastAsia" w:ascii="黑体" w:hAnsi="黑体" w:eastAsia="黑体" w:cs="黑体"/>
          <w:b/>
          <w:bCs/>
          <w:sz w:val="28"/>
          <w:szCs w:val="28"/>
          <w:highlight w:val="none"/>
          <w:lang w:val="en-US" w:eastAsia="zh-CN"/>
        </w:rPr>
        <w:t xml:space="preserve"> </w:t>
      </w:r>
      <w:r>
        <w:rPr>
          <w:rFonts w:hint="eastAsia" w:ascii="黑体" w:hAnsi="黑体" w:eastAsia="黑体" w:cs="黑体"/>
          <w:b/>
          <w:bCs/>
          <w:sz w:val="28"/>
          <w:szCs w:val="28"/>
          <w:highlight w:val="none"/>
        </w:rPr>
        <w:t>采购项目简介</w:t>
      </w:r>
    </w:p>
    <w:p w14:paraId="6EFC7498">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1.1采购项目名称：鼎信数智技术集团股份有限公司2026-2028年职工体检服务项目</w:t>
      </w:r>
    </w:p>
    <w:p w14:paraId="6611E9D8">
      <w:pPr>
        <w:shd w:val="clear"/>
        <w:wordWrap w:val="0"/>
        <w:topLinePunct/>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1.2采购项目编号：</w:t>
      </w:r>
      <w:r>
        <w:rPr>
          <w:rFonts w:hint="eastAsia" w:ascii="仿宋" w:hAnsi="仿宋" w:eastAsia="仿宋" w:cs="仿宋"/>
          <w:sz w:val="28"/>
          <w:szCs w:val="28"/>
          <w:highlight w:val="none"/>
          <w:lang w:eastAsia="zh-CN"/>
        </w:rPr>
        <w:t>DXZB202610001</w:t>
      </w:r>
    </w:p>
    <w:p w14:paraId="584502C5">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1.3采购人：鼎信数智技术集团股份有限公司</w:t>
      </w:r>
    </w:p>
    <w:p w14:paraId="6A8830B5">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1.4采购代理机构：鼎信数智技术集团股份有限公司</w:t>
      </w:r>
    </w:p>
    <w:p w14:paraId="05C1743D">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1.5资金落实情况：已落实</w:t>
      </w:r>
    </w:p>
    <w:p w14:paraId="6994EB86">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1.6成交供应商数量：1家</w:t>
      </w:r>
    </w:p>
    <w:p w14:paraId="111C69B2">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1.7预算金额：37.15 万元/年</w:t>
      </w:r>
    </w:p>
    <w:p w14:paraId="0A0F885E">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1.8最高限价：37.15 万元/年</w:t>
      </w:r>
    </w:p>
    <w:p w14:paraId="10EF2231">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2 采购范围及相关要求</w:t>
      </w:r>
    </w:p>
    <w:p w14:paraId="40FF7370">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2.1采购范围：鼎信数智技术集团股份有限公司及其子公司2026-2028年职工体检服务项目，具体详见采购需求。</w:t>
      </w:r>
    </w:p>
    <w:p w14:paraId="22FC6E06">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2.2服务期限：服务期限共3年，合同签订采用“1+1+1模式”，合同一年一签，如上一年度服务反馈良好，甲乙双方同意，且年度预算能保障的前提下，可按成交价续签下一年度合同，续签次数不超过2次，续签的合同金额不超过当年的预算金额。</w:t>
      </w:r>
    </w:p>
    <w:p w14:paraId="4915A9F4">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2.3服务地点：合肥市</w:t>
      </w:r>
    </w:p>
    <w:p w14:paraId="5F25E44F">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2.4质量要求或服务标准：符合相关要求</w:t>
      </w:r>
    </w:p>
    <w:p w14:paraId="4BB48F67">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3 供应商资格条件</w:t>
      </w:r>
    </w:p>
    <w:p w14:paraId="68EE410D">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3.1资质要求：①供应商须具备独立法人资格，具有有效的营业执照；②须为取得医疗许可证的医院，或取得医疗许可证并经卫生行政部门健康体检服务登记的体检机构。</w:t>
      </w:r>
    </w:p>
    <w:p w14:paraId="17427960">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3.2财务要求：/</w:t>
      </w:r>
    </w:p>
    <w:p w14:paraId="6C370FB2">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3.3业绩要求：/。</w:t>
      </w:r>
    </w:p>
    <w:p w14:paraId="176205DE">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3.4信誉要求：供应商不得存在以下不良信用记录情形之一：</w:t>
      </w:r>
    </w:p>
    <w:p w14:paraId="2687E633">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3.4.1供应商被人民法院列入失信被执行人的；</w:t>
      </w:r>
    </w:p>
    <w:p w14:paraId="4696F01E">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3.4.2供应商被税务部门列入重大税收违法案件当事人名单的。</w:t>
      </w:r>
    </w:p>
    <w:p w14:paraId="27869494">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3.5主要人员要求：/。</w:t>
      </w:r>
    </w:p>
    <w:p w14:paraId="70FEB7E5">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3.6其他要求：/</w:t>
      </w:r>
    </w:p>
    <w:p w14:paraId="76E1CCFD">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3.7本项目不接受联合体。</w:t>
      </w:r>
    </w:p>
    <w:p w14:paraId="4F820F67">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4 询比文件的获取</w:t>
      </w:r>
    </w:p>
    <w:p w14:paraId="4B95C83F">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4.1获取时间：2026年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日至2026年10月</w:t>
      </w:r>
      <w:r>
        <w:rPr>
          <w:rFonts w:hint="eastAsia" w:ascii="仿宋" w:hAnsi="仿宋" w:eastAsia="仿宋" w:cs="仿宋"/>
          <w:sz w:val="28"/>
          <w:szCs w:val="28"/>
          <w:highlight w:val="none"/>
          <w:lang w:val="en-US" w:eastAsia="zh-CN"/>
        </w:rPr>
        <w:t>28</w:t>
      </w:r>
      <w:r>
        <w:rPr>
          <w:rFonts w:hint="eastAsia" w:ascii="仿宋" w:hAnsi="仿宋" w:eastAsia="仿宋" w:cs="仿宋"/>
          <w:sz w:val="28"/>
          <w:szCs w:val="28"/>
          <w:highlight w:val="none"/>
        </w:rPr>
        <w:t>日，每天上午0:00到 12:00，下午12:00到23:59。</w:t>
      </w:r>
    </w:p>
    <w:p w14:paraId="4C2FECF5">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4.2询比文件售价：0元。</w:t>
      </w:r>
    </w:p>
    <w:p w14:paraId="65A24533">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4.3获取方式：登录“能工社—安招采电子招标采购交易系统（www.anzhaocai.com）”下载。</w:t>
      </w:r>
    </w:p>
    <w:p w14:paraId="1D459956">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5 响应文件提交</w:t>
      </w:r>
    </w:p>
    <w:p w14:paraId="121829A0">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5.1提交截止时间：2026年10月</w:t>
      </w:r>
      <w:r>
        <w:rPr>
          <w:rFonts w:hint="eastAsia" w:ascii="仿宋" w:hAnsi="仿宋" w:eastAsia="仿宋" w:cs="仿宋"/>
          <w:sz w:val="28"/>
          <w:szCs w:val="28"/>
          <w:highlight w:val="none"/>
          <w:lang w:val="en-US" w:eastAsia="zh-CN"/>
        </w:rPr>
        <w:t>29</w:t>
      </w:r>
      <w:r>
        <w:rPr>
          <w:rFonts w:hint="eastAsia" w:ascii="仿宋" w:hAnsi="仿宋" w:eastAsia="仿宋" w:cs="仿宋"/>
          <w:sz w:val="28"/>
          <w:szCs w:val="28"/>
          <w:highlight w:val="none"/>
        </w:rPr>
        <w:t>日14点</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0分（北京时间）</w:t>
      </w:r>
    </w:p>
    <w:p w14:paraId="44018723">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5.2提交地点：能工社—安招采电子招标采购交易系统（www.anzhaocai.com）。</w:t>
      </w:r>
    </w:p>
    <w:p w14:paraId="09AA2368">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5.3提交方式：</w:t>
      </w:r>
    </w:p>
    <w:p w14:paraId="5F1D1084">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供应商应当在响应文件提交截止时间前通过安招采平台上传加密的电子响应文件。未在响应文件提交截止时间前完成上传的，视为逾期送达，采购人（“电子交易平台”）将拒绝接收。</w:t>
      </w:r>
      <w:r>
        <w:rPr>
          <w:rFonts w:hint="eastAsia" w:ascii="仿宋" w:hAnsi="仿宋" w:eastAsia="仿宋" w:cs="仿宋"/>
          <w:sz w:val="28"/>
          <w:szCs w:val="28"/>
          <w:highlight w:val="none"/>
        </w:rPr>
        <w:tab/>
      </w:r>
    </w:p>
    <w:p w14:paraId="790F7995">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6 发布公告的媒介</w:t>
      </w:r>
    </w:p>
    <w:p w14:paraId="61B83CF7">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本次询比公告在安徽公共资源交易集团网站</w:t>
      </w:r>
      <w:r>
        <w:rPr>
          <w:rFonts w:hint="eastAsia" w:ascii="仿宋" w:hAnsi="仿宋" w:eastAsia="仿宋" w:cs="仿宋"/>
          <w:sz w:val="28"/>
          <w:szCs w:val="28"/>
          <w:highlight w:val="none"/>
          <w:lang w:eastAsia="zh-CN"/>
        </w:rPr>
        <w:t>、</w:t>
      </w:r>
      <w:bookmarkStart w:id="255" w:name="_GoBack"/>
      <w:bookmarkEnd w:id="255"/>
      <w:r>
        <w:rPr>
          <w:rFonts w:hint="eastAsia" w:ascii="仿宋" w:hAnsi="仿宋" w:eastAsia="仿宋" w:cs="仿宋"/>
          <w:sz w:val="28"/>
          <w:szCs w:val="28"/>
          <w:highlight w:val="none"/>
        </w:rPr>
        <w:t>安徽省招标投标信息网、安招采平台上发布。</w:t>
      </w:r>
    </w:p>
    <w:p w14:paraId="7407C909">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7 其他事项</w:t>
      </w:r>
    </w:p>
    <w:p w14:paraId="69B86164">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1.本次招标公告同时在安徽省招标投标信息网（http://</w:t>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"http://www.ahtba.org.cn"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www.ahtba.org.cn</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t>）上发布。</w:t>
      </w:r>
    </w:p>
    <w:p w14:paraId="617D34BC">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2.潜在投标人获取文件无需办理CA数字证书（以下简称CA），CA用于电子询比文件的签章、加密及解密。</w:t>
      </w:r>
    </w:p>
    <w:p w14:paraId="1B5CF05C">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信息注册：首次使用“能工社—安招采电子招标采购交易系统”（以下简称“安招采平台”）的投标人，应登录www.anzhaocai.com网站，点击左上角“注册”按钮，进行注册并实名认证后方可参与项目交易。已有安招采平台账号的投标人，直接点击左上角“登录”按钮，登录后即可参与项目交易。因未及时办理注册手续影响参加项目交易活动的，责任自负。</w:t>
      </w:r>
    </w:p>
    <w:p w14:paraId="577DA7A7">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文件获取：潜在投标人必须在获取招标文件时间内，登录安招采平台完成招标文件获取（包括参与项目和获取文件），否则评审时将被视为投标无效。文件获取过程中，如有任何疑问请咨询电话：400-800-6335。潜在投标人应合理安排招标文件获取时间，如果因获取延误、计算机及网络故障造成无法完成招标文件获取，责任自负。</w:t>
      </w:r>
    </w:p>
    <w:p w14:paraId="0A958E48">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CA办理：安招采平台中支持移动CA和安徽CA并行使用，两种方式均有效。①移动CA：通过开通平台基础服务即可免费开通使用移动CA认证服务，可通过手机扫码完成询比文件签章、加密、解密操作。办理咨询电话：400-800-6335。②安徽CA：办理CA请访问http://online.aheca.cn/ocss/portal/self-service点击“在线新办”，选择“安招采”进入，并注册账号申请办理。CA办理咨询电话：400-615-8899或0551-63491661。</w:t>
      </w:r>
    </w:p>
    <w:p w14:paraId="2680271D">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询比文件制作工具下载：电子询比文件须使用“询比文件制作工具”制作、生成并上传。潜在投标人必须登录安招采平台，点击左侧边栏“概要”，在左下角“订阅/资源”中下载“CA驱动”和“询比文件制作工具”。询比文件制作工具允许离线编制询比文件，并具备加密、签章等功能。</w:t>
      </w:r>
    </w:p>
    <w:p w14:paraId="1D695DE7">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7投标：投标人使用询比文件制作工具，按招标文件要求制作电子询比文件，并在投标截止时间前，登录安招采平台，上传经过CA签章并加密的询比文件，方可视为成功参与投标（加密和解密须用同一把CA证书）。</w:t>
      </w:r>
    </w:p>
    <w:p w14:paraId="6E441CA4">
      <w:pPr>
        <w:shd w:val="clear"/>
        <w:wordWrap w:val="0"/>
        <w:topLinePunct/>
        <w:spacing w:line="360" w:lineRule="auto"/>
        <w:ind w:firstLine="562" w:firstLineChars="200"/>
        <w:rPr>
          <w:rFonts w:hint="eastAsia" w:ascii="仿宋" w:hAnsi="仿宋" w:eastAsia="仿宋" w:cs="仿宋"/>
          <w:sz w:val="28"/>
          <w:szCs w:val="28"/>
          <w:highlight w:val="none"/>
        </w:rPr>
      </w:pPr>
      <w:r>
        <w:rPr>
          <w:rFonts w:hint="eastAsia" w:ascii="黑体" w:hAnsi="黑体" w:eastAsia="黑体" w:cs="黑体"/>
          <w:b/>
          <w:bCs/>
          <w:sz w:val="28"/>
          <w:szCs w:val="28"/>
          <w:highlight w:val="none"/>
        </w:rPr>
        <w:t>8 联系方式</w:t>
      </w:r>
    </w:p>
    <w:p w14:paraId="460BA27C">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采购人：鼎信数智技术集团股份有限公司</w:t>
      </w:r>
    </w:p>
    <w:p w14:paraId="47653FE5">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地址：合肥市经济技术开发区翡翠路188号港澳广场A座17-20层 </w:t>
      </w:r>
    </w:p>
    <w:p w14:paraId="12510DA9">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联系人：肖榕</w:t>
      </w:r>
    </w:p>
    <w:p w14:paraId="1BC2036E">
      <w:pPr>
        <w:shd w:val="clea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联系电话：0551-63828737-8633，18226628215 </w:t>
      </w:r>
    </w:p>
    <w:p w14:paraId="4AFA6B85">
      <w:pPr>
        <w:shd w:val="clear"/>
        <w:wordWrap w:val="0"/>
        <w:topLinePunct/>
        <w:spacing w:line="360" w:lineRule="auto"/>
        <w:ind w:firstLine="562" w:firstLineChars="200"/>
        <w:rPr>
          <w:rFonts w:hint="eastAsia" w:ascii="仿宋" w:hAnsi="仿宋" w:eastAsia="仿宋" w:cs="仿宋"/>
          <w:sz w:val="28"/>
          <w:szCs w:val="28"/>
          <w:highlight w:val="none"/>
          <w:lang w:val="en-US" w:eastAsia="zh-CN"/>
        </w:rPr>
      </w:pPr>
      <w:r>
        <w:rPr>
          <w:rFonts w:hint="eastAsia" w:ascii="黑体" w:hAnsi="黑体" w:eastAsia="黑体" w:cs="黑体"/>
          <w:b/>
          <w:bCs/>
          <w:sz w:val="28"/>
          <w:szCs w:val="28"/>
          <w:highlight w:val="none"/>
          <w:lang w:val="en-US" w:eastAsia="zh-CN"/>
        </w:rPr>
        <w:t>9 招标（采购）文件的异议和投诉</w:t>
      </w:r>
    </w:p>
    <w:p w14:paraId="1D7F8AFE">
      <w:pPr>
        <w:shd w:val="clear"/>
        <w:wordWrap w:val="0"/>
        <w:topLinePunct/>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投标人（供应商）或者其他利害关系人对招标文件有异议的，应当在规定时间内以书面形式提出，受理异议的联系人和联系方式见招标（采购）人联系方式。</w:t>
      </w:r>
    </w:p>
    <w:p w14:paraId="39D82535">
      <w:pPr>
        <w:shd w:val="clear"/>
        <w:wordWrap w:val="0"/>
        <w:topLinePunct/>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投标人（供应商）或者其他利害关系人对招标（采购）人的答复不满意，或者招标（采购）人未在规定时间内作出答复的，可以在规定时间内通过书面形式向监督管理部门提出投诉。</w:t>
      </w:r>
    </w:p>
    <w:p w14:paraId="4A85BB39">
      <w:pPr>
        <w:shd w:val="clear"/>
        <w:wordWrap w:val="0"/>
        <w:topLinePunct/>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076C67B5">
      <w:pPr>
        <w:pStyle w:val="34"/>
        <w:shd w:val="clear"/>
        <w:ind w:firstLine="420"/>
        <w:rPr>
          <w:highlight w:val="none"/>
        </w:rPr>
      </w:pPr>
    </w:p>
    <w:p w14:paraId="64D330BE">
      <w:pPr>
        <w:shd w:val="clear"/>
        <w:jc w:val="center"/>
        <w:rPr>
          <w:rFonts w:hint="eastAsia" w:ascii="宋体" w:hAnsi="宋体" w:cs="宋体"/>
          <w:b/>
          <w:sz w:val="48"/>
          <w:szCs w:val="48"/>
          <w:highlight w:val="none"/>
        </w:rPr>
      </w:pPr>
    </w:p>
    <w:p w14:paraId="1501C663">
      <w:pPr>
        <w:shd w:val="clear"/>
        <w:jc w:val="center"/>
        <w:rPr>
          <w:rFonts w:hint="eastAsia" w:ascii="宋体" w:hAnsi="宋体" w:cs="宋体"/>
          <w:b/>
          <w:sz w:val="48"/>
          <w:szCs w:val="48"/>
          <w:highlight w:val="none"/>
        </w:rPr>
      </w:pPr>
    </w:p>
    <w:p w14:paraId="002483E2">
      <w:pPr>
        <w:shd w:val="clear"/>
        <w:jc w:val="center"/>
        <w:rPr>
          <w:rFonts w:hint="eastAsia" w:ascii="宋体" w:hAnsi="宋体" w:cs="宋体"/>
          <w:b/>
          <w:sz w:val="48"/>
          <w:szCs w:val="48"/>
          <w:highlight w:val="none"/>
        </w:rPr>
      </w:pPr>
    </w:p>
    <w:p w14:paraId="13E42642">
      <w:pPr>
        <w:shd w:val="clear"/>
        <w:jc w:val="center"/>
        <w:rPr>
          <w:rFonts w:hint="eastAsia" w:ascii="宋体" w:hAnsi="宋体" w:cs="宋体"/>
          <w:b/>
          <w:sz w:val="48"/>
          <w:szCs w:val="48"/>
          <w:highlight w:val="none"/>
        </w:rPr>
      </w:pPr>
    </w:p>
    <w:p w14:paraId="329C6B73">
      <w:pPr>
        <w:shd w:val="clear"/>
        <w:jc w:val="center"/>
        <w:rPr>
          <w:rFonts w:hint="eastAsia" w:ascii="宋体" w:hAnsi="宋体" w:cs="宋体"/>
          <w:b/>
          <w:sz w:val="48"/>
          <w:szCs w:val="48"/>
          <w:highlight w:val="none"/>
        </w:rPr>
      </w:pPr>
    </w:p>
    <w:p w14:paraId="35D2E8D6">
      <w:pPr>
        <w:pStyle w:val="2"/>
        <w:shd w:val="clear"/>
        <w:spacing w:before="0" w:after="0" w:line="360" w:lineRule="auto"/>
        <w:rPr>
          <w:rFonts w:hint="eastAsia" w:hAnsi="黑体" w:eastAsia="黑体" w:cs="黑体"/>
          <w:b w:val="0"/>
          <w:bCs/>
          <w:sz w:val="52"/>
          <w:szCs w:val="52"/>
          <w:highlight w:val="none"/>
        </w:rPr>
      </w:pPr>
      <w:bookmarkStart w:id="2" w:name="_Toc2592"/>
      <w:r>
        <w:rPr>
          <w:rFonts w:hint="eastAsia" w:hAnsi="黑体" w:eastAsia="黑体" w:cs="黑体"/>
          <w:b w:val="0"/>
          <w:bCs/>
          <w:sz w:val="52"/>
          <w:szCs w:val="52"/>
          <w:highlight w:val="none"/>
        </w:rPr>
        <w:t>第二章 供应商须知</w:t>
      </w:r>
      <w:bookmarkEnd w:id="2"/>
    </w:p>
    <w:p w14:paraId="773B1F6C">
      <w:pPr>
        <w:shd w:val="clear"/>
        <w:spacing w:line="360" w:lineRule="auto"/>
        <w:jc w:val="center"/>
        <w:outlineLvl w:val="1"/>
        <w:rPr>
          <w:rFonts w:hint="eastAsia" w:ascii="宋体" w:hAnsi="宋体" w:cs="宋体"/>
          <w:b/>
          <w:bCs/>
          <w:sz w:val="32"/>
          <w:szCs w:val="32"/>
          <w:highlight w:val="none"/>
        </w:rPr>
      </w:pPr>
      <w:r>
        <w:rPr>
          <w:rFonts w:hint="eastAsia" w:ascii="宋体" w:hAnsi="宋体" w:cs="宋体"/>
          <w:b/>
          <w:bCs/>
          <w:sz w:val="32"/>
          <w:szCs w:val="32"/>
          <w:highlight w:val="none"/>
        </w:rPr>
        <w:br w:type="page"/>
      </w:r>
      <w:bookmarkStart w:id="3" w:name="_Toc1152"/>
      <w:r>
        <w:rPr>
          <w:rFonts w:hint="eastAsia" w:ascii="宋体" w:hAnsi="宋体" w:cs="宋体"/>
          <w:b/>
          <w:bCs/>
          <w:sz w:val="32"/>
          <w:szCs w:val="32"/>
          <w:highlight w:val="none"/>
        </w:rPr>
        <w:t>供应商须知前附表</w:t>
      </w:r>
      <w:bookmarkEnd w:id="3"/>
    </w:p>
    <w:tbl>
      <w:tblPr>
        <w:tblStyle w:val="27"/>
        <w:tblW w:w="96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20"/>
        <w:gridCol w:w="7042"/>
      </w:tblGrid>
      <w:tr w14:paraId="75CE7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32316F97">
            <w:pPr>
              <w:pStyle w:val="48"/>
              <w:shd w:val="clear"/>
              <w:jc w:val="center"/>
              <w:rPr>
                <w:rFonts w:hint="eastAsia" w:ascii="宋体" w:hAnsi="宋体" w:cs="宋体"/>
                <w:sz w:val="24"/>
                <w:highlight w:val="none"/>
              </w:rPr>
            </w:pPr>
            <w:r>
              <w:rPr>
                <w:rFonts w:hint="eastAsia" w:ascii="宋体" w:hAnsi="宋体" w:cs="宋体"/>
                <w:sz w:val="24"/>
                <w:highlight w:val="none"/>
              </w:rPr>
              <w:t>序号</w:t>
            </w:r>
          </w:p>
        </w:tc>
        <w:tc>
          <w:tcPr>
            <w:tcW w:w="1920" w:type="dxa"/>
            <w:tcBorders>
              <w:tl2br w:val="nil"/>
              <w:tr2bl w:val="nil"/>
            </w:tcBorders>
            <w:vAlign w:val="center"/>
          </w:tcPr>
          <w:p w14:paraId="2D92C95A">
            <w:pPr>
              <w:pStyle w:val="48"/>
              <w:shd w:val="clear"/>
              <w:jc w:val="center"/>
              <w:rPr>
                <w:rFonts w:hint="eastAsia" w:ascii="宋体" w:hAnsi="宋体" w:cs="宋体"/>
                <w:sz w:val="24"/>
                <w:highlight w:val="none"/>
              </w:rPr>
            </w:pPr>
            <w:r>
              <w:rPr>
                <w:rFonts w:hint="eastAsia" w:ascii="宋体" w:hAnsi="宋体" w:cs="宋体"/>
                <w:sz w:val="24"/>
                <w:highlight w:val="none"/>
              </w:rPr>
              <w:t>条款名称</w:t>
            </w:r>
          </w:p>
        </w:tc>
        <w:tc>
          <w:tcPr>
            <w:tcW w:w="7042" w:type="dxa"/>
            <w:tcBorders>
              <w:tl2br w:val="nil"/>
              <w:tr2bl w:val="nil"/>
            </w:tcBorders>
            <w:vAlign w:val="center"/>
          </w:tcPr>
          <w:p w14:paraId="73433ED6">
            <w:pPr>
              <w:pStyle w:val="48"/>
              <w:shd w:val="clear"/>
              <w:jc w:val="center"/>
              <w:rPr>
                <w:rFonts w:hint="eastAsia" w:ascii="宋体" w:hAnsi="宋体" w:cs="宋体"/>
                <w:sz w:val="24"/>
                <w:highlight w:val="none"/>
              </w:rPr>
            </w:pPr>
            <w:r>
              <w:rPr>
                <w:rFonts w:hint="eastAsia" w:ascii="宋体" w:hAnsi="宋体" w:cs="宋体"/>
                <w:sz w:val="24"/>
                <w:highlight w:val="none"/>
              </w:rPr>
              <w:t>内  容</w:t>
            </w:r>
          </w:p>
        </w:tc>
      </w:tr>
      <w:tr w14:paraId="47D4F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0D2A2465">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01</w:t>
            </w:r>
          </w:p>
        </w:tc>
        <w:tc>
          <w:tcPr>
            <w:tcW w:w="1920" w:type="dxa"/>
            <w:tcBorders>
              <w:tl2br w:val="nil"/>
              <w:tr2bl w:val="nil"/>
            </w:tcBorders>
            <w:vAlign w:val="center"/>
          </w:tcPr>
          <w:p w14:paraId="24C2EF90">
            <w:pPr>
              <w:shd w:val="clear"/>
              <w:jc w:val="center"/>
              <w:rPr>
                <w:rFonts w:hint="eastAsia" w:ascii="宋体" w:hAnsi="宋体" w:cs="宋体"/>
                <w:sz w:val="24"/>
                <w:highlight w:val="none"/>
              </w:rPr>
            </w:pPr>
            <w:r>
              <w:rPr>
                <w:rFonts w:hint="eastAsia" w:ascii="宋体" w:hAnsi="宋体" w:cs="宋体"/>
                <w:sz w:val="24"/>
                <w:highlight w:val="none"/>
              </w:rPr>
              <w:t>踏勘现场</w:t>
            </w:r>
          </w:p>
          <w:p w14:paraId="656D3BFB">
            <w:pPr>
              <w:shd w:val="clear"/>
              <w:jc w:val="center"/>
              <w:rPr>
                <w:rFonts w:hint="eastAsia" w:ascii="宋体" w:hAnsi="宋体" w:cs="宋体"/>
                <w:sz w:val="24"/>
                <w:highlight w:val="none"/>
              </w:rPr>
            </w:pPr>
            <w:r>
              <w:rPr>
                <w:rFonts w:hint="eastAsia" w:ascii="宋体" w:hAnsi="宋体" w:cs="宋体"/>
                <w:sz w:val="24"/>
                <w:highlight w:val="none"/>
              </w:rPr>
              <w:t>（如有）</w:t>
            </w:r>
          </w:p>
        </w:tc>
        <w:tc>
          <w:tcPr>
            <w:tcW w:w="7042" w:type="dxa"/>
            <w:tcBorders>
              <w:tl2br w:val="nil"/>
              <w:tr2bl w:val="nil"/>
            </w:tcBorders>
            <w:vAlign w:val="center"/>
          </w:tcPr>
          <w:p w14:paraId="2AA2EFC4">
            <w:pPr>
              <w:pStyle w:val="48"/>
              <w:shd w:val="clear"/>
              <w:spacing w:line="360" w:lineRule="auto"/>
              <w:rPr>
                <w:rFonts w:hint="eastAsia" w:ascii="宋体" w:hAnsi="宋体" w:cs="宋体"/>
                <w:sz w:val="24"/>
                <w:highlight w:val="none"/>
              </w:rPr>
            </w:pPr>
            <w:r>
              <w:rPr>
                <w:rFonts w:hint="eastAsia" w:ascii="宋体" w:hAnsi="宋体" w:cs="宋体"/>
                <w:sz w:val="24"/>
                <w:highlight w:val="none"/>
              </w:rPr>
              <w:t>☑本项目无需踏勘现场</w:t>
            </w:r>
          </w:p>
        </w:tc>
      </w:tr>
      <w:tr w14:paraId="19194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4FC95B5F">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02</w:t>
            </w:r>
          </w:p>
        </w:tc>
        <w:tc>
          <w:tcPr>
            <w:tcW w:w="1920" w:type="dxa"/>
            <w:tcBorders>
              <w:tl2br w:val="nil"/>
              <w:tr2bl w:val="nil"/>
            </w:tcBorders>
            <w:vAlign w:val="center"/>
          </w:tcPr>
          <w:p w14:paraId="7AC32413">
            <w:pPr>
              <w:pStyle w:val="48"/>
              <w:shd w:val="clear"/>
              <w:jc w:val="center"/>
              <w:rPr>
                <w:rFonts w:hint="eastAsia" w:ascii="宋体" w:hAnsi="宋体" w:cs="宋体"/>
                <w:sz w:val="24"/>
                <w:highlight w:val="none"/>
              </w:rPr>
            </w:pPr>
            <w:r>
              <w:rPr>
                <w:rFonts w:hint="eastAsia" w:ascii="宋体" w:hAnsi="宋体" w:cs="宋体"/>
                <w:sz w:val="24"/>
                <w:highlight w:val="none"/>
              </w:rPr>
              <w:t>分包</w:t>
            </w:r>
          </w:p>
        </w:tc>
        <w:tc>
          <w:tcPr>
            <w:tcW w:w="7042" w:type="dxa"/>
            <w:tcBorders>
              <w:tl2br w:val="nil"/>
              <w:tr2bl w:val="nil"/>
            </w:tcBorders>
            <w:vAlign w:val="center"/>
          </w:tcPr>
          <w:p w14:paraId="2B4BE191">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不得分包的内容：</w:t>
            </w:r>
            <w:r>
              <w:rPr>
                <w:rFonts w:hint="eastAsia" w:ascii="宋体" w:hAnsi="宋体" w:cs="宋体"/>
                <w:sz w:val="24"/>
                <w:highlight w:val="none"/>
                <w:u w:val="single"/>
              </w:rPr>
              <w:t>均不得分包</w:t>
            </w:r>
          </w:p>
        </w:tc>
      </w:tr>
      <w:tr w14:paraId="313FC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7A4AD2C7">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03</w:t>
            </w:r>
          </w:p>
        </w:tc>
        <w:tc>
          <w:tcPr>
            <w:tcW w:w="1920" w:type="dxa"/>
            <w:tcBorders>
              <w:tl2br w:val="nil"/>
              <w:tr2bl w:val="nil"/>
            </w:tcBorders>
            <w:vAlign w:val="center"/>
          </w:tcPr>
          <w:p w14:paraId="23851FCB">
            <w:pPr>
              <w:pStyle w:val="48"/>
              <w:shd w:val="clear"/>
              <w:jc w:val="center"/>
              <w:rPr>
                <w:rFonts w:hint="eastAsia" w:ascii="宋体" w:hAnsi="宋体" w:cs="宋体"/>
                <w:sz w:val="24"/>
                <w:highlight w:val="none"/>
              </w:rPr>
            </w:pPr>
            <w:r>
              <w:rPr>
                <w:rFonts w:hint="eastAsia" w:ascii="宋体" w:hAnsi="宋体" w:cs="宋体"/>
                <w:sz w:val="24"/>
                <w:highlight w:val="none"/>
              </w:rPr>
              <w:t>构成询比文件的其他资料</w:t>
            </w:r>
          </w:p>
        </w:tc>
        <w:tc>
          <w:tcPr>
            <w:tcW w:w="7042" w:type="dxa"/>
            <w:tcBorders>
              <w:tl2br w:val="nil"/>
              <w:tr2bl w:val="nil"/>
            </w:tcBorders>
            <w:vAlign w:val="center"/>
          </w:tcPr>
          <w:p w14:paraId="45218031">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资料名称：/</w:t>
            </w:r>
          </w:p>
        </w:tc>
      </w:tr>
      <w:tr w14:paraId="58FB04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761B34E4">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04</w:t>
            </w:r>
          </w:p>
        </w:tc>
        <w:tc>
          <w:tcPr>
            <w:tcW w:w="1920" w:type="dxa"/>
            <w:tcBorders>
              <w:tl2br w:val="nil"/>
              <w:tr2bl w:val="nil"/>
            </w:tcBorders>
            <w:vAlign w:val="center"/>
          </w:tcPr>
          <w:p w14:paraId="0CC8FFD3">
            <w:pPr>
              <w:pStyle w:val="48"/>
              <w:shd w:val="clear"/>
              <w:jc w:val="center"/>
              <w:rPr>
                <w:rFonts w:hint="eastAsia" w:ascii="宋体" w:hAnsi="宋体" w:cs="宋体"/>
                <w:sz w:val="24"/>
                <w:highlight w:val="none"/>
              </w:rPr>
            </w:pPr>
            <w:r>
              <w:rPr>
                <w:rFonts w:hint="eastAsia" w:ascii="宋体" w:hAnsi="宋体" w:cs="宋体"/>
                <w:sz w:val="24"/>
                <w:highlight w:val="none"/>
              </w:rPr>
              <w:t>服务期</w:t>
            </w:r>
          </w:p>
          <w:p w14:paraId="160AF1D6">
            <w:pPr>
              <w:pStyle w:val="48"/>
              <w:shd w:val="clear"/>
              <w:jc w:val="center"/>
              <w:rPr>
                <w:rFonts w:hint="eastAsia" w:ascii="宋体" w:hAnsi="宋体" w:cs="宋体"/>
                <w:sz w:val="24"/>
                <w:highlight w:val="none"/>
              </w:rPr>
            </w:pPr>
            <w:r>
              <w:rPr>
                <w:rFonts w:hint="eastAsia" w:ascii="宋体" w:hAnsi="宋体" w:cs="宋体"/>
                <w:sz w:val="24"/>
                <w:highlight w:val="none"/>
              </w:rPr>
              <w:t>服务地点</w:t>
            </w:r>
          </w:p>
        </w:tc>
        <w:tc>
          <w:tcPr>
            <w:tcW w:w="7042" w:type="dxa"/>
            <w:tcBorders>
              <w:tl2br w:val="nil"/>
              <w:tr2bl w:val="nil"/>
            </w:tcBorders>
            <w:vAlign w:val="center"/>
          </w:tcPr>
          <w:p w14:paraId="3CEC4A5A">
            <w:pPr>
              <w:pStyle w:val="48"/>
              <w:shd w:val="clear"/>
              <w:spacing w:line="360" w:lineRule="auto"/>
              <w:rPr>
                <w:rFonts w:hint="eastAsia" w:ascii="宋体" w:hAnsi="宋体" w:cs="宋体"/>
                <w:sz w:val="24"/>
                <w:highlight w:val="none"/>
                <w:u w:val="single"/>
              </w:rPr>
            </w:pPr>
            <w:r>
              <w:rPr>
                <w:rFonts w:ascii="宋体" w:hAnsi="宋体" w:cs="宋体"/>
                <w:sz w:val="24"/>
                <w:highlight w:val="none"/>
                <w:u w:val="single"/>
              </w:rPr>
              <w:t>服务期限：</w:t>
            </w:r>
            <w:r>
              <w:rPr>
                <w:rFonts w:hint="eastAsia" w:ascii="宋体" w:hAnsi="宋体" w:cs="宋体"/>
                <w:sz w:val="24"/>
                <w:highlight w:val="none"/>
                <w:u w:val="single"/>
              </w:rPr>
              <w:t>服务期限共3年，合同签订采用“1+1+1模式”，合同一年一签，如上一年度服务反馈良好，甲乙双方同意，且年度预算能保障的前提下，可按成交价续签下一年度合同，续签次数不超过2次，续签的合同金额不超过当年的预算金额</w:t>
            </w:r>
            <w:r>
              <w:rPr>
                <w:rFonts w:ascii="宋体" w:hAnsi="宋体" w:cs="宋体"/>
                <w:sz w:val="24"/>
                <w:highlight w:val="none"/>
                <w:u w:val="single"/>
              </w:rPr>
              <w:t>。</w:t>
            </w:r>
          </w:p>
          <w:p w14:paraId="4FED2D98">
            <w:pPr>
              <w:pStyle w:val="48"/>
              <w:shd w:val="clear"/>
              <w:spacing w:line="360" w:lineRule="auto"/>
              <w:rPr>
                <w:rFonts w:hint="eastAsia" w:ascii="宋体" w:hAnsi="宋体" w:cs="宋体"/>
                <w:sz w:val="24"/>
                <w:highlight w:val="none"/>
                <w:u w:val="single"/>
              </w:rPr>
            </w:pPr>
            <w:r>
              <w:rPr>
                <w:rFonts w:ascii="宋体" w:hAnsi="宋体" w:cs="宋体"/>
                <w:sz w:val="24"/>
                <w:highlight w:val="none"/>
                <w:u w:val="single"/>
              </w:rPr>
              <w:t>服务地点：</w:t>
            </w:r>
            <w:r>
              <w:rPr>
                <w:rFonts w:hint="eastAsia" w:ascii="宋体" w:hAnsi="宋体" w:cs="宋体"/>
                <w:sz w:val="24"/>
                <w:highlight w:val="none"/>
                <w:u w:val="single"/>
              </w:rPr>
              <w:t>合肥市</w:t>
            </w:r>
          </w:p>
        </w:tc>
      </w:tr>
      <w:tr w14:paraId="7D49B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30E1B168">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05</w:t>
            </w:r>
          </w:p>
        </w:tc>
        <w:tc>
          <w:tcPr>
            <w:tcW w:w="1920" w:type="dxa"/>
            <w:tcBorders>
              <w:tl2br w:val="nil"/>
              <w:tr2bl w:val="nil"/>
            </w:tcBorders>
            <w:vAlign w:val="center"/>
          </w:tcPr>
          <w:p w14:paraId="5D5FA0AC">
            <w:pPr>
              <w:pStyle w:val="48"/>
              <w:shd w:val="clear"/>
              <w:jc w:val="center"/>
              <w:rPr>
                <w:rFonts w:hint="eastAsia" w:ascii="宋体" w:hAnsi="宋体" w:cs="宋体"/>
                <w:sz w:val="24"/>
                <w:highlight w:val="none"/>
              </w:rPr>
            </w:pPr>
            <w:r>
              <w:rPr>
                <w:rFonts w:hint="eastAsia" w:ascii="宋体" w:hAnsi="宋体" w:cs="宋体"/>
                <w:sz w:val="24"/>
                <w:highlight w:val="none"/>
              </w:rPr>
              <w:t>付款方式</w:t>
            </w:r>
          </w:p>
        </w:tc>
        <w:tc>
          <w:tcPr>
            <w:tcW w:w="7042" w:type="dxa"/>
            <w:tcBorders>
              <w:tl2br w:val="nil"/>
              <w:tr2bl w:val="nil"/>
            </w:tcBorders>
            <w:vAlign w:val="center"/>
          </w:tcPr>
          <w:p w14:paraId="38A3C1AC">
            <w:pPr>
              <w:shd w:val="clear"/>
              <w:spacing w:line="360" w:lineRule="auto"/>
              <w:rPr>
                <w:rFonts w:hint="eastAsia" w:ascii="宋体" w:hAnsi="宋体" w:cs="宋体"/>
                <w:sz w:val="24"/>
                <w:highlight w:val="none"/>
                <w:u w:val="single"/>
              </w:rPr>
            </w:pPr>
            <w:r>
              <w:rPr>
                <w:rFonts w:hint="eastAsia" w:ascii="宋体" w:hAnsi="宋体" w:cs="宋体"/>
                <w:sz w:val="24"/>
                <w:highlight w:val="none"/>
              </w:rPr>
              <w:t>付款方式：</w:t>
            </w:r>
            <w:r>
              <w:rPr>
                <w:rFonts w:hint="eastAsia" w:ascii="宋体" w:hAnsi="宋体" w:cs="宋体"/>
                <w:sz w:val="24"/>
                <w:highlight w:val="none"/>
                <w:lang w:val="en-US" w:eastAsia="zh-CN"/>
              </w:rPr>
              <w:t>每年度</w:t>
            </w:r>
            <w:r>
              <w:rPr>
                <w:rFonts w:hint="eastAsia" w:ascii="宋体" w:hAnsi="宋体" w:cs="宋体"/>
                <w:sz w:val="24"/>
                <w:highlight w:val="none"/>
              </w:rPr>
              <w:t>服务期满后，乙方提供服务结算清单，待甲方确认无误后，乙方应提供等额合规的增值税普通发票及盖章的服务结算单。甲方在收到发票和盖章的服务结算清单后15日内办理付款。</w:t>
            </w:r>
          </w:p>
        </w:tc>
      </w:tr>
      <w:tr w14:paraId="5F131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11444714">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06</w:t>
            </w:r>
          </w:p>
        </w:tc>
        <w:tc>
          <w:tcPr>
            <w:tcW w:w="1920" w:type="dxa"/>
            <w:tcBorders>
              <w:tl2br w:val="nil"/>
              <w:tr2bl w:val="nil"/>
            </w:tcBorders>
            <w:vAlign w:val="center"/>
          </w:tcPr>
          <w:p w14:paraId="036778F3">
            <w:pPr>
              <w:pStyle w:val="48"/>
              <w:shd w:val="clear"/>
              <w:jc w:val="center"/>
              <w:rPr>
                <w:rFonts w:hint="eastAsia" w:ascii="宋体" w:hAnsi="宋体" w:cs="宋体"/>
                <w:sz w:val="24"/>
                <w:highlight w:val="none"/>
              </w:rPr>
            </w:pPr>
            <w:r>
              <w:rPr>
                <w:rFonts w:hint="eastAsia" w:ascii="宋体" w:hAnsi="宋体" w:cs="宋体"/>
                <w:sz w:val="24"/>
                <w:highlight w:val="none"/>
              </w:rPr>
              <w:t>质保期</w:t>
            </w:r>
          </w:p>
        </w:tc>
        <w:tc>
          <w:tcPr>
            <w:tcW w:w="7042" w:type="dxa"/>
            <w:tcBorders>
              <w:tl2br w:val="nil"/>
              <w:tr2bl w:val="nil"/>
            </w:tcBorders>
            <w:vAlign w:val="center"/>
          </w:tcPr>
          <w:p w14:paraId="3397BBF9">
            <w:pPr>
              <w:shd w:val="clear"/>
              <w:spacing w:line="360" w:lineRule="auto"/>
              <w:rPr>
                <w:rFonts w:hint="eastAsia" w:ascii="宋体" w:hAnsi="宋体" w:cs="宋体"/>
                <w:sz w:val="24"/>
                <w:highlight w:val="none"/>
                <w:u w:val="single"/>
              </w:rPr>
            </w:pPr>
            <w:r>
              <w:rPr>
                <w:rFonts w:hint="eastAsia" w:ascii="宋体" w:hAnsi="宋体" w:cs="宋体"/>
                <w:sz w:val="24"/>
                <w:highlight w:val="none"/>
              </w:rPr>
              <w:t>质保期：服务类项目无此要求</w:t>
            </w:r>
          </w:p>
        </w:tc>
      </w:tr>
      <w:tr w14:paraId="0DA18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79F51355">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07</w:t>
            </w:r>
          </w:p>
        </w:tc>
        <w:tc>
          <w:tcPr>
            <w:tcW w:w="1920" w:type="dxa"/>
            <w:tcBorders>
              <w:tl2br w:val="nil"/>
              <w:tr2bl w:val="nil"/>
            </w:tcBorders>
            <w:vAlign w:val="center"/>
          </w:tcPr>
          <w:p w14:paraId="49F39133">
            <w:pPr>
              <w:pStyle w:val="48"/>
              <w:shd w:val="clear"/>
              <w:jc w:val="center"/>
              <w:rPr>
                <w:rFonts w:hint="eastAsia" w:ascii="宋体" w:hAnsi="宋体" w:cs="宋体"/>
                <w:sz w:val="24"/>
                <w:highlight w:val="none"/>
              </w:rPr>
            </w:pPr>
            <w:r>
              <w:rPr>
                <w:rFonts w:hint="eastAsia" w:ascii="宋体" w:hAnsi="宋体" w:cs="宋体"/>
                <w:sz w:val="24"/>
                <w:highlight w:val="none"/>
              </w:rPr>
              <w:t>询比文件澄清和询比文件异议</w:t>
            </w:r>
          </w:p>
        </w:tc>
        <w:tc>
          <w:tcPr>
            <w:tcW w:w="7042" w:type="dxa"/>
            <w:tcBorders>
              <w:tl2br w:val="nil"/>
              <w:tr2bl w:val="nil"/>
            </w:tcBorders>
            <w:vAlign w:val="center"/>
          </w:tcPr>
          <w:p w14:paraId="20162BF8">
            <w:pPr>
              <w:shd w:val="clear"/>
              <w:spacing w:line="360" w:lineRule="auto"/>
              <w:rPr>
                <w:rFonts w:hint="eastAsia" w:ascii="宋体" w:hAnsi="宋体" w:cs="宋体"/>
                <w:sz w:val="24"/>
                <w:highlight w:val="none"/>
              </w:rPr>
            </w:pPr>
            <w:r>
              <w:rPr>
                <w:rFonts w:hint="eastAsia" w:ascii="宋体" w:hAnsi="宋体" w:cs="宋体"/>
                <w:sz w:val="24"/>
                <w:highlight w:val="none"/>
              </w:rPr>
              <w:t>采购人将于</w:t>
            </w:r>
            <w:r>
              <w:rPr>
                <w:rFonts w:hint="eastAsia" w:ascii="宋体" w:hAnsi="宋体" w:cs="宋体"/>
                <w:sz w:val="24"/>
                <w:highlight w:val="none"/>
                <w:u w:val="single"/>
              </w:rPr>
              <w:t>2026年10</w:t>
            </w:r>
            <w:r>
              <w:rPr>
                <w:rFonts w:hint="eastAsia" w:ascii="宋体" w:hAnsi="宋体" w:cs="宋体"/>
                <w:sz w:val="24"/>
                <w:highlight w:val="none"/>
              </w:rPr>
              <w:t>月</w:t>
            </w:r>
            <w:r>
              <w:rPr>
                <w:rFonts w:hint="eastAsia" w:ascii="宋体" w:hAnsi="宋体" w:cs="宋体"/>
                <w:sz w:val="24"/>
                <w:highlight w:val="none"/>
                <w:u w:val="single"/>
                <w:lang w:val="en-US" w:eastAsia="zh-CN"/>
              </w:rPr>
              <w:t>23</w:t>
            </w:r>
            <w:r>
              <w:rPr>
                <w:rFonts w:hint="eastAsia" w:ascii="宋体" w:hAnsi="宋体" w:cs="宋体"/>
                <w:sz w:val="24"/>
                <w:highlight w:val="none"/>
              </w:rPr>
              <w:t>日</w:t>
            </w:r>
            <w:r>
              <w:rPr>
                <w:rFonts w:hint="eastAsia" w:ascii="宋体" w:hAnsi="宋体" w:cs="宋体"/>
                <w:sz w:val="24"/>
                <w:highlight w:val="none"/>
                <w:u w:val="single"/>
              </w:rPr>
              <w:t>17</w:t>
            </w:r>
            <w:r>
              <w:rPr>
                <w:rFonts w:hint="eastAsia" w:ascii="宋体" w:hAnsi="宋体" w:cs="宋体"/>
                <w:sz w:val="24"/>
                <w:highlight w:val="none"/>
              </w:rPr>
              <w:t>时前接受询比文件答疑与异议，逾期不予受理。采购人对询比文件进行的答疑、澄清、变更或补充，将会及时发布，该内容为询比文件的组成部分，对供应商具有同样约束力。供应商应主动查询。采购人不承担供应商未及时关注相关信息引发的相关责任。</w:t>
            </w:r>
          </w:p>
        </w:tc>
      </w:tr>
      <w:tr w14:paraId="74D13A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08964ECF">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08</w:t>
            </w:r>
          </w:p>
        </w:tc>
        <w:tc>
          <w:tcPr>
            <w:tcW w:w="1920" w:type="dxa"/>
            <w:tcBorders>
              <w:tl2br w:val="nil"/>
              <w:tr2bl w:val="nil"/>
            </w:tcBorders>
            <w:vAlign w:val="center"/>
          </w:tcPr>
          <w:p w14:paraId="095A0610">
            <w:pPr>
              <w:pStyle w:val="48"/>
              <w:shd w:val="clear"/>
              <w:jc w:val="center"/>
              <w:rPr>
                <w:rFonts w:hint="eastAsia" w:ascii="宋体" w:hAnsi="宋体" w:cs="宋体"/>
                <w:sz w:val="24"/>
                <w:highlight w:val="none"/>
              </w:rPr>
            </w:pPr>
            <w:r>
              <w:rPr>
                <w:rFonts w:hint="eastAsia" w:ascii="宋体" w:hAnsi="宋体" w:cs="宋体"/>
                <w:sz w:val="24"/>
                <w:highlight w:val="none"/>
              </w:rPr>
              <w:t>响应文件有效期</w:t>
            </w:r>
          </w:p>
        </w:tc>
        <w:tc>
          <w:tcPr>
            <w:tcW w:w="7042" w:type="dxa"/>
            <w:tcBorders>
              <w:tl2br w:val="nil"/>
              <w:tr2bl w:val="nil"/>
            </w:tcBorders>
            <w:vAlign w:val="center"/>
          </w:tcPr>
          <w:p w14:paraId="5DA74364">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有效期：120日历日</w:t>
            </w:r>
          </w:p>
        </w:tc>
      </w:tr>
      <w:tr w14:paraId="61601F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19B5A5AA">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09</w:t>
            </w:r>
          </w:p>
        </w:tc>
        <w:tc>
          <w:tcPr>
            <w:tcW w:w="1920" w:type="dxa"/>
            <w:tcBorders>
              <w:tl2br w:val="nil"/>
              <w:tr2bl w:val="nil"/>
            </w:tcBorders>
            <w:vAlign w:val="center"/>
          </w:tcPr>
          <w:p w14:paraId="68A12593">
            <w:pPr>
              <w:shd w:val="clear"/>
              <w:jc w:val="center"/>
              <w:rPr>
                <w:rFonts w:hint="eastAsia" w:ascii="宋体" w:hAnsi="宋体" w:cs="宋体"/>
                <w:sz w:val="24"/>
                <w:highlight w:val="none"/>
              </w:rPr>
            </w:pPr>
            <w:r>
              <w:rPr>
                <w:rFonts w:hint="eastAsia" w:ascii="宋体" w:hAnsi="宋体" w:cs="宋体"/>
                <w:sz w:val="24"/>
                <w:highlight w:val="none"/>
              </w:rPr>
              <w:t>最高限价或其计算方法</w:t>
            </w:r>
          </w:p>
        </w:tc>
        <w:tc>
          <w:tcPr>
            <w:tcW w:w="7042" w:type="dxa"/>
            <w:tcBorders>
              <w:tl2br w:val="nil"/>
              <w:tr2bl w:val="nil"/>
            </w:tcBorders>
            <w:vAlign w:val="center"/>
          </w:tcPr>
          <w:p w14:paraId="092B68CC">
            <w:pPr>
              <w:pStyle w:val="48"/>
              <w:shd w:val="clear"/>
              <w:spacing w:line="360" w:lineRule="auto"/>
              <w:rPr>
                <w:rFonts w:hint="eastAsia" w:ascii="宋体" w:hAnsi="宋体" w:cs="宋体"/>
                <w:sz w:val="24"/>
                <w:highlight w:val="none"/>
              </w:rPr>
            </w:pPr>
            <w:r>
              <w:rPr>
                <w:rFonts w:hint="eastAsia" w:ascii="宋体" w:hAnsi="宋体" w:cs="宋体"/>
                <w:sz w:val="24"/>
                <w:highlight w:val="none"/>
              </w:rPr>
              <w:t>37.15 万元</w:t>
            </w:r>
          </w:p>
        </w:tc>
      </w:tr>
      <w:tr w14:paraId="6F3D4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3F9C66A5">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10</w:t>
            </w:r>
          </w:p>
        </w:tc>
        <w:tc>
          <w:tcPr>
            <w:tcW w:w="1920" w:type="dxa"/>
            <w:tcBorders>
              <w:tl2br w:val="nil"/>
              <w:tr2bl w:val="nil"/>
            </w:tcBorders>
            <w:vAlign w:val="center"/>
          </w:tcPr>
          <w:p w14:paraId="6E1A93D7">
            <w:pPr>
              <w:pStyle w:val="48"/>
              <w:shd w:val="clear"/>
              <w:jc w:val="center"/>
              <w:rPr>
                <w:rFonts w:hint="eastAsia" w:ascii="宋体" w:hAnsi="宋体" w:cs="宋体"/>
                <w:sz w:val="24"/>
                <w:highlight w:val="none"/>
              </w:rPr>
            </w:pPr>
            <w:r>
              <w:rPr>
                <w:rFonts w:hint="eastAsia" w:ascii="宋体" w:hAnsi="宋体" w:cs="宋体"/>
                <w:sz w:val="24"/>
                <w:highlight w:val="none"/>
              </w:rPr>
              <w:t>响应报价的其他要求</w:t>
            </w:r>
          </w:p>
        </w:tc>
        <w:tc>
          <w:tcPr>
            <w:tcW w:w="7042" w:type="dxa"/>
            <w:tcBorders>
              <w:tl2br w:val="nil"/>
              <w:tr2bl w:val="nil"/>
            </w:tcBorders>
            <w:vAlign w:val="center"/>
          </w:tcPr>
          <w:p w14:paraId="0CA69F63">
            <w:pPr>
              <w:pStyle w:val="45"/>
              <w:shd w:val="clear"/>
              <w:spacing w:line="360" w:lineRule="auto"/>
              <w:rPr>
                <w:rFonts w:hint="eastAsia"/>
                <w:sz w:val="24"/>
                <w:highlight w:val="none"/>
                <w:u w:val="single"/>
                <w:lang w:eastAsia="zh-CN"/>
              </w:rPr>
            </w:pPr>
            <w:r>
              <w:rPr>
                <w:rFonts w:hint="eastAsia"/>
                <w:sz w:val="24"/>
                <w:highlight w:val="none"/>
                <w:u w:val="single"/>
                <w:lang w:eastAsia="zh-CN"/>
              </w:rPr>
              <w:t>详见“第六章采购需求”</w:t>
            </w:r>
          </w:p>
        </w:tc>
      </w:tr>
      <w:tr w14:paraId="6C408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1D7C5ECB">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11</w:t>
            </w:r>
          </w:p>
        </w:tc>
        <w:tc>
          <w:tcPr>
            <w:tcW w:w="1920" w:type="dxa"/>
            <w:tcBorders>
              <w:tl2br w:val="nil"/>
              <w:tr2bl w:val="nil"/>
            </w:tcBorders>
            <w:vAlign w:val="center"/>
          </w:tcPr>
          <w:p w14:paraId="474D607F">
            <w:pPr>
              <w:pStyle w:val="48"/>
              <w:shd w:val="clear"/>
              <w:jc w:val="center"/>
              <w:rPr>
                <w:rFonts w:hint="eastAsia" w:ascii="宋体" w:hAnsi="宋体" w:cs="宋体"/>
                <w:sz w:val="24"/>
                <w:highlight w:val="none"/>
              </w:rPr>
            </w:pPr>
            <w:r>
              <w:rPr>
                <w:rFonts w:hint="eastAsia" w:ascii="宋体" w:hAnsi="宋体" w:cs="宋体"/>
                <w:sz w:val="24"/>
                <w:highlight w:val="none"/>
              </w:rPr>
              <w:t>询比担保</w:t>
            </w:r>
          </w:p>
        </w:tc>
        <w:tc>
          <w:tcPr>
            <w:tcW w:w="7042" w:type="dxa"/>
            <w:tcBorders>
              <w:tl2br w:val="nil"/>
              <w:tr2bl w:val="nil"/>
            </w:tcBorders>
            <w:vAlign w:val="center"/>
          </w:tcPr>
          <w:p w14:paraId="7E7BBE4D">
            <w:pPr>
              <w:pStyle w:val="45"/>
              <w:shd w:val="clear"/>
              <w:spacing w:line="360" w:lineRule="auto"/>
              <w:rPr>
                <w:rFonts w:hint="eastAsia"/>
                <w:sz w:val="24"/>
                <w:highlight w:val="none"/>
                <w:lang w:eastAsia="zh-CN"/>
              </w:rPr>
            </w:pPr>
            <w:r>
              <w:rPr>
                <w:rFonts w:hint="eastAsia"/>
                <w:sz w:val="24"/>
                <w:highlight w:val="none"/>
                <w:lang w:eastAsia="zh-CN"/>
              </w:rPr>
              <w:t>无</w:t>
            </w:r>
          </w:p>
        </w:tc>
      </w:tr>
      <w:tr w14:paraId="16973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03412799">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12</w:t>
            </w:r>
          </w:p>
        </w:tc>
        <w:tc>
          <w:tcPr>
            <w:tcW w:w="1920" w:type="dxa"/>
            <w:tcBorders>
              <w:tl2br w:val="nil"/>
              <w:tr2bl w:val="nil"/>
            </w:tcBorders>
            <w:vAlign w:val="center"/>
          </w:tcPr>
          <w:p w14:paraId="7598DB7D">
            <w:pPr>
              <w:pStyle w:val="50"/>
              <w:widowControl w:val="0"/>
              <w:shd w:val="clear"/>
              <w:wordWrap w:val="0"/>
              <w:spacing w:before="0" w:beforeAutospacing="0" w:after="0" w:afterAutospacing="0" w:line="360" w:lineRule="auto"/>
              <w:rPr>
                <w:rFonts w:hint="eastAsia" w:cs="宋体"/>
                <w:sz w:val="24"/>
                <w:highlight w:val="none"/>
              </w:rPr>
            </w:pPr>
            <w:r>
              <w:rPr>
                <w:rFonts w:hint="eastAsia" w:cs="宋体"/>
                <w:b w:val="0"/>
                <w:sz w:val="24"/>
                <w:szCs w:val="24"/>
                <w:highlight w:val="none"/>
              </w:rPr>
              <w:t>询比要求</w:t>
            </w:r>
          </w:p>
        </w:tc>
        <w:tc>
          <w:tcPr>
            <w:tcW w:w="7042" w:type="dxa"/>
            <w:tcBorders>
              <w:tl2br w:val="nil"/>
              <w:tr2bl w:val="nil"/>
            </w:tcBorders>
            <w:vAlign w:val="center"/>
          </w:tcPr>
          <w:p w14:paraId="0429527C">
            <w:pPr>
              <w:shd w:val="clear"/>
              <w:wordWrap w:val="0"/>
              <w:spacing w:line="360" w:lineRule="auto"/>
              <w:jc w:val="left"/>
              <w:rPr>
                <w:rFonts w:hint="eastAsia" w:ascii="宋体" w:hAnsi="宋体" w:cs="宋体"/>
                <w:bCs/>
                <w:kern w:val="0"/>
                <w:sz w:val="24"/>
                <w:szCs w:val="24"/>
                <w:highlight w:val="none"/>
              </w:rPr>
            </w:pPr>
            <w:r>
              <w:rPr>
                <w:rFonts w:hint="eastAsia" w:ascii="宋体" w:hAnsi="宋体" w:cs="宋体"/>
                <w:b/>
                <w:kern w:val="0"/>
                <w:sz w:val="24"/>
                <w:szCs w:val="24"/>
                <w:highlight w:val="none"/>
              </w:rPr>
              <w:t>1.加密的电子询比文件</w:t>
            </w:r>
            <w:r>
              <w:rPr>
                <w:rFonts w:hint="eastAsia" w:ascii="宋体" w:hAnsi="宋体" w:cs="宋体"/>
                <w:bCs/>
                <w:kern w:val="0"/>
                <w:sz w:val="24"/>
                <w:szCs w:val="24"/>
                <w:highlight w:val="none"/>
              </w:rPr>
              <w:t>：</w:t>
            </w:r>
          </w:p>
          <w:p w14:paraId="404E2435">
            <w:pPr>
              <w:shd w:val="clear"/>
              <w:wordWrap w:val="0"/>
              <w:spacing w:line="360" w:lineRule="auto"/>
              <w:jc w:val="left"/>
              <w:rPr>
                <w:rFonts w:hint="eastAsia" w:ascii="宋体" w:hAnsi="宋体" w:cs="宋体"/>
                <w:bCs/>
                <w:kern w:val="0"/>
                <w:sz w:val="24"/>
                <w:szCs w:val="24"/>
                <w:highlight w:val="none"/>
              </w:rPr>
            </w:pPr>
            <w:r>
              <w:rPr>
                <w:rFonts w:hint="eastAsia" w:ascii="宋体" w:hAnsi="宋体" w:cs="宋体"/>
                <w:bCs/>
                <w:kern w:val="0"/>
                <w:sz w:val="24"/>
                <w:szCs w:val="24"/>
                <w:highlight w:val="none"/>
              </w:rPr>
              <w:t>使用安招采平台“询比文件制作工具”制作生成的加密电子询比文件(azc_zb格式)，应在询比文件提交截止时间前通过安招采平台投标</w:t>
            </w:r>
            <w:r>
              <w:rPr>
                <w:rFonts w:hint="eastAsia"/>
                <w:sz w:val="24"/>
                <w:highlight w:val="none"/>
              </w:rPr>
              <w:t>供应商</w:t>
            </w:r>
            <w:r>
              <w:rPr>
                <w:rFonts w:hint="eastAsia" w:ascii="宋体" w:hAnsi="宋体" w:cs="宋体"/>
                <w:bCs/>
                <w:kern w:val="0"/>
                <w:sz w:val="24"/>
                <w:szCs w:val="24"/>
                <w:highlight w:val="none"/>
              </w:rPr>
              <w:t>系统上传。</w:t>
            </w:r>
          </w:p>
          <w:p w14:paraId="10CFD1D5">
            <w:pPr>
              <w:widowControl/>
              <w:shd w:val="clear"/>
              <w:wordWrap w:val="0"/>
              <w:spacing w:line="360" w:lineRule="auto"/>
              <w:jc w:val="left"/>
              <w:rPr>
                <w:rFonts w:hint="eastAsia" w:ascii="宋体" w:hAnsi="宋体" w:cs="宋体"/>
                <w:bCs/>
                <w:kern w:val="0"/>
                <w:sz w:val="24"/>
                <w:szCs w:val="24"/>
                <w:highlight w:val="none"/>
              </w:rPr>
            </w:pPr>
            <w:r>
              <w:rPr>
                <w:rFonts w:hint="eastAsia" w:ascii="宋体" w:hAnsi="宋体" w:cs="宋体"/>
                <w:b/>
                <w:kern w:val="0"/>
                <w:sz w:val="24"/>
                <w:szCs w:val="24"/>
                <w:highlight w:val="none"/>
              </w:rPr>
              <w:t>2.未加密的电子询比文件</w:t>
            </w:r>
            <w:r>
              <w:rPr>
                <w:rFonts w:hint="eastAsia" w:ascii="宋体" w:hAnsi="宋体" w:cs="宋体"/>
                <w:bCs/>
                <w:kern w:val="0"/>
                <w:sz w:val="24"/>
                <w:szCs w:val="24"/>
                <w:highlight w:val="none"/>
              </w:rPr>
              <w:t>：</w:t>
            </w:r>
          </w:p>
          <w:p w14:paraId="0FB1A449">
            <w:pPr>
              <w:widowControl/>
              <w:shd w:val="clear"/>
              <w:wordWrap w:val="0"/>
              <w:spacing w:line="360" w:lineRule="auto"/>
              <w:jc w:val="left"/>
              <w:rPr>
                <w:rFonts w:hint="eastAsia" w:ascii="宋体" w:hAnsi="宋体" w:cs="宋体"/>
                <w:sz w:val="24"/>
                <w:szCs w:val="24"/>
                <w:highlight w:val="none"/>
              </w:rPr>
            </w:pPr>
            <w:r>
              <w:rPr>
                <w:rFonts w:ascii="宋体" w:hAnsi="宋体" w:cs="宋体"/>
                <w:b/>
                <w:bCs/>
                <w:sz w:val="24"/>
                <w:szCs w:val="24"/>
                <w:highlight w:val="none"/>
              </w:rPr>
              <w:t>是否提交由</w:t>
            </w:r>
            <w:r>
              <w:rPr>
                <w:rFonts w:hint="eastAsia" w:ascii="宋体" w:hAnsi="宋体" w:cs="宋体"/>
                <w:b/>
                <w:bCs/>
                <w:sz w:val="24"/>
                <w:szCs w:val="24"/>
                <w:highlight w:val="none"/>
              </w:rPr>
              <w:t>供应商</w:t>
            </w:r>
            <w:r>
              <w:rPr>
                <w:rFonts w:ascii="宋体" w:hAnsi="宋体" w:cs="宋体"/>
                <w:b/>
                <w:bCs/>
                <w:sz w:val="24"/>
                <w:szCs w:val="24"/>
                <w:highlight w:val="none"/>
              </w:rPr>
              <w:t>自行决定。</w:t>
            </w:r>
            <w:r>
              <w:rPr>
                <w:rFonts w:ascii="宋体" w:hAnsi="宋体" w:cs="宋体"/>
                <w:sz w:val="24"/>
                <w:szCs w:val="24"/>
                <w:highlight w:val="none"/>
              </w:rPr>
              <w:t>生成加密电子</w:t>
            </w:r>
            <w:r>
              <w:rPr>
                <w:rFonts w:hint="eastAsia" w:ascii="宋体" w:hAnsi="宋体" w:cs="宋体"/>
                <w:sz w:val="24"/>
                <w:szCs w:val="24"/>
                <w:highlight w:val="none"/>
              </w:rPr>
              <w:t>询比文件</w:t>
            </w:r>
            <w:r>
              <w:rPr>
                <w:rFonts w:ascii="宋体" w:hAnsi="宋体" w:cs="宋体"/>
                <w:sz w:val="24"/>
                <w:szCs w:val="24"/>
                <w:highlight w:val="none"/>
              </w:rPr>
              <w:t>时同时生成未加密的电子</w:t>
            </w:r>
            <w:r>
              <w:rPr>
                <w:rFonts w:hint="eastAsia" w:ascii="宋体" w:hAnsi="宋体" w:cs="宋体"/>
                <w:sz w:val="24"/>
                <w:szCs w:val="24"/>
                <w:highlight w:val="none"/>
              </w:rPr>
              <w:t>询比文件</w:t>
            </w:r>
            <w:r>
              <w:rPr>
                <w:rFonts w:ascii="宋体" w:hAnsi="宋体" w:cs="宋体"/>
                <w:sz w:val="24"/>
                <w:szCs w:val="24"/>
                <w:highlight w:val="none"/>
              </w:rPr>
              <w:t>。如提交，</w:t>
            </w:r>
            <w:r>
              <w:rPr>
                <w:rFonts w:hint="eastAsia"/>
                <w:sz w:val="24"/>
                <w:highlight w:val="none"/>
              </w:rPr>
              <w:t>供应商</w:t>
            </w:r>
            <w:r>
              <w:rPr>
                <w:rFonts w:ascii="宋体" w:hAnsi="宋体" w:cs="宋体"/>
                <w:sz w:val="24"/>
                <w:szCs w:val="24"/>
                <w:highlight w:val="none"/>
              </w:rPr>
              <w:t>通过压缩包设置密码的形式在</w:t>
            </w:r>
            <w:r>
              <w:rPr>
                <w:rFonts w:hint="eastAsia" w:ascii="宋体" w:hAnsi="宋体" w:cs="宋体"/>
                <w:sz w:val="24"/>
                <w:szCs w:val="24"/>
                <w:highlight w:val="none"/>
              </w:rPr>
              <w:t>询比文件</w:t>
            </w:r>
            <w:r>
              <w:rPr>
                <w:rFonts w:ascii="宋体" w:hAnsi="宋体" w:cs="宋体"/>
                <w:sz w:val="24"/>
                <w:szCs w:val="24"/>
                <w:highlight w:val="none"/>
              </w:rPr>
              <w:t>提交截止时间前发送至邮箱（邮箱信息详见招标公告或</w:t>
            </w:r>
            <w:r>
              <w:rPr>
                <w:rFonts w:hint="eastAsia"/>
                <w:sz w:val="24"/>
                <w:highlight w:val="none"/>
              </w:rPr>
              <w:t>供应商</w:t>
            </w:r>
            <w:r>
              <w:rPr>
                <w:rFonts w:ascii="宋体" w:hAnsi="宋体" w:cs="宋体"/>
                <w:sz w:val="24"/>
                <w:szCs w:val="24"/>
                <w:highlight w:val="none"/>
              </w:rPr>
              <w:t>须知前附表）。 若因解密不成功确须使用到该未加密电子</w:t>
            </w:r>
            <w:r>
              <w:rPr>
                <w:rFonts w:hint="eastAsia" w:ascii="宋体" w:hAnsi="宋体" w:cs="宋体"/>
                <w:sz w:val="24"/>
                <w:szCs w:val="24"/>
                <w:highlight w:val="none"/>
              </w:rPr>
              <w:t>询比文件</w:t>
            </w:r>
            <w:r>
              <w:rPr>
                <w:rFonts w:ascii="宋体" w:hAnsi="宋体" w:cs="宋体"/>
                <w:sz w:val="24"/>
                <w:szCs w:val="24"/>
                <w:highlight w:val="none"/>
              </w:rPr>
              <w:t>，项目负责人将主动联系</w:t>
            </w:r>
            <w:r>
              <w:rPr>
                <w:rFonts w:hint="eastAsia"/>
                <w:sz w:val="24"/>
                <w:highlight w:val="none"/>
              </w:rPr>
              <w:t>供应商</w:t>
            </w:r>
            <w:r>
              <w:rPr>
                <w:rFonts w:ascii="宋体" w:hAnsi="宋体" w:cs="宋体"/>
                <w:sz w:val="24"/>
                <w:szCs w:val="24"/>
                <w:highlight w:val="none"/>
              </w:rPr>
              <w:t>获取“加密压缩包”的密码，解密压缩包后导入未加密电子</w:t>
            </w:r>
            <w:r>
              <w:rPr>
                <w:rFonts w:hint="eastAsia" w:ascii="宋体" w:hAnsi="宋体" w:cs="宋体"/>
                <w:sz w:val="24"/>
                <w:szCs w:val="24"/>
                <w:highlight w:val="none"/>
              </w:rPr>
              <w:t>询比文件</w:t>
            </w:r>
            <w:r>
              <w:rPr>
                <w:rFonts w:ascii="宋体" w:hAnsi="宋体" w:cs="宋体"/>
                <w:sz w:val="24"/>
                <w:szCs w:val="24"/>
                <w:highlight w:val="none"/>
              </w:rPr>
              <w:t>继续开启。</w:t>
            </w:r>
          </w:p>
          <w:p w14:paraId="2CF83812">
            <w:pPr>
              <w:widowControl/>
              <w:shd w:val="clear"/>
              <w:wordWrap w:val="0"/>
              <w:spacing w:line="360" w:lineRule="auto"/>
              <w:jc w:val="left"/>
              <w:rPr>
                <w:rFonts w:hint="eastAsia" w:ascii="宋体" w:hAnsi="宋体" w:cs="宋体"/>
                <w:bCs/>
                <w:kern w:val="0"/>
                <w:sz w:val="24"/>
                <w:szCs w:val="24"/>
                <w:highlight w:val="none"/>
              </w:rPr>
            </w:pPr>
            <w:r>
              <w:rPr>
                <w:rFonts w:hint="eastAsia" w:ascii="宋体" w:hAnsi="宋体" w:cs="宋体"/>
                <w:b/>
                <w:kern w:val="0"/>
                <w:sz w:val="24"/>
                <w:szCs w:val="24"/>
                <w:highlight w:val="none"/>
              </w:rPr>
              <w:t>3.纸质询比文件</w:t>
            </w:r>
            <w:r>
              <w:rPr>
                <w:rFonts w:hint="eastAsia" w:ascii="宋体" w:hAnsi="宋体" w:cs="宋体"/>
                <w:bCs/>
                <w:kern w:val="0"/>
                <w:sz w:val="24"/>
                <w:szCs w:val="24"/>
                <w:highlight w:val="none"/>
              </w:rPr>
              <w:t>：</w:t>
            </w:r>
          </w:p>
          <w:p w14:paraId="498BE32E">
            <w:pPr>
              <w:pStyle w:val="50"/>
              <w:widowControl w:val="0"/>
              <w:shd w:val="clear"/>
              <w:wordWrap w:val="0"/>
              <w:spacing w:before="0" w:beforeAutospacing="0" w:after="0" w:afterAutospacing="0" w:line="360" w:lineRule="auto"/>
              <w:jc w:val="left"/>
              <w:rPr>
                <w:rFonts w:hint="eastAsia" w:cs="宋体"/>
                <w:szCs w:val="21"/>
                <w:highlight w:val="none"/>
              </w:rPr>
            </w:pPr>
            <w:r>
              <w:rPr>
                <w:rFonts w:hint="eastAsia" w:cs="宋体"/>
                <w:sz w:val="24"/>
                <w:szCs w:val="24"/>
                <w:highlight w:val="none"/>
              </w:rPr>
              <w:t>投标时无需提交</w:t>
            </w:r>
            <w:r>
              <w:rPr>
                <w:rFonts w:hint="eastAsia" w:cs="宋体"/>
                <w:b w:val="0"/>
                <w:bCs w:val="0"/>
                <w:sz w:val="24"/>
                <w:szCs w:val="24"/>
                <w:highlight w:val="none"/>
              </w:rPr>
              <w:t>。成交</w:t>
            </w:r>
            <w:r>
              <w:rPr>
                <w:rFonts w:hint="eastAsia" w:cs="宋体"/>
                <w:b w:val="0"/>
                <w:bCs w:val="0"/>
                <w:kern w:val="2"/>
                <w:sz w:val="24"/>
                <w:szCs w:val="24"/>
                <w:highlight w:val="none"/>
              </w:rPr>
              <w:t>供应商在领取入围通知书时，按招标人要求提交纸质询比文件。纸质询比文件为加密电子询比文件的打印版。</w:t>
            </w:r>
          </w:p>
        </w:tc>
      </w:tr>
      <w:tr w14:paraId="166909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413EDBC9">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13</w:t>
            </w:r>
          </w:p>
        </w:tc>
        <w:tc>
          <w:tcPr>
            <w:tcW w:w="1920" w:type="dxa"/>
            <w:tcBorders>
              <w:tl2br w:val="nil"/>
              <w:tr2bl w:val="nil"/>
            </w:tcBorders>
            <w:vAlign w:val="center"/>
          </w:tcPr>
          <w:p w14:paraId="23827641">
            <w:pPr>
              <w:shd w:val="clear"/>
              <w:jc w:val="center"/>
              <w:rPr>
                <w:rFonts w:hint="eastAsia" w:ascii="宋体" w:hAnsi="宋体" w:cs="宋体"/>
                <w:sz w:val="24"/>
                <w:highlight w:val="none"/>
              </w:rPr>
            </w:pPr>
            <w:r>
              <w:rPr>
                <w:rFonts w:hint="eastAsia" w:ascii="宋体" w:hAnsi="宋体" w:cs="宋体"/>
                <w:sz w:val="24"/>
                <w:highlight w:val="none"/>
              </w:rPr>
              <w:t>资质要求</w:t>
            </w:r>
          </w:p>
          <w:p w14:paraId="5EFF52FC">
            <w:pPr>
              <w:shd w:val="clear"/>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tcBorders>
              <w:tl2br w:val="nil"/>
              <w:tr2bl w:val="nil"/>
            </w:tcBorders>
            <w:vAlign w:val="center"/>
          </w:tcPr>
          <w:p w14:paraId="041F704E">
            <w:pPr>
              <w:pStyle w:val="45"/>
              <w:shd w:val="clear"/>
              <w:spacing w:line="360" w:lineRule="auto"/>
              <w:rPr>
                <w:rFonts w:hint="eastAsia"/>
                <w:sz w:val="24"/>
                <w:highlight w:val="none"/>
                <w:lang w:eastAsia="zh-CN"/>
              </w:rPr>
            </w:pPr>
            <w:r>
              <w:rPr>
                <w:rFonts w:hint="eastAsia"/>
                <w:sz w:val="24"/>
                <w:highlight w:val="none"/>
                <w:lang w:eastAsia="zh-CN"/>
              </w:rPr>
              <w:t>☑适用。供应商应提供相关资质证书的复印件或影印件，以证明具有承担本项目要求的资质</w:t>
            </w:r>
          </w:p>
          <w:p w14:paraId="4524233F">
            <w:pPr>
              <w:pStyle w:val="48"/>
              <w:shd w:val="clear"/>
              <w:spacing w:line="360" w:lineRule="auto"/>
              <w:rPr>
                <w:rFonts w:hint="eastAsia" w:ascii="宋体" w:hAnsi="宋体" w:cs="宋体"/>
                <w:sz w:val="24"/>
                <w:highlight w:val="none"/>
              </w:rPr>
            </w:pPr>
            <w:r>
              <w:rPr>
                <w:rFonts w:hint="eastAsia"/>
                <w:sz w:val="24"/>
                <w:highlight w:val="none"/>
              </w:rPr>
              <w:t>资质证书包括：详见询比公告</w:t>
            </w:r>
          </w:p>
        </w:tc>
      </w:tr>
      <w:tr w14:paraId="52349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56A1E0A9">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14</w:t>
            </w:r>
          </w:p>
        </w:tc>
        <w:tc>
          <w:tcPr>
            <w:tcW w:w="1920" w:type="dxa"/>
            <w:tcBorders>
              <w:tl2br w:val="nil"/>
              <w:tr2bl w:val="nil"/>
            </w:tcBorders>
            <w:vAlign w:val="center"/>
          </w:tcPr>
          <w:p w14:paraId="1B34A86F">
            <w:pPr>
              <w:shd w:val="clear"/>
              <w:jc w:val="center"/>
              <w:rPr>
                <w:rFonts w:hint="eastAsia" w:ascii="宋体" w:hAnsi="宋体" w:cs="宋体"/>
                <w:sz w:val="24"/>
                <w:highlight w:val="none"/>
              </w:rPr>
            </w:pPr>
            <w:r>
              <w:rPr>
                <w:rFonts w:hint="eastAsia" w:ascii="宋体" w:hAnsi="宋体" w:cs="宋体"/>
                <w:sz w:val="24"/>
                <w:highlight w:val="none"/>
              </w:rPr>
              <w:t>财务要求</w:t>
            </w:r>
          </w:p>
          <w:p w14:paraId="4E2E7986">
            <w:pPr>
              <w:shd w:val="clear"/>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tcBorders>
              <w:tl2br w:val="nil"/>
              <w:tr2bl w:val="nil"/>
            </w:tcBorders>
            <w:vAlign w:val="center"/>
          </w:tcPr>
          <w:p w14:paraId="67F8E34B">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☑不适用</w:t>
            </w:r>
          </w:p>
        </w:tc>
      </w:tr>
      <w:tr w14:paraId="4AD80F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46A023A1">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15</w:t>
            </w:r>
          </w:p>
        </w:tc>
        <w:tc>
          <w:tcPr>
            <w:tcW w:w="1920" w:type="dxa"/>
            <w:tcBorders>
              <w:tl2br w:val="nil"/>
              <w:tr2bl w:val="nil"/>
            </w:tcBorders>
            <w:vAlign w:val="center"/>
          </w:tcPr>
          <w:p w14:paraId="0883A498">
            <w:pPr>
              <w:shd w:val="clear"/>
              <w:jc w:val="center"/>
              <w:rPr>
                <w:rFonts w:hint="eastAsia" w:ascii="宋体" w:hAnsi="宋体" w:cs="宋体"/>
                <w:sz w:val="24"/>
                <w:highlight w:val="none"/>
              </w:rPr>
            </w:pPr>
            <w:r>
              <w:rPr>
                <w:rFonts w:hint="eastAsia" w:ascii="宋体" w:hAnsi="宋体" w:cs="宋体"/>
                <w:sz w:val="24"/>
                <w:highlight w:val="none"/>
              </w:rPr>
              <w:t>业绩要求</w:t>
            </w:r>
          </w:p>
          <w:p w14:paraId="3D4E0B2C">
            <w:pPr>
              <w:shd w:val="clear"/>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tcBorders>
              <w:tl2br w:val="nil"/>
              <w:tr2bl w:val="nil"/>
            </w:tcBorders>
            <w:vAlign w:val="center"/>
          </w:tcPr>
          <w:p w14:paraId="760F7A69">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适用，见询比公告。</w:t>
            </w:r>
          </w:p>
        </w:tc>
      </w:tr>
      <w:tr w14:paraId="18413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5DE1DBB2">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16</w:t>
            </w:r>
          </w:p>
        </w:tc>
        <w:tc>
          <w:tcPr>
            <w:tcW w:w="1920" w:type="dxa"/>
            <w:tcBorders>
              <w:tl2br w:val="nil"/>
              <w:tr2bl w:val="nil"/>
            </w:tcBorders>
            <w:vAlign w:val="center"/>
          </w:tcPr>
          <w:p w14:paraId="3CB6216B">
            <w:pPr>
              <w:shd w:val="clear"/>
              <w:jc w:val="center"/>
              <w:rPr>
                <w:rFonts w:hint="eastAsia" w:ascii="宋体" w:hAnsi="宋体" w:cs="宋体"/>
                <w:sz w:val="24"/>
                <w:highlight w:val="none"/>
              </w:rPr>
            </w:pPr>
            <w:r>
              <w:rPr>
                <w:rFonts w:hint="eastAsia" w:ascii="宋体" w:hAnsi="宋体" w:cs="宋体"/>
                <w:sz w:val="24"/>
                <w:highlight w:val="none"/>
              </w:rPr>
              <w:t>信誉要求</w:t>
            </w:r>
          </w:p>
          <w:p w14:paraId="322CD2F9">
            <w:pPr>
              <w:shd w:val="clear"/>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tcBorders>
              <w:tl2br w:val="nil"/>
              <w:tr2bl w:val="nil"/>
            </w:tcBorders>
            <w:vAlign w:val="center"/>
          </w:tcPr>
          <w:p w14:paraId="7CA670C5">
            <w:pPr>
              <w:pStyle w:val="48"/>
              <w:shd w:val="clear"/>
              <w:spacing w:line="360" w:lineRule="auto"/>
              <w:rPr>
                <w:rFonts w:hint="eastAsia" w:ascii="宋体" w:hAnsi="宋体" w:cs="宋体"/>
                <w:sz w:val="24"/>
                <w:highlight w:val="none"/>
              </w:rPr>
            </w:pPr>
            <w:r>
              <w:rPr>
                <w:rFonts w:hint="eastAsia" w:ascii="宋体" w:hAnsi="宋体" w:cs="宋体"/>
                <w:sz w:val="24"/>
                <w:highlight w:val="none"/>
              </w:rPr>
              <w:t>适用。供应商应自行查询后在《无重大违法记录等情形声明函》中承诺，查询网址为：</w:t>
            </w:r>
            <w:r>
              <w:rPr>
                <w:rFonts w:hint="eastAsia" w:ascii="宋体" w:hAnsi="宋体"/>
                <w:b/>
                <w:bCs/>
                <w:sz w:val="24"/>
                <w:highlight w:val="none"/>
              </w:rPr>
              <w:t>失信被执行人查询渠道为“中国执行信息公开网”网站（zxgk.court.gov.cn），重大税收违法案件当事人名单查询渠道为“信用中国”网站（www.creditchina.gov.cn）。</w:t>
            </w:r>
          </w:p>
        </w:tc>
      </w:tr>
      <w:tr w14:paraId="110B7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1A2887C3">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17</w:t>
            </w:r>
          </w:p>
        </w:tc>
        <w:tc>
          <w:tcPr>
            <w:tcW w:w="1920" w:type="dxa"/>
            <w:tcBorders>
              <w:tl2br w:val="nil"/>
              <w:tr2bl w:val="nil"/>
            </w:tcBorders>
            <w:vAlign w:val="center"/>
          </w:tcPr>
          <w:p w14:paraId="1FED076D">
            <w:pPr>
              <w:shd w:val="clear"/>
              <w:jc w:val="center"/>
              <w:rPr>
                <w:rFonts w:hint="eastAsia" w:ascii="宋体" w:hAnsi="宋体" w:cs="宋体"/>
                <w:sz w:val="24"/>
                <w:highlight w:val="none"/>
              </w:rPr>
            </w:pPr>
            <w:r>
              <w:rPr>
                <w:rFonts w:hint="eastAsia" w:ascii="宋体" w:hAnsi="宋体" w:cs="宋体"/>
                <w:sz w:val="24"/>
                <w:highlight w:val="none"/>
              </w:rPr>
              <w:t>承担本项目主要人员要求证明材料</w:t>
            </w:r>
          </w:p>
        </w:tc>
        <w:tc>
          <w:tcPr>
            <w:tcW w:w="7042" w:type="dxa"/>
            <w:tcBorders>
              <w:tl2br w:val="nil"/>
              <w:tr2bl w:val="nil"/>
            </w:tcBorders>
            <w:vAlign w:val="center"/>
          </w:tcPr>
          <w:p w14:paraId="6342B44A">
            <w:pPr>
              <w:pStyle w:val="48"/>
              <w:shd w:val="clear"/>
              <w:spacing w:line="360" w:lineRule="auto"/>
              <w:rPr>
                <w:rFonts w:hint="eastAsia" w:ascii="宋体" w:hAnsi="宋体" w:cs="宋体"/>
                <w:szCs w:val="21"/>
                <w:highlight w:val="none"/>
              </w:rPr>
            </w:pPr>
            <w:r>
              <w:rPr>
                <w:rFonts w:hint="eastAsia" w:ascii="宋体" w:hAnsi="宋体" w:cs="宋体"/>
                <w:sz w:val="24"/>
                <w:highlight w:val="none"/>
              </w:rPr>
              <w:t>适用，见询比公告。</w:t>
            </w:r>
          </w:p>
        </w:tc>
      </w:tr>
      <w:tr w14:paraId="20E984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7FDFB3C6">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18</w:t>
            </w:r>
          </w:p>
        </w:tc>
        <w:tc>
          <w:tcPr>
            <w:tcW w:w="1920" w:type="dxa"/>
            <w:tcBorders>
              <w:tl2br w:val="nil"/>
              <w:tr2bl w:val="nil"/>
            </w:tcBorders>
            <w:vAlign w:val="center"/>
          </w:tcPr>
          <w:p w14:paraId="4400AF29">
            <w:pPr>
              <w:pStyle w:val="48"/>
              <w:shd w:val="clear"/>
              <w:jc w:val="center"/>
              <w:rPr>
                <w:rFonts w:hint="eastAsia" w:ascii="宋体" w:hAnsi="宋体" w:cs="宋体"/>
                <w:sz w:val="24"/>
                <w:highlight w:val="none"/>
              </w:rPr>
            </w:pPr>
            <w:r>
              <w:rPr>
                <w:rFonts w:hint="eastAsia" w:ascii="宋体" w:hAnsi="宋体" w:cs="宋体"/>
                <w:sz w:val="24"/>
                <w:highlight w:val="none"/>
              </w:rPr>
              <w:t>其他要求</w:t>
            </w:r>
          </w:p>
          <w:p w14:paraId="694C9806">
            <w:pPr>
              <w:pStyle w:val="48"/>
              <w:shd w:val="clear"/>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tcBorders>
              <w:tl2br w:val="nil"/>
              <w:tr2bl w:val="nil"/>
            </w:tcBorders>
            <w:vAlign w:val="center"/>
          </w:tcPr>
          <w:p w14:paraId="3A71201B">
            <w:pPr>
              <w:pStyle w:val="48"/>
              <w:shd w:val="clear"/>
              <w:spacing w:line="360" w:lineRule="auto"/>
              <w:ind w:left="1217" w:hanging="1216" w:hangingChars="507"/>
              <w:rPr>
                <w:rFonts w:hint="eastAsia" w:ascii="宋体" w:hAnsi="宋体" w:cs="宋体"/>
                <w:sz w:val="24"/>
                <w:highlight w:val="none"/>
              </w:rPr>
            </w:pPr>
            <w:r>
              <w:rPr>
                <w:rFonts w:hint="eastAsia" w:ascii="宋体" w:hAnsi="宋体" w:cs="宋体"/>
                <w:sz w:val="24"/>
                <w:highlight w:val="none"/>
              </w:rPr>
              <w:t>无</w:t>
            </w:r>
          </w:p>
        </w:tc>
      </w:tr>
      <w:tr w14:paraId="143110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3985454E">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19</w:t>
            </w:r>
          </w:p>
        </w:tc>
        <w:tc>
          <w:tcPr>
            <w:tcW w:w="1920" w:type="dxa"/>
            <w:tcBorders>
              <w:tl2br w:val="nil"/>
              <w:tr2bl w:val="nil"/>
            </w:tcBorders>
            <w:vAlign w:val="center"/>
          </w:tcPr>
          <w:p w14:paraId="48C0982D">
            <w:pPr>
              <w:pStyle w:val="48"/>
              <w:shd w:val="clear"/>
              <w:jc w:val="center"/>
              <w:rPr>
                <w:rFonts w:hint="eastAsia" w:ascii="宋体" w:hAnsi="宋体" w:cs="宋体"/>
                <w:sz w:val="24"/>
                <w:highlight w:val="none"/>
              </w:rPr>
            </w:pPr>
            <w:r>
              <w:rPr>
                <w:rFonts w:hint="eastAsia" w:ascii="宋体" w:hAnsi="宋体" w:cs="宋体"/>
                <w:sz w:val="24"/>
                <w:highlight w:val="none"/>
              </w:rPr>
              <w:t>响应文件解密</w:t>
            </w:r>
          </w:p>
        </w:tc>
        <w:tc>
          <w:tcPr>
            <w:tcW w:w="7042" w:type="dxa"/>
            <w:tcBorders>
              <w:tl2br w:val="nil"/>
              <w:tr2bl w:val="nil"/>
            </w:tcBorders>
            <w:vAlign w:val="center"/>
          </w:tcPr>
          <w:p w14:paraId="1F9AE432">
            <w:pPr>
              <w:pStyle w:val="48"/>
              <w:shd w:val="clear"/>
              <w:spacing w:line="360" w:lineRule="auto"/>
              <w:ind w:left="1217" w:hanging="1216" w:hangingChars="507"/>
              <w:rPr>
                <w:rFonts w:hint="eastAsia" w:ascii="宋体" w:hAnsi="宋体" w:cs="宋体"/>
                <w:sz w:val="24"/>
                <w:highlight w:val="none"/>
              </w:rPr>
            </w:pPr>
            <w:r>
              <w:rPr>
                <w:rFonts w:hint="eastAsia" w:ascii="宋体" w:hAnsi="宋体" w:cs="宋体"/>
                <w:sz w:val="24"/>
                <w:szCs w:val="24"/>
                <w:highlight w:val="none"/>
              </w:rPr>
              <w:t>提交截止时间后</w:t>
            </w:r>
            <w:r>
              <w:rPr>
                <w:rFonts w:hint="eastAsia" w:ascii="宋体" w:hAnsi="宋体" w:cs="宋体"/>
                <w:sz w:val="24"/>
                <w:szCs w:val="24"/>
                <w:highlight w:val="none"/>
                <w:u w:val="single"/>
              </w:rPr>
              <w:t xml:space="preserve"> 30 </w:t>
            </w:r>
            <w:r>
              <w:rPr>
                <w:rFonts w:hint="eastAsia" w:ascii="宋体" w:hAnsi="宋体" w:cs="宋体"/>
                <w:sz w:val="24"/>
                <w:szCs w:val="24"/>
                <w:highlight w:val="none"/>
              </w:rPr>
              <w:t>分钟内（</w:t>
            </w:r>
            <w:r>
              <w:rPr>
                <w:rFonts w:hint="eastAsia" w:ascii="宋体" w:hAnsi="宋体" w:cs="宋体"/>
                <w:bCs/>
                <w:sz w:val="24"/>
                <w:szCs w:val="24"/>
                <w:highlight w:val="none"/>
              </w:rPr>
              <w:t>以安招采平台解密倒计时</w:t>
            </w:r>
            <w:r>
              <w:rPr>
                <w:rFonts w:hint="eastAsia" w:ascii="宋体" w:hAnsi="宋体" w:cs="宋体"/>
                <w:sz w:val="24"/>
                <w:szCs w:val="24"/>
                <w:highlight w:val="none"/>
              </w:rPr>
              <w:t>为准）</w:t>
            </w:r>
          </w:p>
        </w:tc>
      </w:tr>
      <w:tr w14:paraId="03D9B9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3955E35E">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20</w:t>
            </w:r>
          </w:p>
        </w:tc>
        <w:tc>
          <w:tcPr>
            <w:tcW w:w="1920" w:type="dxa"/>
            <w:tcBorders>
              <w:tl2br w:val="nil"/>
              <w:tr2bl w:val="nil"/>
            </w:tcBorders>
            <w:vAlign w:val="center"/>
          </w:tcPr>
          <w:p w14:paraId="2F0072AD">
            <w:pPr>
              <w:shd w:val="clear"/>
              <w:jc w:val="center"/>
              <w:rPr>
                <w:rFonts w:hint="eastAsia" w:ascii="宋体" w:hAnsi="宋体" w:cs="宋体"/>
                <w:sz w:val="24"/>
                <w:highlight w:val="none"/>
              </w:rPr>
            </w:pPr>
            <w:r>
              <w:rPr>
                <w:rFonts w:hint="eastAsia" w:ascii="宋体" w:hAnsi="宋体" w:cs="宋体"/>
                <w:sz w:val="24"/>
                <w:highlight w:val="none"/>
              </w:rPr>
              <w:t>本地化服务</w:t>
            </w:r>
          </w:p>
        </w:tc>
        <w:tc>
          <w:tcPr>
            <w:tcW w:w="7042" w:type="dxa"/>
            <w:tcBorders>
              <w:tl2br w:val="nil"/>
              <w:tr2bl w:val="nil"/>
            </w:tcBorders>
            <w:vAlign w:val="center"/>
          </w:tcPr>
          <w:p w14:paraId="3F3C3568">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 xml:space="preserve">本项目是否要求本地化服务能力：不要求 </w:t>
            </w:r>
          </w:p>
        </w:tc>
      </w:tr>
      <w:tr w14:paraId="34A0BF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52ACC62C">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21</w:t>
            </w:r>
          </w:p>
        </w:tc>
        <w:tc>
          <w:tcPr>
            <w:tcW w:w="1920" w:type="dxa"/>
            <w:tcBorders>
              <w:tl2br w:val="nil"/>
              <w:tr2bl w:val="nil"/>
            </w:tcBorders>
            <w:vAlign w:val="center"/>
          </w:tcPr>
          <w:p w14:paraId="493B6BD0">
            <w:pPr>
              <w:shd w:val="clear"/>
              <w:jc w:val="center"/>
              <w:rPr>
                <w:rFonts w:hint="eastAsia" w:ascii="宋体" w:hAnsi="宋体" w:cs="宋体"/>
                <w:sz w:val="24"/>
                <w:highlight w:val="none"/>
              </w:rPr>
            </w:pPr>
            <w:r>
              <w:rPr>
                <w:rFonts w:hint="eastAsia" w:ascii="宋体" w:hAnsi="宋体" w:cs="宋体"/>
                <w:sz w:val="24"/>
                <w:highlight w:val="none"/>
              </w:rPr>
              <w:t>履约担保</w:t>
            </w:r>
          </w:p>
        </w:tc>
        <w:tc>
          <w:tcPr>
            <w:tcW w:w="7042" w:type="dxa"/>
            <w:tcBorders>
              <w:tl2br w:val="nil"/>
              <w:tr2bl w:val="nil"/>
            </w:tcBorders>
            <w:vAlign w:val="center"/>
          </w:tcPr>
          <w:p w14:paraId="07A3DEA3">
            <w:pPr>
              <w:shd w:val="clear"/>
              <w:spacing w:line="360" w:lineRule="auto"/>
              <w:rPr>
                <w:rFonts w:hint="eastAsia" w:ascii="宋体" w:hAnsi="宋体" w:cs="宋体"/>
                <w:sz w:val="24"/>
                <w:highlight w:val="none"/>
              </w:rPr>
            </w:pPr>
            <w:r>
              <w:rPr>
                <w:rFonts w:hint="eastAsia" w:ascii="宋体" w:hAnsi="宋体" w:cs="宋体"/>
                <w:b/>
                <w:bCs/>
                <w:sz w:val="24"/>
                <w:highlight w:val="none"/>
              </w:rPr>
              <w:t>无履约担保</w:t>
            </w:r>
          </w:p>
        </w:tc>
      </w:tr>
      <w:tr w14:paraId="6A11E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15CE132B">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22</w:t>
            </w:r>
          </w:p>
        </w:tc>
        <w:tc>
          <w:tcPr>
            <w:tcW w:w="1920" w:type="dxa"/>
            <w:tcBorders>
              <w:tl2br w:val="nil"/>
              <w:tr2bl w:val="nil"/>
            </w:tcBorders>
            <w:vAlign w:val="center"/>
          </w:tcPr>
          <w:p w14:paraId="1DC20A00">
            <w:pPr>
              <w:shd w:val="clear"/>
              <w:jc w:val="center"/>
              <w:rPr>
                <w:rFonts w:hint="eastAsia" w:ascii="宋体" w:hAnsi="宋体" w:cs="宋体"/>
                <w:sz w:val="24"/>
                <w:highlight w:val="none"/>
              </w:rPr>
            </w:pPr>
            <w:r>
              <w:rPr>
                <w:rFonts w:hint="eastAsia" w:ascii="宋体" w:hAnsi="宋体" w:cs="宋体"/>
                <w:sz w:val="24"/>
                <w:highlight w:val="none"/>
              </w:rPr>
              <w:t>评审样品</w:t>
            </w:r>
          </w:p>
        </w:tc>
        <w:tc>
          <w:tcPr>
            <w:tcW w:w="7042" w:type="dxa"/>
            <w:tcBorders>
              <w:tl2br w:val="nil"/>
              <w:tr2bl w:val="nil"/>
            </w:tcBorders>
            <w:vAlign w:val="center"/>
          </w:tcPr>
          <w:p w14:paraId="38067060">
            <w:pPr>
              <w:pStyle w:val="48"/>
              <w:shd w:val="clear"/>
              <w:spacing w:line="360" w:lineRule="auto"/>
              <w:rPr>
                <w:rFonts w:hint="eastAsia" w:ascii="宋体" w:hAnsi="宋体" w:cs="宋体"/>
                <w:sz w:val="24"/>
                <w:highlight w:val="none"/>
              </w:rPr>
            </w:pPr>
            <w:r>
              <w:rPr>
                <w:rFonts w:hint="eastAsia" w:ascii="宋体" w:hAnsi="宋体" w:cs="宋体"/>
                <w:sz w:val="24"/>
                <w:highlight w:val="none"/>
              </w:rPr>
              <w:t>不需要</w:t>
            </w:r>
          </w:p>
        </w:tc>
      </w:tr>
      <w:tr w14:paraId="7C5282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4CAD3A69">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23</w:t>
            </w:r>
          </w:p>
        </w:tc>
        <w:tc>
          <w:tcPr>
            <w:tcW w:w="1920" w:type="dxa"/>
            <w:tcBorders>
              <w:tl2br w:val="nil"/>
              <w:tr2bl w:val="nil"/>
            </w:tcBorders>
            <w:vAlign w:val="center"/>
          </w:tcPr>
          <w:p w14:paraId="2CA6AFC7">
            <w:pPr>
              <w:shd w:val="clear"/>
              <w:jc w:val="center"/>
              <w:rPr>
                <w:rFonts w:hint="eastAsia" w:ascii="宋体" w:hAnsi="宋体" w:cs="宋体"/>
                <w:sz w:val="24"/>
                <w:highlight w:val="none"/>
              </w:rPr>
            </w:pPr>
            <w:r>
              <w:rPr>
                <w:rFonts w:hint="eastAsia" w:ascii="宋体" w:hAnsi="宋体" w:cs="宋体"/>
                <w:sz w:val="24"/>
                <w:highlight w:val="none"/>
              </w:rPr>
              <w:t>评审办法</w:t>
            </w:r>
          </w:p>
        </w:tc>
        <w:tc>
          <w:tcPr>
            <w:tcW w:w="7042" w:type="dxa"/>
            <w:tcBorders>
              <w:tl2br w:val="nil"/>
              <w:tr2bl w:val="nil"/>
            </w:tcBorders>
            <w:vAlign w:val="center"/>
          </w:tcPr>
          <w:p w14:paraId="11B232C6">
            <w:pPr>
              <w:pStyle w:val="48"/>
              <w:shd w:val="clear"/>
              <w:spacing w:line="360" w:lineRule="auto"/>
              <w:jc w:val="left"/>
              <w:rPr>
                <w:rFonts w:hint="eastAsia" w:ascii="宋体" w:hAnsi="宋体" w:cs="宋体"/>
                <w:sz w:val="24"/>
                <w:highlight w:val="none"/>
              </w:rPr>
            </w:pPr>
            <w:r>
              <w:rPr>
                <w:rFonts w:hint="eastAsia" w:ascii="宋体" w:hAnsi="宋体" w:cs="宋体"/>
                <w:sz w:val="24"/>
                <w:highlight w:val="none"/>
              </w:rPr>
              <w:t>□最低价评审法    ☑综合评分法   □其他评审办法</w:t>
            </w:r>
          </w:p>
        </w:tc>
      </w:tr>
      <w:tr w14:paraId="4D7D38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045FF89D">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24</w:t>
            </w:r>
          </w:p>
        </w:tc>
        <w:tc>
          <w:tcPr>
            <w:tcW w:w="1920" w:type="dxa"/>
            <w:tcBorders>
              <w:tl2br w:val="nil"/>
              <w:tr2bl w:val="nil"/>
            </w:tcBorders>
            <w:vAlign w:val="center"/>
          </w:tcPr>
          <w:p w14:paraId="70D155CE">
            <w:pPr>
              <w:pStyle w:val="48"/>
              <w:shd w:val="clear"/>
              <w:jc w:val="center"/>
              <w:rPr>
                <w:rFonts w:hint="eastAsia" w:ascii="宋体" w:hAnsi="宋体" w:cs="宋体"/>
                <w:sz w:val="24"/>
                <w:highlight w:val="none"/>
              </w:rPr>
            </w:pPr>
            <w:r>
              <w:rPr>
                <w:rFonts w:hint="eastAsia" w:ascii="宋体" w:hAnsi="宋体" w:cs="宋体"/>
                <w:sz w:val="24"/>
                <w:highlight w:val="none"/>
              </w:rPr>
              <w:t>成交候选供应商公示</w:t>
            </w:r>
          </w:p>
        </w:tc>
        <w:tc>
          <w:tcPr>
            <w:tcW w:w="7042" w:type="dxa"/>
            <w:tcBorders>
              <w:tl2br w:val="nil"/>
              <w:tr2bl w:val="nil"/>
            </w:tcBorders>
            <w:vAlign w:val="center"/>
          </w:tcPr>
          <w:p w14:paraId="29D5B793">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公示媒介：同询比公告发布媒介</w:t>
            </w:r>
          </w:p>
          <w:p w14:paraId="06F04012">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公示期限：3日</w:t>
            </w:r>
          </w:p>
          <w:p w14:paraId="49D6B8D2">
            <w:pPr>
              <w:pStyle w:val="48"/>
              <w:shd w:val="clear"/>
              <w:spacing w:line="360" w:lineRule="auto"/>
              <w:rPr>
                <w:rFonts w:hint="eastAsia" w:ascii="宋体" w:hAnsi="宋体" w:cs="宋体"/>
                <w:sz w:val="24"/>
                <w:highlight w:val="none"/>
              </w:rPr>
            </w:pPr>
            <w:r>
              <w:rPr>
                <w:rFonts w:hint="eastAsia" w:ascii="宋体" w:hAnsi="宋体" w:cs="宋体"/>
                <w:sz w:val="24"/>
                <w:highlight w:val="none"/>
              </w:rPr>
              <w:t>其他应公示的内容：无</w:t>
            </w:r>
          </w:p>
        </w:tc>
      </w:tr>
      <w:tr w14:paraId="6618E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57F3AC92">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25</w:t>
            </w:r>
          </w:p>
        </w:tc>
        <w:tc>
          <w:tcPr>
            <w:tcW w:w="1920" w:type="dxa"/>
            <w:tcBorders>
              <w:tl2br w:val="nil"/>
              <w:tr2bl w:val="nil"/>
            </w:tcBorders>
            <w:vAlign w:val="center"/>
          </w:tcPr>
          <w:p w14:paraId="3A303C93">
            <w:pPr>
              <w:pStyle w:val="48"/>
              <w:shd w:val="clear"/>
              <w:jc w:val="center"/>
              <w:rPr>
                <w:rFonts w:hint="eastAsia" w:ascii="宋体" w:hAnsi="宋体" w:cs="宋体"/>
                <w:sz w:val="24"/>
                <w:highlight w:val="none"/>
              </w:rPr>
            </w:pPr>
            <w:r>
              <w:rPr>
                <w:rFonts w:hint="eastAsia" w:ascii="宋体" w:hAnsi="宋体" w:cs="宋体"/>
                <w:sz w:val="24"/>
                <w:highlight w:val="none"/>
              </w:rPr>
              <w:t>成交结果公示</w:t>
            </w:r>
          </w:p>
        </w:tc>
        <w:tc>
          <w:tcPr>
            <w:tcW w:w="7042" w:type="dxa"/>
            <w:tcBorders>
              <w:tl2br w:val="nil"/>
              <w:tr2bl w:val="nil"/>
            </w:tcBorders>
            <w:vAlign w:val="center"/>
          </w:tcPr>
          <w:p w14:paraId="67909D94">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公示媒介：同询比公告发布媒介</w:t>
            </w:r>
          </w:p>
          <w:p w14:paraId="31FA303A">
            <w:pPr>
              <w:pStyle w:val="48"/>
              <w:shd w:val="clear"/>
              <w:spacing w:line="360" w:lineRule="auto"/>
              <w:rPr>
                <w:rFonts w:hint="eastAsia" w:ascii="宋体" w:hAnsi="宋体" w:cs="宋体"/>
                <w:sz w:val="24"/>
                <w:highlight w:val="none"/>
              </w:rPr>
            </w:pPr>
            <w:r>
              <w:rPr>
                <w:rFonts w:hint="eastAsia" w:ascii="宋体" w:hAnsi="宋体" w:cs="宋体"/>
                <w:sz w:val="24"/>
                <w:highlight w:val="none"/>
              </w:rPr>
              <w:t>其他应公示的内容：无</w:t>
            </w:r>
          </w:p>
        </w:tc>
      </w:tr>
      <w:tr w14:paraId="43785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6425936E">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26</w:t>
            </w:r>
          </w:p>
        </w:tc>
        <w:tc>
          <w:tcPr>
            <w:tcW w:w="1920" w:type="dxa"/>
            <w:tcBorders>
              <w:tl2br w:val="nil"/>
              <w:tr2bl w:val="nil"/>
            </w:tcBorders>
            <w:vAlign w:val="center"/>
          </w:tcPr>
          <w:p w14:paraId="1095DC33">
            <w:pPr>
              <w:pStyle w:val="48"/>
              <w:shd w:val="clear"/>
              <w:jc w:val="center"/>
              <w:rPr>
                <w:rFonts w:hint="eastAsia" w:ascii="宋体" w:hAnsi="宋体" w:cs="宋体"/>
                <w:sz w:val="24"/>
                <w:highlight w:val="none"/>
              </w:rPr>
            </w:pPr>
            <w:r>
              <w:rPr>
                <w:rFonts w:hint="eastAsia" w:ascii="宋体" w:hAnsi="宋体" w:cs="宋体"/>
                <w:sz w:val="24"/>
                <w:highlight w:val="none"/>
              </w:rPr>
              <w:t>成交结果异议提出时间</w:t>
            </w:r>
          </w:p>
        </w:tc>
        <w:tc>
          <w:tcPr>
            <w:tcW w:w="7042" w:type="dxa"/>
            <w:tcBorders>
              <w:tl2br w:val="nil"/>
              <w:tr2bl w:val="nil"/>
            </w:tcBorders>
            <w:vAlign w:val="center"/>
          </w:tcPr>
          <w:p w14:paraId="602D3FF5">
            <w:pPr>
              <w:pStyle w:val="48"/>
              <w:shd w:val="clear"/>
              <w:spacing w:line="360" w:lineRule="auto"/>
              <w:rPr>
                <w:rFonts w:hint="eastAsia" w:ascii="宋体" w:hAnsi="宋体" w:cs="宋体"/>
                <w:sz w:val="24"/>
                <w:highlight w:val="none"/>
              </w:rPr>
            </w:pPr>
            <w:r>
              <w:rPr>
                <w:rFonts w:hint="eastAsia" w:ascii="宋体" w:hAnsi="宋体" w:cs="宋体"/>
                <w:sz w:val="24"/>
                <w:highlight w:val="none"/>
              </w:rPr>
              <w:t>☑成交候选供应商公示期间内提出</w:t>
            </w:r>
          </w:p>
          <w:p w14:paraId="42FB7305">
            <w:pPr>
              <w:pStyle w:val="48"/>
              <w:shd w:val="clear"/>
              <w:spacing w:line="360" w:lineRule="auto"/>
              <w:rPr>
                <w:rFonts w:hint="eastAsia" w:ascii="宋体" w:hAnsi="宋体" w:cs="宋体"/>
                <w:sz w:val="24"/>
                <w:highlight w:val="none"/>
              </w:rPr>
            </w:pPr>
            <w:r>
              <w:rPr>
                <w:rFonts w:hint="eastAsia" w:ascii="宋体" w:hAnsi="宋体" w:cs="宋体"/>
                <w:sz w:val="24"/>
                <w:highlight w:val="none"/>
              </w:rPr>
              <w:t>□成交结果公示（通知）3日内提出</w:t>
            </w:r>
          </w:p>
        </w:tc>
      </w:tr>
      <w:tr w14:paraId="20A7E2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7AEA6CAB">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27</w:t>
            </w:r>
          </w:p>
        </w:tc>
        <w:tc>
          <w:tcPr>
            <w:tcW w:w="1920" w:type="dxa"/>
            <w:tcBorders>
              <w:tl2br w:val="nil"/>
              <w:tr2bl w:val="nil"/>
            </w:tcBorders>
            <w:vAlign w:val="center"/>
          </w:tcPr>
          <w:p w14:paraId="0E57CC98">
            <w:pPr>
              <w:pStyle w:val="48"/>
              <w:shd w:val="clear"/>
              <w:jc w:val="center"/>
              <w:rPr>
                <w:rFonts w:hint="eastAsia" w:ascii="宋体" w:hAnsi="宋体" w:cs="宋体"/>
                <w:sz w:val="24"/>
                <w:highlight w:val="none"/>
              </w:rPr>
            </w:pPr>
            <w:r>
              <w:rPr>
                <w:rFonts w:hint="eastAsia" w:ascii="宋体" w:hAnsi="宋体" w:cs="宋体"/>
                <w:sz w:val="24"/>
                <w:highlight w:val="none"/>
              </w:rPr>
              <w:t>异议渠道</w:t>
            </w:r>
          </w:p>
        </w:tc>
        <w:tc>
          <w:tcPr>
            <w:tcW w:w="7042" w:type="dxa"/>
            <w:tcBorders>
              <w:tl2br w:val="nil"/>
              <w:tr2bl w:val="nil"/>
            </w:tcBorders>
            <w:vAlign w:val="center"/>
          </w:tcPr>
          <w:p w14:paraId="5950890E">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联系人：肖榕</w:t>
            </w:r>
          </w:p>
          <w:p w14:paraId="01A6D3E1">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联系方式：</w:t>
            </w:r>
            <w:r>
              <w:rPr>
                <w:rFonts w:hint="eastAsia" w:ascii="宋体" w:hAnsi="宋体" w:cs="宋体"/>
                <w:sz w:val="24"/>
                <w:szCs w:val="24"/>
                <w:highlight w:val="none"/>
              </w:rPr>
              <w:t>0551-65860136-8633、18226628215</w:t>
            </w:r>
            <w:r>
              <w:rPr>
                <w:rFonts w:hint="eastAsia" w:ascii="宋体" w:hAnsi="宋体" w:cs="宋体"/>
                <w:sz w:val="24"/>
                <w:highlight w:val="none"/>
              </w:rPr>
              <w:t xml:space="preserve">  </w:t>
            </w:r>
          </w:p>
          <w:p w14:paraId="781B0087">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 xml:space="preserve">地址：合肥市经济技术开发区翡翠路188号港澳广场A座18层1802室 </w:t>
            </w:r>
          </w:p>
          <w:p w14:paraId="3EF0382D">
            <w:pPr>
              <w:pStyle w:val="48"/>
              <w:shd w:val="clear"/>
              <w:spacing w:line="360" w:lineRule="auto"/>
              <w:rPr>
                <w:rFonts w:hint="eastAsia" w:ascii="宋体" w:hAnsi="宋体" w:cs="宋体"/>
                <w:sz w:val="24"/>
                <w:highlight w:val="none"/>
                <w:u w:val="single"/>
              </w:rPr>
            </w:pPr>
            <w:r>
              <w:rPr>
                <w:rFonts w:hint="eastAsia" w:ascii="宋体" w:hAnsi="宋体" w:cs="宋体"/>
                <w:sz w:val="24"/>
                <w:highlight w:val="none"/>
              </w:rPr>
              <w:t>其他：无</w:t>
            </w:r>
          </w:p>
        </w:tc>
      </w:tr>
      <w:tr w14:paraId="1DB34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63A54AE7">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28</w:t>
            </w:r>
          </w:p>
        </w:tc>
        <w:tc>
          <w:tcPr>
            <w:tcW w:w="1920" w:type="dxa"/>
            <w:tcBorders>
              <w:tl2br w:val="nil"/>
              <w:tr2bl w:val="nil"/>
            </w:tcBorders>
            <w:vAlign w:val="center"/>
          </w:tcPr>
          <w:p w14:paraId="573776AE">
            <w:pPr>
              <w:pStyle w:val="50"/>
              <w:widowControl w:val="0"/>
              <w:shd w:val="clear"/>
              <w:wordWrap w:val="0"/>
              <w:spacing w:before="0" w:beforeAutospacing="0" w:after="0" w:afterAutospacing="0" w:line="360" w:lineRule="auto"/>
              <w:rPr>
                <w:rFonts w:hint="eastAsia" w:cs="宋体"/>
                <w:b w:val="0"/>
                <w:sz w:val="24"/>
                <w:szCs w:val="24"/>
                <w:highlight w:val="none"/>
              </w:rPr>
            </w:pPr>
            <w:r>
              <w:rPr>
                <w:rFonts w:hint="eastAsia" w:cs="宋体"/>
                <w:b w:val="0"/>
                <w:sz w:val="24"/>
                <w:szCs w:val="24"/>
                <w:highlight w:val="none"/>
              </w:rPr>
              <w:t>社保证明材料</w:t>
            </w:r>
            <w:r>
              <w:rPr>
                <w:rFonts w:hint="eastAsia" w:cs="宋体"/>
                <w:b w:val="0"/>
                <w:iCs/>
                <w:sz w:val="24"/>
                <w:szCs w:val="24"/>
                <w:highlight w:val="none"/>
              </w:rPr>
              <w:t>（如要求）</w:t>
            </w:r>
          </w:p>
        </w:tc>
        <w:tc>
          <w:tcPr>
            <w:tcW w:w="7042" w:type="dxa"/>
            <w:tcBorders>
              <w:tl2br w:val="nil"/>
              <w:tr2bl w:val="nil"/>
            </w:tcBorders>
            <w:vAlign w:val="center"/>
          </w:tcPr>
          <w:p w14:paraId="05D0C73C">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本项目招标文件中要求提供的社保证明材料为下述形式之一（投标文件中须提供</w:t>
            </w:r>
            <w:r>
              <w:rPr>
                <w:rFonts w:hint="eastAsia"/>
                <w:b w:val="0"/>
                <w:sz w:val="24"/>
                <w:highlight w:val="none"/>
              </w:rPr>
              <w:t>扫描件</w:t>
            </w:r>
            <w:r>
              <w:rPr>
                <w:rFonts w:hint="eastAsia" w:cs="宋体"/>
                <w:b w:val="0"/>
                <w:sz w:val="24"/>
                <w:szCs w:val="24"/>
                <w:highlight w:val="none"/>
              </w:rPr>
              <w:t>）：</w:t>
            </w:r>
          </w:p>
          <w:p w14:paraId="3577E9FE">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1.社保局官方网站查询的缴费记录截图；</w:t>
            </w:r>
          </w:p>
          <w:p w14:paraId="54587AA8">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2.社保局的书面证明材料；</w:t>
            </w:r>
          </w:p>
          <w:p w14:paraId="61666083">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3.经投标人委托的第三方人力资源服务机构或与投标人有直接隶属关系的机构可以代缴社保，但须提供有关证明材料并经评标委员会确认。</w:t>
            </w:r>
          </w:p>
          <w:p w14:paraId="2F91677E">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4.参与投标的院校，社保证明可以用以下任意一种：</w:t>
            </w:r>
          </w:p>
          <w:p w14:paraId="783C27CF">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（1）加盖投标人公章的教师证（须为本单位人员）；</w:t>
            </w:r>
          </w:p>
          <w:p w14:paraId="36D024A4">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（2）医保证明材料。</w:t>
            </w:r>
          </w:p>
          <w:p w14:paraId="6A1A658B">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sz w:val="24"/>
                <w:szCs w:val="24"/>
                <w:highlight w:val="none"/>
              </w:rPr>
              <w:t>5.其他经评标委员会认可的证明材料。</w:t>
            </w:r>
          </w:p>
          <w:p w14:paraId="11B667A8">
            <w:pPr>
              <w:pStyle w:val="50"/>
              <w:widowControl w:val="0"/>
              <w:shd w:val="clear"/>
              <w:wordWrap w:val="0"/>
              <w:spacing w:before="0" w:beforeAutospacing="0" w:after="0" w:afterAutospacing="0" w:line="360" w:lineRule="auto"/>
              <w:jc w:val="both"/>
              <w:rPr>
                <w:rFonts w:hint="eastAsia" w:cs="宋体"/>
                <w:b w:val="0"/>
                <w:sz w:val="24"/>
                <w:szCs w:val="24"/>
                <w:highlight w:val="none"/>
              </w:rPr>
            </w:pPr>
            <w:r>
              <w:rPr>
                <w:rFonts w:hint="eastAsia" w:cs="宋体"/>
                <w:b w:val="0"/>
                <w:iCs/>
                <w:sz w:val="24"/>
                <w:szCs w:val="24"/>
                <w:highlight w:val="none"/>
              </w:rPr>
              <w:t>6.法定代表人参与项目的，无需提供社保证明材料，提供身份证明材料即可。</w:t>
            </w:r>
          </w:p>
        </w:tc>
      </w:tr>
      <w:tr w14:paraId="5B27E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0219CF44">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29</w:t>
            </w:r>
          </w:p>
        </w:tc>
        <w:tc>
          <w:tcPr>
            <w:tcW w:w="1920" w:type="dxa"/>
            <w:tcBorders>
              <w:tl2br w:val="nil"/>
              <w:tr2bl w:val="nil"/>
            </w:tcBorders>
            <w:vAlign w:val="center"/>
          </w:tcPr>
          <w:p w14:paraId="33310ECA">
            <w:pPr>
              <w:pStyle w:val="50"/>
              <w:widowControl w:val="0"/>
              <w:shd w:val="clear"/>
              <w:wordWrap w:val="0"/>
              <w:spacing w:before="0" w:beforeAutospacing="0" w:after="0" w:afterAutospacing="0" w:line="360" w:lineRule="auto"/>
              <w:rPr>
                <w:rFonts w:hint="eastAsia" w:cs="宋体"/>
                <w:b w:val="0"/>
                <w:sz w:val="24"/>
                <w:szCs w:val="24"/>
                <w:highlight w:val="none"/>
              </w:rPr>
            </w:pPr>
            <w:r>
              <w:rPr>
                <w:rFonts w:hint="eastAsia" w:cs="宋体"/>
                <w:b w:val="0"/>
                <w:sz w:val="24"/>
                <w:szCs w:val="24"/>
                <w:highlight w:val="none"/>
              </w:rPr>
              <w:t>解释权</w:t>
            </w:r>
          </w:p>
        </w:tc>
        <w:tc>
          <w:tcPr>
            <w:tcW w:w="7042" w:type="dxa"/>
            <w:tcBorders>
              <w:tl2br w:val="nil"/>
              <w:tr2bl w:val="nil"/>
            </w:tcBorders>
            <w:vAlign w:val="center"/>
          </w:tcPr>
          <w:p w14:paraId="7C111FDE">
            <w:pPr>
              <w:shd w:val="clear"/>
              <w:wordWrap w:val="0"/>
              <w:spacing w:line="360" w:lineRule="auto"/>
              <w:rPr>
                <w:rFonts w:hint="eastAsia" w:ascii="宋体" w:hAnsi="宋体" w:cs="宋体"/>
                <w:bCs/>
                <w:sz w:val="24"/>
                <w:szCs w:val="24"/>
                <w:highlight w:val="none"/>
              </w:rPr>
            </w:pPr>
            <w:r>
              <w:rPr>
                <w:rFonts w:hint="eastAsia" w:ascii="宋体" w:hAnsi="宋体" w:cs="宋体"/>
                <w:bCs/>
                <w:sz w:val="24"/>
                <w:szCs w:val="24"/>
                <w:highlight w:val="none"/>
              </w:rPr>
              <w:t>1.构成本招标文件的各个组成文件应互为解释，互为说明；</w:t>
            </w:r>
          </w:p>
          <w:p w14:paraId="3800793E">
            <w:pPr>
              <w:shd w:val="clear"/>
              <w:wordWrap w:val="0"/>
              <w:spacing w:line="360" w:lineRule="auto"/>
              <w:rPr>
                <w:rFonts w:hint="eastAsia" w:ascii="宋体" w:hAnsi="宋体" w:cs="宋体"/>
                <w:bCs/>
                <w:sz w:val="24"/>
                <w:szCs w:val="24"/>
                <w:highlight w:val="none"/>
              </w:rPr>
            </w:pPr>
            <w:r>
              <w:rPr>
                <w:rFonts w:hint="eastAsia" w:ascii="宋体" w:hAnsi="宋体" w:cs="宋体"/>
                <w:bCs/>
                <w:sz w:val="24"/>
                <w:szCs w:val="24"/>
                <w:highlight w:val="none"/>
              </w:rPr>
              <w:t>2.同一组成文件中就同一事项的规定或约定不一致的，除招标文件另有规定外，以编排顺序在后者为准；</w:t>
            </w:r>
          </w:p>
          <w:p w14:paraId="05380117">
            <w:pPr>
              <w:shd w:val="clear"/>
              <w:wordWrap w:val="0"/>
              <w:spacing w:line="360" w:lineRule="auto"/>
              <w:rPr>
                <w:rFonts w:hint="eastAsia" w:ascii="宋体" w:hAnsi="宋体" w:cs="宋体"/>
                <w:bCs/>
                <w:sz w:val="24"/>
                <w:szCs w:val="24"/>
                <w:highlight w:val="none"/>
              </w:rPr>
            </w:pPr>
            <w:r>
              <w:rPr>
                <w:rFonts w:hint="eastAsia" w:ascii="宋体" w:hAnsi="宋体" w:cs="宋体"/>
                <w:bCs/>
                <w:sz w:val="24"/>
                <w:szCs w:val="24"/>
                <w:highlight w:val="none"/>
              </w:rPr>
              <w:t>3.如有不明确或不一致，构成合同文件组成内容的，以合同文件约定内容为准，且以专用合同条款（如有）约定的合同文件优先顺序解释；</w:t>
            </w:r>
          </w:p>
          <w:p w14:paraId="508E805C">
            <w:pPr>
              <w:shd w:val="clear"/>
              <w:wordWrap w:val="0"/>
              <w:spacing w:line="360" w:lineRule="auto"/>
              <w:rPr>
                <w:rFonts w:hint="eastAsia" w:ascii="宋体" w:hAnsi="宋体" w:cs="宋体"/>
                <w:bCs/>
                <w:sz w:val="24"/>
                <w:szCs w:val="24"/>
                <w:highlight w:val="none"/>
              </w:rPr>
            </w:pPr>
            <w:r>
              <w:rPr>
                <w:rFonts w:hint="eastAsia" w:ascii="宋体" w:hAnsi="宋体" w:cs="宋体"/>
                <w:bCs/>
                <w:sz w:val="24"/>
                <w:szCs w:val="24"/>
                <w:highlight w:val="none"/>
              </w:rPr>
              <w:t>4.除招标文件中有特别规定外，仅适用于招标投标阶段的规定，按招标公告、投标人须知、评标办法、投标文件格式的先后顺序解释；</w:t>
            </w:r>
          </w:p>
          <w:p w14:paraId="05DF1B53">
            <w:pPr>
              <w:shd w:val="clear"/>
              <w:wordWrap w:val="0"/>
              <w:spacing w:line="360" w:lineRule="auto"/>
              <w:rPr>
                <w:rFonts w:hint="eastAsia" w:ascii="宋体" w:hAnsi="宋体" w:cs="宋体"/>
                <w:iCs/>
                <w:sz w:val="24"/>
                <w:szCs w:val="24"/>
                <w:highlight w:val="none"/>
              </w:rPr>
            </w:pPr>
            <w:r>
              <w:rPr>
                <w:rFonts w:hint="eastAsia" w:ascii="宋体" w:hAnsi="宋体" w:cs="宋体"/>
                <w:bCs/>
                <w:sz w:val="24"/>
                <w:szCs w:val="24"/>
                <w:highlight w:val="none"/>
              </w:rPr>
              <w:t>5.按本款前述规定仍不能形成结论的，由招标人负责解释。</w:t>
            </w:r>
          </w:p>
        </w:tc>
      </w:tr>
      <w:tr w14:paraId="2B071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23E4DB12">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30</w:t>
            </w:r>
          </w:p>
        </w:tc>
        <w:tc>
          <w:tcPr>
            <w:tcW w:w="1920" w:type="dxa"/>
            <w:tcBorders>
              <w:tl2br w:val="nil"/>
              <w:tr2bl w:val="nil"/>
            </w:tcBorders>
            <w:vAlign w:val="center"/>
          </w:tcPr>
          <w:p w14:paraId="1DB50E6B">
            <w:pPr>
              <w:pStyle w:val="50"/>
              <w:widowControl w:val="0"/>
              <w:shd w:val="clear"/>
              <w:wordWrap w:val="0"/>
              <w:spacing w:before="0" w:beforeAutospacing="0" w:after="0" w:afterAutospacing="0" w:line="360" w:lineRule="auto"/>
              <w:rPr>
                <w:rFonts w:hint="eastAsia" w:cs="宋体"/>
                <w:b w:val="0"/>
                <w:sz w:val="24"/>
                <w:szCs w:val="24"/>
                <w:highlight w:val="none"/>
              </w:rPr>
            </w:pPr>
            <w:r>
              <w:rPr>
                <w:rFonts w:hint="eastAsia" w:cs="宋体"/>
                <w:b w:val="0"/>
                <w:sz w:val="24"/>
                <w:szCs w:val="24"/>
                <w:highlight w:val="none"/>
              </w:rPr>
              <w:t>合同签订</w:t>
            </w:r>
          </w:p>
        </w:tc>
        <w:tc>
          <w:tcPr>
            <w:tcW w:w="7042" w:type="dxa"/>
            <w:tcBorders>
              <w:tl2br w:val="nil"/>
              <w:tr2bl w:val="nil"/>
            </w:tcBorders>
            <w:vAlign w:val="center"/>
          </w:tcPr>
          <w:p w14:paraId="45F6E049">
            <w:pPr>
              <w:pStyle w:val="50"/>
              <w:widowControl w:val="0"/>
              <w:shd w:val="clear"/>
              <w:wordWrap w:val="0"/>
              <w:spacing w:before="0" w:beforeAutospacing="0" w:after="0" w:afterAutospacing="0" w:line="360" w:lineRule="auto"/>
              <w:jc w:val="left"/>
              <w:rPr>
                <w:rFonts w:hint="eastAsia" w:cs="宋体"/>
                <w:b w:val="0"/>
                <w:iCs/>
                <w:sz w:val="24"/>
                <w:szCs w:val="24"/>
                <w:highlight w:val="none"/>
              </w:rPr>
            </w:pPr>
            <w:r>
              <w:rPr>
                <w:rFonts w:hint="eastAsia" w:cs="宋体"/>
                <w:b w:val="0"/>
                <w:sz w:val="24"/>
                <w:szCs w:val="24"/>
                <w:highlight w:val="none"/>
              </w:rPr>
              <w:t>中标人在收到入围通知书后5天内，应派代表与招标人联系，商讨签订合同事宜，并在30天内完成合同订立，否则将被取消中标资格。</w:t>
            </w:r>
          </w:p>
        </w:tc>
      </w:tr>
      <w:tr w14:paraId="1120A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tcBorders>
              <w:tl2br w:val="nil"/>
              <w:tr2bl w:val="nil"/>
            </w:tcBorders>
            <w:vAlign w:val="center"/>
          </w:tcPr>
          <w:p w14:paraId="4A7B596A">
            <w:pPr>
              <w:pStyle w:val="48"/>
              <w:shd w:val="clear"/>
              <w:spacing w:line="360" w:lineRule="auto"/>
              <w:jc w:val="center"/>
              <w:rPr>
                <w:rFonts w:hint="eastAsia" w:ascii="宋体" w:hAnsi="宋体" w:cs="宋体"/>
                <w:sz w:val="24"/>
                <w:highlight w:val="none"/>
              </w:rPr>
            </w:pPr>
            <w:r>
              <w:rPr>
                <w:rFonts w:hint="eastAsia" w:ascii="宋体" w:hAnsi="宋体" w:cs="宋体"/>
                <w:sz w:val="24"/>
                <w:highlight w:val="none"/>
              </w:rPr>
              <w:t>31</w:t>
            </w:r>
          </w:p>
        </w:tc>
        <w:tc>
          <w:tcPr>
            <w:tcW w:w="1920" w:type="dxa"/>
            <w:tcBorders>
              <w:tl2br w:val="nil"/>
              <w:tr2bl w:val="nil"/>
            </w:tcBorders>
            <w:vAlign w:val="center"/>
          </w:tcPr>
          <w:p w14:paraId="7922250D">
            <w:pPr>
              <w:pStyle w:val="50"/>
              <w:widowControl w:val="0"/>
              <w:shd w:val="clear"/>
              <w:wordWrap w:val="0"/>
              <w:spacing w:before="0" w:beforeAutospacing="0" w:after="0" w:afterAutospacing="0" w:line="360" w:lineRule="auto"/>
              <w:rPr>
                <w:rFonts w:hint="eastAsia" w:cs="宋体"/>
                <w:b w:val="0"/>
                <w:sz w:val="24"/>
                <w:szCs w:val="24"/>
                <w:highlight w:val="none"/>
              </w:rPr>
            </w:pPr>
            <w:r>
              <w:rPr>
                <w:rFonts w:hint="eastAsia" w:cs="宋体"/>
                <w:b w:val="0"/>
                <w:sz w:val="24"/>
                <w:szCs w:val="24"/>
                <w:highlight w:val="none"/>
              </w:rPr>
              <w:t>招标终止</w:t>
            </w:r>
          </w:p>
        </w:tc>
        <w:tc>
          <w:tcPr>
            <w:tcW w:w="7042" w:type="dxa"/>
            <w:tcBorders>
              <w:tl2br w:val="nil"/>
              <w:tr2bl w:val="nil"/>
            </w:tcBorders>
            <w:vAlign w:val="center"/>
          </w:tcPr>
          <w:p w14:paraId="2DF452FE">
            <w:pPr>
              <w:pStyle w:val="50"/>
              <w:widowControl w:val="0"/>
              <w:shd w:val="clear"/>
              <w:wordWrap w:val="0"/>
              <w:spacing w:before="0" w:beforeAutospacing="0" w:after="0" w:afterAutospacing="0" w:line="360" w:lineRule="auto"/>
              <w:jc w:val="left"/>
              <w:rPr>
                <w:rFonts w:hint="eastAsia" w:cs="宋体"/>
                <w:b w:val="0"/>
                <w:iCs/>
                <w:sz w:val="24"/>
                <w:szCs w:val="24"/>
                <w:highlight w:val="none"/>
              </w:rPr>
            </w:pPr>
            <w:r>
              <w:rPr>
                <w:rFonts w:hint="eastAsia" w:cs="宋体"/>
                <w:b w:val="0"/>
                <w:sz w:val="24"/>
                <w:szCs w:val="24"/>
                <w:highlight w:val="none"/>
              </w:rPr>
              <w:t>不论何种原因，招标人可以终止招标。招标人终止招标的，对已经发售资格预审文件、招标文件或者已经收取投标保证金的，招标代理机构只退还所收取的资格预审文件、招标文件的费用，以及所收取的投标保证金。</w:t>
            </w:r>
          </w:p>
        </w:tc>
      </w:tr>
    </w:tbl>
    <w:p w14:paraId="2D295F8A">
      <w:pPr>
        <w:shd w:val="clear"/>
        <w:spacing w:line="360" w:lineRule="auto"/>
        <w:jc w:val="center"/>
        <w:outlineLvl w:val="0"/>
        <w:rPr>
          <w:rFonts w:hint="eastAsia" w:ascii="宋体" w:hAnsi="宋体" w:cs="宋体"/>
          <w:b/>
          <w:sz w:val="32"/>
          <w:szCs w:val="32"/>
          <w:highlight w:val="none"/>
        </w:rPr>
      </w:pPr>
      <w:r>
        <w:rPr>
          <w:rFonts w:hint="eastAsia" w:ascii="宋体" w:hAnsi="宋体" w:cs="宋体"/>
          <w:b/>
          <w:sz w:val="28"/>
          <w:szCs w:val="28"/>
          <w:highlight w:val="none"/>
        </w:rPr>
        <w:br w:type="page"/>
      </w:r>
      <w:bookmarkStart w:id="4" w:name="_Toc24409"/>
      <w:r>
        <w:rPr>
          <w:rFonts w:hint="eastAsia" w:ascii="宋体" w:hAnsi="宋体" w:cs="宋体"/>
          <w:b/>
          <w:sz w:val="32"/>
          <w:szCs w:val="32"/>
          <w:highlight w:val="none"/>
        </w:rPr>
        <w:t>供应商须知</w:t>
      </w:r>
      <w:bookmarkEnd w:id="4"/>
    </w:p>
    <w:p w14:paraId="2742F34C">
      <w:pPr>
        <w:shd w:val="clear"/>
        <w:spacing w:line="360" w:lineRule="auto"/>
        <w:ind w:firstLine="480" w:firstLineChars="200"/>
        <w:outlineLvl w:val="0"/>
        <w:rPr>
          <w:rFonts w:hint="eastAsia" w:ascii="宋体" w:hAnsi="宋体" w:cs="宋体"/>
          <w:bCs/>
          <w:sz w:val="24"/>
          <w:szCs w:val="24"/>
          <w:highlight w:val="none"/>
        </w:rPr>
      </w:pPr>
      <w:bookmarkStart w:id="5" w:name="_Toc16722"/>
      <w:r>
        <w:rPr>
          <w:rFonts w:hint="eastAsia" w:ascii="宋体" w:hAnsi="宋体" w:cs="宋体"/>
          <w:bCs/>
          <w:sz w:val="24"/>
          <w:szCs w:val="24"/>
          <w:highlight w:val="none"/>
        </w:rPr>
        <w:t>注：如供应商须知前附表与本部分对同一内容的规定不一致，以供应商须知前附表的规定为准。</w:t>
      </w:r>
      <w:bookmarkEnd w:id="5"/>
    </w:p>
    <w:p w14:paraId="4E7C6CFF">
      <w:pPr>
        <w:shd w:val="clear"/>
        <w:spacing w:line="360" w:lineRule="auto"/>
        <w:ind w:firstLine="482" w:firstLineChars="200"/>
        <w:outlineLvl w:val="0"/>
        <w:rPr>
          <w:rFonts w:hint="eastAsia" w:ascii="宋体" w:hAnsi="宋体" w:cs="宋体"/>
          <w:b/>
          <w:sz w:val="24"/>
          <w:szCs w:val="24"/>
          <w:highlight w:val="none"/>
        </w:rPr>
      </w:pPr>
      <w:bookmarkStart w:id="6" w:name="_Toc4748"/>
      <w:r>
        <w:rPr>
          <w:rFonts w:hint="eastAsia" w:ascii="宋体" w:hAnsi="宋体" w:cs="宋体"/>
          <w:b/>
          <w:sz w:val="24"/>
          <w:szCs w:val="24"/>
          <w:highlight w:val="none"/>
        </w:rPr>
        <w:t>（一）采购方式及定义</w:t>
      </w:r>
      <w:bookmarkEnd w:id="6"/>
    </w:p>
    <w:p w14:paraId="166E49EE">
      <w:pPr>
        <w:shd w:val="clear"/>
        <w:spacing w:line="360" w:lineRule="auto"/>
        <w:ind w:firstLine="480" w:firstLineChars="200"/>
        <w:outlineLvl w:val="0"/>
        <w:rPr>
          <w:rFonts w:hint="eastAsia" w:ascii="宋体" w:hAnsi="宋体" w:cs="宋体"/>
          <w:bCs/>
          <w:sz w:val="24"/>
          <w:szCs w:val="24"/>
          <w:highlight w:val="none"/>
        </w:rPr>
      </w:pPr>
      <w:bookmarkStart w:id="7" w:name="_Toc3424"/>
      <w:r>
        <w:rPr>
          <w:rFonts w:hint="eastAsia" w:ascii="宋体" w:hAnsi="宋体" w:cs="宋体"/>
          <w:bCs/>
          <w:sz w:val="24"/>
          <w:szCs w:val="24"/>
          <w:highlight w:val="none"/>
        </w:rPr>
        <w:t>1. 本次采购采用询比方式（以下简称“询比”），本询比文件仅适用于本询比公告中所述项目。</w:t>
      </w:r>
      <w:bookmarkEnd w:id="7"/>
    </w:p>
    <w:p w14:paraId="2016FA64">
      <w:pPr>
        <w:shd w:val="clear"/>
        <w:spacing w:line="360" w:lineRule="auto"/>
        <w:ind w:firstLine="480" w:firstLineChars="200"/>
        <w:outlineLvl w:val="0"/>
        <w:rPr>
          <w:rFonts w:hint="eastAsia" w:ascii="宋体" w:hAnsi="宋体" w:cs="宋体"/>
          <w:bCs/>
          <w:sz w:val="24"/>
          <w:szCs w:val="24"/>
          <w:highlight w:val="none"/>
        </w:rPr>
      </w:pPr>
      <w:bookmarkStart w:id="8" w:name="_Toc5513"/>
      <w:r>
        <w:rPr>
          <w:rFonts w:hint="eastAsia" w:ascii="宋体" w:hAnsi="宋体" w:cs="宋体"/>
          <w:bCs/>
          <w:sz w:val="24"/>
          <w:szCs w:val="24"/>
          <w:highlight w:val="none"/>
        </w:rPr>
        <w:t>2. 合格的供应商</w:t>
      </w:r>
      <w:bookmarkEnd w:id="8"/>
      <w:r>
        <w:rPr>
          <w:rFonts w:hint="eastAsia" w:ascii="宋体" w:hAnsi="宋体" w:cs="宋体"/>
          <w:bCs/>
          <w:sz w:val="24"/>
          <w:szCs w:val="24"/>
          <w:highlight w:val="none"/>
        </w:rPr>
        <w:tab/>
      </w:r>
    </w:p>
    <w:p w14:paraId="2C909A62">
      <w:pPr>
        <w:shd w:val="clear"/>
        <w:spacing w:line="360" w:lineRule="auto"/>
        <w:ind w:firstLine="480" w:firstLineChars="200"/>
        <w:outlineLvl w:val="0"/>
        <w:rPr>
          <w:rFonts w:hint="eastAsia" w:ascii="宋体" w:hAnsi="宋体" w:cs="宋体"/>
          <w:bCs/>
          <w:sz w:val="24"/>
          <w:szCs w:val="24"/>
          <w:highlight w:val="none"/>
        </w:rPr>
      </w:pPr>
      <w:bookmarkStart w:id="9" w:name="_Toc1676"/>
      <w:r>
        <w:rPr>
          <w:rFonts w:hint="eastAsia" w:ascii="宋体" w:hAnsi="宋体" w:cs="宋体"/>
          <w:bCs/>
          <w:sz w:val="24"/>
          <w:szCs w:val="24"/>
          <w:highlight w:val="none"/>
        </w:rPr>
        <w:t>（1）满足本项目供应商的资格条件的规定；</w:t>
      </w:r>
      <w:bookmarkEnd w:id="9"/>
    </w:p>
    <w:p w14:paraId="427F6317">
      <w:pPr>
        <w:shd w:val="clear"/>
        <w:spacing w:line="360" w:lineRule="auto"/>
        <w:ind w:firstLine="480" w:firstLineChars="200"/>
        <w:outlineLvl w:val="0"/>
        <w:rPr>
          <w:rFonts w:hint="eastAsia" w:ascii="宋体" w:hAnsi="宋体" w:cs="宋体"/>
          <w:bCs/>
          <w:sz w:val="24"/>
          <w:szCs w:val="24"/>
          <w:highlight w:val="none"/>
        </w:rPr>
      </w:pPr>
      <w:bookmarkStart w:id="10" w:name="_Toc31931"/>
      <w:r>
        <w:rPr>
          <w:rFonts w:hint="eastAsia" w:ascii="宋体" w:hAnsi="宋体" w:cs="宋体"/>
          <w:bCs/>
          <w:sz w:val="24"/>
          <w:szCs w:val="24"/>
          <w:highlight w:val="none"/>
        </w:rPr>
        <w:t>（2）满足本项目实质性条款的规定；</w:t>
      </w:r>
      <w:bookmarkEnd w:id="10"/>
    </w:p>
    <w:p w14:paraId="2C0939C1">
      <w:pPr>
        <w:shd w:val="clear"/>
        <w:spacing w:line="360" w:lineRule="auto"/>
        <w:ind w:firstLine="480" w:firstLineChars="200"/>
        <w:outlineLvl w:val="0"/>
        <w:rPr>
          <w:rFonts w:hint="eastAsia" w:ascii="宋体" w:hAnsi="宋体" w:cs="宋体"/>
          <w:bCs/>
          <w:sz w:val="24"/>
          <w:szCs w:val="24"/>
          <w:highlight w:val="none"/>
        </w:rPr>
      </w:pPr>
      <w:bookmarkStart w:id="11" w:name="_Toc21648"/>
      <w:r>
        <w:rPr>
          <w:rFonts w:hint="eastAsia" w:ascii="宋体" w:hAnsi="宋体" w:cs="宋体"/>
          <w:bCs/>
          <w:sz w:val="24"/>
          <w:szCs w:val="24"/>
          <w:highlight w:val="none"/>
        </w:rPr>
        <w:t>3. 供应商之间如果存在下列情形之一的，不得同时参加本项目采购活动：</w:t>
      </w:r>
      <w:bookmarkEnd w:id="11"/>
    </w:p>
    <w:p w14:paraId="78F97721">
      <w:pPr>
        <w:shd w:val="clear"/>
        <w:spacing w:line="360" w:lineRule="auto"/>
        <w:ind w:firstLine="480" w:firstLineChars="200"/>
        <w:outlineLvl w:val="0"/>
        <w:rPr>
          <w:rFonts w:hint="eastAsia" w:ascii="宋体" w:hAnsi="宋体" w:cs="宋体"/>
          <w:bCs/>
          <w:sz w:val="24"/>
          <w:szCs w:val="24"/>
          <w:highlight w:val="none"/>
        </w:rPr>
      </w:pPr>
      <w:bookmarkStart w:id="12" w:name="_Toc22988"/>
      <w:r>
        <w:rPr>
          <w:rFonts w:hint="eastAsia" w:ascii="宋体" w:hAnsi="宋体" w:cs="宋体"/>
          <w:bCs/>
          <w:sz w:val="24"/>
          <w:szCs w:val="24"/>
          <w:highlight w:val="none"/>
        </w:rPr>
        <w:t>（1）与采购人存在利害关系且可能影响采购活动公正性的；</w:t>
      </w:r>
      <w:bookmarkEnd w:id="12"/>
    </w:p>
    <w:p w14:paraId="155C1AE9">
      <w:pPr>
        <w:shd w:val="clear"/>
        <w:spacing w:line="360" w:lineRule="auto"/>
        <w:ind w:firstLine="480" w:firstLineChars="200"/>
        <w:outlineLvl w:val="0"/>
        <w:rPr>
          <w:rFonts w:hint="eastAsia" w:ascii="宋体" w:hAnsi="宋体" w:cs="宋体"/>
          <w:bCs/>
          <w:sz w:val="24"/>
          <w:szCs w:val="24"/>
          <w:highlight w:val="none"/>
        </w:rPr>
      </w:pPr>
      <w:bookmarkStart w:id="13" w:name="_Toc10048"/>
      <w:r>
        <w:rPr>
          <w:rFonts w:hint="eastAsia" w:ascii="宋体" w:hAnsi="宋体" w:cs="宋体"/>
          <w:bCs/>
          <w:sz w:val="24"/>
          <w:szCs w:val="24"/>
          <w:highlight w:val="none"/>
        </w:rPr>
        <w:t>（2）与本项目的其他供应商为同一个法定代表人（单位负责人）；</w:t>
      </w:r>
      <w:bookmarkEnd w:id="13"/>
    </w:p>
    <w:p w14:paraId="0981221B">
      <w:pPr>
        <w:shd w:val="clear"/>
        <w:spacing w:line="360" w:lineRule="auto"/>
        <w:ind w:firstLine="480" w:firstLineChars="200"/>
        <w:outlineLvl w:val="0"/>
        <w:rPr>
          <w:rFonts w:hint="eastAsia" w:ascii="宋体" w:hAnsi="宋体" w:cs="宋体"/>
          <w:bCs/>
          <w:sz w:val="24"/>
          <w:szCs w:val="24"/>
          <w:highlight w:val="none"/>
        </w:rPr>
      </w:pPr>
      <w:bookmarkStart w:id="14" w:name="_Toc24930"/>
      <w:r>
        <w:rPr>
          <w:rFonts w:hint="eastAsia" w:ascii="宋体" w:hAnsi="宋体" w:cs="宋体"/>
          <w:bCs/>
          <w:sz w:val="24"/>
          <w:szCs w:val="24"/>
          <w:highlight w:val="none"/>
        </w:rPr>
        <w:t>（3）与本项目的其他供应商存在控股、管理关系；</w:t>
      </w:r>
      <w:bookmarkEnd w:id="14"/>
    </w:p>
    <w:p w14:paraId="3A0627E5">
      <w:pPr>
        <w:shd w:val="clear"/>
        <w:spacing w:line="360" w:lineRule="auto"/>
        <w:ind w:firstLine="480" w:firstLineChars="200"/>
        <w:outlineLvl w:val="0"/>
        <w:rPr>
          <w:rFonts w:hint="eastAsia" w:ascii="宋体" w:hAnsi="宋体" w:cs="宋体"/>
          <w:bCs/>
          <w:sz w:val="24"/>
          <w:szCs w:val="24"/>
          <w:highlight w:val="none"/>
        </w:rPr>
      </w:pPr>
      <w:bookmarkStart w:id="15" w:name="_Toc23982"/>
      <w:r>
        <w:rPr>
          <w:rFonts w:hint="eastAsia" w:ascii="宋体" w:hAnsi="宋体" w:cs="宋体"/>
          <w:bCs/>
          <w:sz w:val="24"/>
          <w:szCs w:val="24"/>
          <w:highlight w:val="none"/>
        </w:rPr>
        <w:t>（4）为本项目的采购代理机构；</w:t>
      </w:r>
      <w:bookmarkEnd w:id="15"/>
    </w:p>
    <w:p w14:paraId="19355DFA">
      <w:pPr>
        <w:shd w:val="clear"/>
        <w:spacing w:line="360" w:lineRule="auto"/>
        <w:ind w:firstLine="480" w:firstLineChars="200"/>
        <w:outlineLvl w:val="0"/>
        <w:rPr>
          <w:rFonts w:hint="eastAsia" w:ascii="宋体" w:hAnsi="宋体" w:cs="宋体"/>
          <w:bCs/>
          <w:sz w:val="24"/>
          <w:szCs w:val="24"/>
          <w:highlight w:val="none"/>
        </w:rPr>
      </w:pPr>
      <w:bookmarkStart w:id="16" w:name="_Toc29215"/>
      <w:r>
        <w:rPr>
          <w:rFonts w:hint="eastAsia" w:ascii="宋体" w:hAnsi="宋体" w:cs="宋体"/>
          <w:bCs/>
          <w:sz w:val="24"/>
          <w:szCs w:val="24"/>
          <w:highlight w:val="none"/>
        </w:rPr>
        <w:t>（5）被责令停产停业、暂扣或者吊销许可证、暂扣或者吊销执照；</w:t>
      </w:r>
      <w:bookmarkEnd w:id="16"/>
    </w:p>
    <w:p w14:paraId="2F62F4DF">
      <w:pPr>
        <w:shd w:val="clear"/>
        <w:spacing w:line="360" w:lineRule="auto"/>
        <w:ind w:firstLine="480" w:firstLineChars="200"/>
        <w:outlineLvl w:val="0"/>
        <w:rPr>
          <w:rFonts w:hint="eastAsia" w:ascii="宋体" w:hAnsi="宋体" w:cs="宋体"/>
          <w:bCs/>
          <w:sz w:val="24"/>
          <w:szCs w:val="24"/>
          <w:highlight w:val="none"/>
        </w:rPr>
      </w:pPr>
      <w:bookmarkStart w:id="17" w:name="_Toc15485"/>
      <w:r>
        <w:rPr>
          <w:rFonts w:hint="eastAsia" w:ascii="宋体" w:hAnsi="宋体" w:cs="宋体"/>
          <w:bCs/>
          <w:sz w:val="24"/>
          <w:szCs w:val="24"/>
          <w:highlight w:val="none"/>
        </w:rPr>
        <w:t>（6）进入清算程序，或被宣告破产，或其他丧失履约能力的情形；</w:t>
      </w:r>
      <w:bookmarkEnd w:id="17"/>
    </w:p>
    <w:p w14:paraId="0258D992">
      <w:pPr>
        <w:shd w:val="clear"/>
        <w:spacing w:line="360" w:lineRule="auto"/>
        <w:ind w:firstLine="480" w:firstLineChars="200"/>
        <w:outlineLvl w:val="0"/>
        <w:rPr>
          <w:rFonts w:hint="eastAsia" w:ascii="宋体" w:hAnsi="宋体" w:cs="宋体"/>
          <w:bCs/>
          <w:sz w:val="24"/>
          <w:szCs w:val="24"/>
          <w:highlight w:val="none"/>
        </w:rPr>
      </w:pPr>
      <w:bookmarkStart w:id="18" w:name="_Toc6978"/>
      <w:r>
        <w:rPr>
          <w:rFonts w:hint="eastAsia" w:ascii="宋体" w:hAnsi="宋体" w:cs="宋体"/>
          <w:bCs/>
          <w:sz w:val="24"/>
          <w:szCs w:val="24"/>
          <w:highlight w:val="none"/>
        </w:rPr>
        <w:t>（7）法律法规或供应商须知前附表及询比公告/询比邀请书规定的其他情形。</w:t>
      </w:r>
      <w:bookmarkEnd w:id="18"/>
    </w:p>
    <w:p w14:paraId="259F5F40">
      <w:pPr>
        <w:shd w:val="clear"/>
        <w:spacing w:line="360" w:lineRule="auto"/>
        <w:ind w:firstLine="480" w:firstLineChars="200"/>
        <w:outlineLvl w:val="0"/>
        <w:rPr>
          <w:rFonts w:hint="eastAsia" w:ascii="宋体" w:hAnsi="宋体" w:cs="宋体"/>
          <w:bCs/>
          <w:sz w:val="24"/>
          <w:szCs w:val="24"/>
          <w:highlight w:val="none"/>
        </w:rPr>
      </w:pPr>
      <w:bookmarkStart w:id="19" w:name="_Toc1672"/>
      <w:r>
        <w:rPr>
          <w:rFonts w:hint="eastAsia" w:ascii="宋体" w:hAnsi="宋体" w:cs="宋体"/>
          <w:bCs/>
          <w:sz w:val="24"/>
          <w:szCs w:val="24"/>
          <w:highlight w:val="none"/>
        </w:rPr>
        <w:t>4. 询比费用</w:t>
      </w:r>
      <w:bookmarkEnd w:id="19"/>
    </w:p>
    <w:p w14:paraId="6E15F058">
      <w:pPr>
        <w:shd w:val="clear"/>
        <w:spacing w:line="360" w:lineRule="auto"/>
        <w:ind w:firstLine="480" w:firstLineChars="200"/>
        <w:outlineLvl w:val="0"/>
        <w:rPr>
          <w:rFonts w:hint="eastAsia" w:ascii="宋体" w:hAnsi="宋体" w:cs="宋体"/>
          <w:bCs/>
          <w:sz w:val="24"/>
          <w:szCs w:val="24"/>
          <w:highlight w:val="none"/>
        </w:rPr>
      </w:pPr>
      <w:bookmarkStart w:id="20" w:name="_Toc10856"/>
      <w:r>
        <w:rPr>
          <w:rFonts w:hint="eastAsia" w:ascii="宋体" w:hAnsi="宋体" w:cs="宋体"/>
          <w:bCs/>
          <w:sz w:val="24"/>
          <w:szCs w:val="24"/>
          <w:highlight w:val="none"/>
        </w:rPr>
        <w:t>供应商应自行承担所有与参加询比有关的费用，无论询比过程中的做法和结果如何，采购人在任何情况下均无义务和责任承担这些费用。</w:t>
      </w:r>
      <w:bookmarkEnd w:id="20"/>
    </w:p>
    <w:p w14:paraId="5AB2457F">
      <w:pPr>
        <w:shd w:val="clear"/>
        <w:spacing w:line="360" w:lineRule="auto"/>
        <w:ind w:firstLine="482" w:firstLineChars="200"/>
        <w:outlineLvl w:val="0"/>
        <w:rPr>
          <w:rFonts w:hint="eastAsia" w:ascii="宋体" w:hAnsi="宋体" w:cs="宋体"/>
          <w:b/>
          <w:sz w:val="24"/>
          <w:szCs w:val="24"/>
          <w:highlight w:val="none"/>
        </w:rPr>
      </w:pPr>
      <w:bookmarkStart w:id="21" w:name="_Toc22622"/>
      <w:r>
        <w:rPr>
          <w:rFonts w:hint="eastAsia" w:ascii="宋体" w:hAnsi="宋体" w:cs="宋体"/>
          <w:b/>
          <w:sz w:val="24"/>
          <w:szCs w:val="24"/>
          <w:highlight w:val="none"/>
        </w:rPr>
        <w:t>（二）询比文件</w:t>
      </w:r>
      <w:bookmarkEnd w:id="21"/>
    </w:p>
    <w:p w14:paraId="0420F7C6">
      <w:pPr>
        <w:shd w:val="clear"/>
        <w:spacing w:line="360" w:lineRule="auto"/>
        <w:ind w:firstLine="480" w:firstLineChars="200"/>
        <w:outlineLvl w:val="0"/>
        <w:rPr>
          <w:rFonts w:hint="eastAsia" w:ascii="宋体" w:hAnsi="宋体" w:cs="宋体"/>
          <w:bCs/>
          <w:sz w:val="24"/>
          <w:szCs w:val="24"/>
          <w:highlight w:val="none"/>
        </w:rPr>
      </w:pPr>
      <w:bookmarkStart w:id="22" w:name="_Toc25000"/>
      <w:r>
        <w:rPr>
          <w:rFonts w:hint="eastAsia" w:ascii="宋体" w:hAnsi="宋体" w:cs="宋体"/>
          <w:bCs/>
          <w:sz w:val="24"/>
          <w:szCs w:val="24"/>
          <w:highlight w:val="none"/>
        </w:rPr>
        <w:t>1. 询比文件构成</w:t>
      </w:r>
      <w:bookmarkEnd w:id="22"/>
    </w:p>
    <w:p w14:paraId="7FCE2A36">
      <w:pPr>
        <w:shd w:val="clear"/>
        <w:spacing w:line="360" w:lineRule="auto"/>
        <w:ind w:firstLine="480" w:firstLineChars="200"/>
        <w:outlineLvl w:val="0"/>
        <w:rPr>
          <w:rFonts w:hint="eastAsia" w:ascii="宋体" w:hAnsi="宋体" w:cs="宋体"/>
          <w:bCs/>
          <w:sz w:val="24"/>
          <w:szCs w:val="24"/>
          <w:highlight w:val="none"/>
        </w:rPr>
      </w:pPr>
      <w:bookmarkStart w:id="23" w:name="_Toc11386"/>
      <w:r>
        <w:rPr>
          <w:rFonts w:hint="eastAsia" w:ascii="宋体" w:hAnsi="宋体" w:cs="宋体"/>
          <w:bCs/>
          <w:sz w:val="24"/>
          <w:szCs w:val="24"/>
          <w:highlight w:val="none"/>
        </w:rPr>
        <w:t>询比文件由以下部分组成：</w:t>
      </w:r>
      <w:bookmarkEnd w:id="23"/>
    </w:p>
    <w:p w14:paraId="23365E2B">
      <w:pPr>
        <w:shd w:val="clear"/>
        <w:spacing w:line="360" w:lineRule="auto"/>
        <w:ind w:firstLine="480" w:firstLineChars="200"/>
        <w:outlineLvl w:val="0"/>
        <w:rPr>
          <w:rFonts w:hint="eastAsia" w:ascii="宋体" w:hAnsi="宋体" w:cs="宋体"/>
          <w:bCs/>
          <w:sz w:val="24"/>
          <w:szCs w:val="24"/>
          <w:highlight w:val="none"/>
        </w:rPr>
      </w:pPr>
      <w:bookmarkStart w:id="24" w:name="_Toc30561"/>
      <w:r>
        <w:rPr>
          <w:rFonts w:hint="eastAsia" w:ascii="宋体" w:hAnsi="宋体" w:cs="宋体"/>
          <w:bCs/>
          <w:sz w:val="24"/>
          <w:szCs w:val="24"/>
          <w:highlight w:val="none"/>
        </w:rPr>
        <w:t>（1）询比公告</w:t>
      </w:r>
      <w:bookmarkEnd w:id="24"/>
    </w:p>
    <w:p w14:paraId="77C75788">
      <w:pPr>
        <w:shd w:val="clear"/>
        <w:spacing w:line="360" w:lineRule="auto"/>
        <w:ind w:firstLine="480" w:firstLineChars="200"/>
        <w:outlineLvl w:val="0"/>
        <w:rPr>
          <w:rFonts w:hint="eastAsia" w:ascii="宋体" w:hAnsi="宋体" w:cs="宋体"/>
          <w:bCs/>
          <w:sz w:val="24"/>
          <w:szCs w:val="24"/>
          <w:highlight w:val="none"/>
        </w:rPr>
      </w:pPr>
      <w:bookmarkStart w:id="25" w:name="_Toc13895"/>
      <w:r>
        <w:rPr>
          <w:rFonts w:hint="eastAsia" w:ascii="宋体" w:hAnsi="宋体" w:cs="宋体"/>
          <w:bCs/>
          <w:sz w:val="24"/>
          <w:szCs w:val="24"/>
          <w:highlight w:val="none"/>
        </w:rPr>
        <w:t>（2）供应商须知</w:t>
      </w:r>
      <w:bookmarkEnd w:id="25"/>
    </w:p>
    <w:p w14:paraId="3575FA49">
      <w:pPr>
        <w:shd w:val="clear"/>
        <w:spacing w:line="360" w:lineRule="auto"/>
        <w:ind w:firstLine="480" w:firstLineChars="200"/>
        <w:outlineLvl w:val="0"/>
        <w:rPr>
          <w:rFonts w:hint="eastAsia" w:ascii="宋体" w:hAnsi="宋体" w:cs="宋体"/>
          <w:bCs/>
          <w:sz w:val="24"/>
          <w:szCs w:val="24"/>
          <w:highlight w:val="none"/>
        </w:rPr>
      </w:pPr>
      <w:bookmarkStart w:id="26" w:name="_Toc30136"/>
      <w:r>
        <w:rPr>
          <w:rFonts w:hint="eastAsia" w:ascii="宋体" w:hAnsi="宋体" w:cs="宋体"/>
          <w:bCs/>
          <w:sz w:val="24"/>
          <w:szCs w:val="24"/>
          <w:highlight w:val="none"/>
        </w:rPr>
        <w:t>（3）采购合同</w:t>
      </w:r>
      <w:bookmarkEnd w:id="26"/>
    </w:p>
    <w:p w14:paraId="0A0FA25B">
      <w:pPr>
        <w:shd w:val="clear"/>
        <w:spacing w:line="360" w:lineRule="auto"/>
        <w:ind w:firstLine="480" w:firstLineChars="200"/>
        <w:outlineLvl w:val="0"/>
        <w:rPr>
          <w:rFonts w:hint="eastAsia" w:ascii="宋体" w:hAnsi="宋体" w:cs="宋体"/>
          <w:bCs/>
          <w:sz w:val="24"/>
          <w:szCs w:val="24"/>
          <w:highlight w:val="none"/>
        </w:rPr>
      </w:pPr>
      <w:bookmarkStart w:id="27" w:name="_Toc29230"/>
      <w:r>
        <w:rPr>
          <w:rFonts w:hint="eastAsia" w:ascii="宋体" w:hAnsi="宋体" w:cs="宋体"/>
          <w:bCs/>
          <w:sz w:val="24"/>
          <w:szCs w:val="24"/>
          <w:highlight w:val="none"/>
        </w:rPr>
        <w:t>（4）响应文件格式</w:t>
      </w:r>
      <w:bookmarkEnd w:id="27"/>
    </w:p>
    <w:p w14:paraId="14D43CC0">
      <w:pPr>
        <w:shd w:val="clear"/>
        <w:spacing w:line="360" w:lineRule="auto"/>
        <w:ind w:firstLine="480" w:firstLineChars="200"/>
        <w:outlineLvl w:val="0"/>
        <w:rPr>
          <w:rFonts w:hint="eastAsia" w:ascii="宋体" w:hAnsi="宋体" w:cs="宋体"/>
          <w:bCs/>
          <w:sz w:val="24"/>
          <w:szCs w:val="24"/>
          <w:highlight w:val="none"/>
        </w:rPr>
      </w:pPr>
      <w:bookmarkStart w:id="28" w:name="_Toc32477"/>
      <w:r>
        <w:rPr>
          <w:rFonts w:hint="eastAsia" w:ascii="宋体" w:hAnsi="宋体" w:cs="宋体"/>
          <w:bCs/>
          <w:sz w:val="24"/>
          <w:szCs w:val="24"/>
          <w:highlight w:val="none"/>
        </w:rPr>
        <w:t>（5）评审方法</w:t>
      </w:r>
      <w:bookmarkEnd w:id="28"/>
    </w:p>
    <w:p w14:paraId="2D2B545D">
      <w:pPr>
        <w:shd w:val="clear"/>
        <w:spacing w:line="360" w:lineRule="auto"/>
        <w:ind w:firstLine="480" w:firstLineChars="200"/>
        <w:outlineLvl w:val="0"/>
        <w:rPr>
          <w:rFonts w:hint="eastAsia" w:ascii="宋体" w:hAnsi="宋体" w:cs="宋体"/>
          <w:bCs/>
          <w:sz w:val="24"/>
          <w:szCs w:val="24"/>
          <w:highlight w:val="none"/>
        </w:rPr>
      </w:pPr>
      <w:bookmarkStart w:id="29" w:name="_Toc31562"/>
      <w:r>
        <w:rPr>
          <w:rFonts w:hint="eastAsia" w:ascii="宋体" w:hAnsi="宋体" w:cs="宋体"/>
          <w:bCs/>
          <w:sz w:val="24"/>
          <w:szCs w:val="24"/>
          <w:highlight w:val="none"/>
        </w:rPr>
        <w:t>（6）采购需求</w:t>
      </w:r>
      <w:bookmarkEnd w:id="29"/>
    </w:p>
    <w:p w14:paraId="7250399E">
      <w:pPr>
        <w:shd w:val="clear"/>
        <w:spacing w:line="360" w:lineRule="auto"/>
        <w:ind w:firstLine="480" w:firstLineChars="200"/>
        <w:outlineLvl w:val="0"/>
        <w:rPr>
          <w:rFonts w:hint="eastAsia" w:ascii="宋体" w:hAnsi="宋体" w:cs="宋体"/>
          <w:bCs/>
          <w:sz w:val="24"/>
          <w:szCs w:val="24"/>
          <w:highlight w:val="none"/>
        </w:rPr>
      </w:pPr>
      <w:bookmarkStart w:id="30" w:name="_Toc25736"/>
      <w:r>
        <w:rPr>
          <w:rFonts w:hint="eastAsia" w:ascii="宋体" w:hAnsi="宋体" w:cs="宋体"/>
          <w:bCs/>
          <w:sz w:val="24"/>
          <w:szCs w:val="24"/>
          <w:highlight w:val="none"/>
        </w:rPr>
        <w:t>2. 询比文件的澄清及修改</w:t>
      </w:r>
      <w:bookmarkEnd w:id="30"/>
    </w:p>
    <w:p w14:paraId="0ABF4755">
      <w:pPr>
        <w:shd w:val="clear"/>
        <w:spacing w:line="360" w:lineRule="auto"/>
        <w:ind w:firstLine="480" w:firstLineChars="200"/>
        <w:outlineLvl w:val="0"/>
        <w:rPr>
          <w:rFonts w:hint="eastAsia" w:ascii="宋体" w:hAnsi="宋体" w:cs="宋体"/>
          <w:bCs/>
          <w:sz w:val="24"/>
          <w:szCs w:val="24"/>
          <w:highlight w:val="none"/>
        </w:rPr>
      </w:pPr>
      <w:bookmarkStart w:id="31" w:name="_Toc31598"/>
      <w:r>
        <w:rPr>
          <w:rFonts w:hint="eastAsia" w:ascii="宋体" w:hAnsi="宋体" w:cs="宋体"/>
          <w:bCs/>
          <w:sz w:val="24"/>
          <w:szCs w:val="24"/>
          <w:highlight w:val="none"/>
        </w:rPr>
        <w:t>（1）任何要求对询比文件进行澄清的供应商，均应按供应商须知前附表中的时间及联系方式，以书面形式通知采购人。提交首次响应文件截止之日前，采购人可以对已发出的询比文件进行必要的澄清或者修改，澄清或者修改的内容作为询比文件的组成部分。澄清或者修改的内容可能影响响应文件编制的，采购人将在提交首次响应文件截止时间至少</w:t>
      </w:r>
      <w:r>
        <w:rPr>
          <w:rFonts w:hint="eastAsia" w:ascii="宋体" w:hAnsi="宋体" w:cs="宋体"/>
          <w:bCs/>
          <w:sz w:val="24"/>
          <w:szCs w:val="24"/>
          <w:highlight w:val="none"/>
          <w:u w:val="single"/>
        </w:rPr>
        <w:t>3</w:t>
      </w:r>
      <w:r>
        <w:rPr>
          <w:rFonts w:hint="eastAsia" w:ascii="宋体" w:hAnsi="宋体" w:cs="宋体"/>
          <w:bCs/>
          <w:sz w:val="24"/>
          <w:szCs w:val="24"/>
          <w:highlight w:val="none"/>
        </w:rPr>
        <w:t>日前，发布更正公告并通知所有获取询比文件的供应商。不足</w:t>
      </w:r>
      <w:r>
        <w:rPr>
          <w:rFonts w:hint="eastAsia" w:ascii="宋体" w:hAnsi="宋体" w:cs="宋体"/>
          <w:bCs/>
          <w:sz w:val="24"/>
          <w:szCs w:val="24"/>
          <w:highlight w:val="none"/>
          <w:u w:val="single"/>
        </w:rPr>
        <w:t>3</w:t>
      </w:r>
      <w:r>
        <w:rPr>
          <w:rFonts w:hint="eastAsia" w:ascii="宋体" w:hAnsi="宋体" w:cs="宋体"/>
          <w:bCs/>
          <w:sz w:val="24"/>
          <w:szCs w:val="24"/>
          <w:highlight w:val="none"/>
        </w:rPr>
        <w:t>日的，顺延提交首次响应文件截止时间。</w:t>
      </w:r>
      <w:bookmarkEnd w:id="31"/>
    </w:p>
    <w:p w14:paraId="67202EC4">
      <w:pPr>
        <w:shd w:val="clear"/>
        <w:spacing w:line="360" w:lineRule="auto"/>
        <w:ind w:firstLine="480" w:firstLineChars="200"/>
        <w:outlineLvl w:val="0"/>
        <w:rPr>
          <w:rFonts w:hint="eastAsia" w:ascii="宋体" w:hAnsi="宋体" w:cs="宋体"/>
          <w:bCs/>
          <w:sz w:val="24"/>
          <w:szCs w:val="24"/>
          <w:highlight w:val="none"/>
        </w:rPr>
      </w:pPr>
      <w:bookmarkStart w:id="32" w:name="_Toc13392"/>
      <w:r>
        <w:rPr>
          <w:rFonts w:hint="eastAsia" w:ascii="宋体" w:hAnsi="宋体" w:cs="宋体"/>
          <w:bCs/>
          <w:sz w:val="24"/>
          <w:szCs w:val="24"/>
          <w:highlight w:val="none"/>
        </w:rPr>
        <w:t>（2）除非有必要，采购人有权拒绝回复供应商在须知前附表中规定的时间后提出的任何澄清要求。</w:t>
      </w:r>
      <w:bookmarkEnd w:id="32"/>
    </w:p>
    <w:p w14:paraId="58AEF975">
      <w:pPr>
        <w:shd w:val="clear"/>
        <w:spacing w:line="360" w:lineRule="auto"/>
        <w:ind w:firstLine="482" w:firstLineChars="200"/>
        <w:outlineLvl w:val="0"/>
        <w:rPr>
          <w:rFonts w:hint="eastAsia" w:ascii="宋体" w:hAnsi="宋体" w:cs="宋体"/>
          <w:b/>
          <w:sz w:val="24"/>
          <w:szCs w:val="24"/>
          <w:highlight w:val="none"/>
        </w:rPr>
      </w:pPr>
      <w:bookmarkStart w:id="33" w:name="_Toc28830"/>
      <w:r>
        <w:rPr>
          <w:rFonts w:hint="eastAsia" w:ascii="宋体" w:hAnsi="宋体" w:cs="宋体"/>
          <w:b/>
          <w:sz w:val="24"/>
          <w:szCs w:val="24"/>
          <w:highlight w:val="none"/>
        </w:rPr>
        <w:t>（三）响应文件的编制</w:t>
      </w:r>
      <w:bookmarkEnd w:id="33"/>
    </w:p>
    <w:p w14:paraId="4BA4D8B1">
      <w:pPr>
        <w:shd w:val="clear"/>
        <w:wordWrap w:val="0"/>
        <w:spacing w:line="440" w:lineRule="exact"/>
        <w:ind w:firstLine="435"/>
        <w:jc w:val="left"/>
        <w:rPr>
          <w:rFonts w:hint="eastAsia" w:ascii="宋体" w:hAnsi="宋体" w:cs="宋体"/>
          <w:bCs/>
          <w:sz w:val="24"/>
          <w:szCs w:val="24"/>
          <w:highlight w:val="none"/>
        </w:rPr>
      </w:pPr>
      <w:bookmarkStart w:id="34" w:name="_Toc10185"/>
      <w:r>
        <w:rPr>
          <w:rFonts w:hint="eastAsia" w:ascii="宋体" w:hAnsi="宋体" w:cs="宋体"/>
          <w:bCs/>
          <w:sz w:val="24"/>
          <w:szCs w:val="24"/>
          <w:highlight w:val="none"/>
        </w:rPr>
        <w:t>1.响应文件编制要求</w:t>
      </w:r>
    </w:p>
    <w:bookmarkEnd w:id="34"/>
    <w:p w14:paraId="0E19DA51">
      <w:pPr>
        <w:shd w:val="clear"/>
        <w:wordWrap w:val="0"/>
        <w:spacing w:line="440" w:lineRule="exact"/>
        <w:ind w:firstLine="435"/>
        <w:jc w:val="left"/>
        <w:rPr>
          <w:rFonts w:hint="eastAsia" w:ascii="宋体" w:hAnsi="宋体"/>
          <w:sz w:val="24"/>
          <w:highlight w:val="none"/>
        </w:rPr>
      </w:pPr>
      <w:r>
        <w:rPr>
          <w:rFonts w:hint="eastAsia" w:ascii="Arial" w:hAnsi="Arial" w:cs="Arial"/>
          <w:sz w:val="24"/>
          <w:highlight w:val="none"/>
        </w:rPr>
        <w:t>供应商</w:t>
      </w:r>
      <w:r>
        <w:rPr>
          <w:rFonts w:ascii="Arial" w:hAnsi="Arial" w:cs="Arial"/>
          <w:sz w:val="24"/>
          <w:highlight w:val="none"/>
        </w:rPr>
        <w:t>应按照</w:t>
      </w:r>
      <w:r>
        <w:rPr>
          <w:rFonts w:hint="eastAsia" w:ascii="Arial" w:hAnsi="Arial" w:cs="Arial"/>
          <w:sz w:val="24"/>
          <w:highlight w:val="none"/>
        </w:rPr>
        <w:t>询比</w:t>
      </w:r>
      <w:r>
        <w:rPr>
          <w:rFonts w:ascii="Arial" w:hAnsi="Arial" w:cs="Arial"/>
          <w:sz w:val="24"/>
          <w:highlight w:val="none"/>
        </w:rPr>
        <w:t>文件的要求编制</w:t>
      </w:r>
      <w:r>
        <w:rPr>
          <w:rFonts w:hint="eastAsia" w:ascii="Arial" w:hAnsi="Arial" w:cs="Arial"/>
          <w:sz w:val="24"/>
          <w:highlight w:val="none"/>
        </w:rPr>
        <w:t>响应</w:t>
      </w:r>
      <w:r>
        <w:rPr>
          <w:rFonts w:ascii="Arial" w:hAnsi="Arial" w:cs="Arial"/>
          <w:sz w:val="24"/>
          <w:highlight w:val="none"/>
        </w:rPr>
        <w:t>文件，并在封面上注明“正本”和“副本”字样。</w:t>
      </w:r>
      <w:r>
        <w:rPr>
          <w:rFonts w:hint="eastAsia" w:ascii="Arial" w:hAnsi="Arial" w:cs="Arial"/>
          <w:sz w:val="24"/>
          <w:highlight w:val="none"/>
        </w:rPr>
        <w:t>响应</w:t>
      </w:r>
      <w:r>
        <w:rPr>
          <w:rFonts w:ascii="Arial" w:hAnsi="Arial" w:cs="Arial"/>
          <w:sz w:val="24"/>
          <w:highlight w:val="none"/>
        </w:rPr>
        <w:t>文件的正本与副本如有不一致之处，以正本为准。</w:t>
      </w:r>
    </w:p>
    <w:p w14:paraId="10D90B01">
      <w:pPr>
        <w:shd w:val="clear"/>
        <w:spacing w:line="360" w:lineRule="auto"/>
        <w:ind w:firstLine="480" w:firstLineChars="200"/>
        <w:outlineLvl w:val="0"/>
        <w:rPr>
          <w:rFonts w:hint="eastAsia" w:ascii="宋体" w:hAnsi="宋体" w:cs="宋体"/>
          <w:bCs/>
          <w:sz w:val="24"/>
          <w:szCs w:val="24"/>
          <w:highlight w:val="none"/>
        </w:rPr>
      </w:pPr>
      <w:bookmarkStart w:id="35" w:name="_Toc6966"/>
      <w:r>
        <w:rPr>
          <w:rFonts w:hint="eastAsia" w:ascii="宋体" w:hAnsi="宋体" w:cs="宋体"/>
          <w:bCs/>
          <w:sz w:val="24"/>
          <w:szCs w:val="24"/>
          <w:highlight w:val="none"/>
        </w:rPr>
        <w:t>2. 供应商应当按照询比文件的要求编制响应文件，并对其提交的响应文件的真实性、合法性承担法律责任。</w:t>
      </w:r>
      <w:bookmarkEnd w:id="35"/>
    </w:p>
    <w:p w14:paraId="7187D3F7">
      <w:pPr>
        <w:shd w:val="clear"/>
        <w:spacing w:line="360" w:lineRule="auto"/>
        <w:ind w:firstLine="480" w:firstLineChars="200"/>
        <w:outlineLvl w:val="0"/>
        <w:rPr>
          <w:rFonts w:hint="eastAsia" w:ascii="宋体" w:hAnsi="宋体" w:cs="宋体"/>
          <w:bCs/>
          <w:sz w:val="24"/>
          <w:szCs w:val="24"/>
          <w:highlight w:val="none"/>
        </w:rPr>
      </w:pPr>
      <w:bookmarkStart w:id="36" w:name="_Toc7824"/>
      <w:r>
        <w:rPr>
          <w:rFonts w:hint="eastAsia" w:ascii="宋体" w:hAnsi="宋体" w:cs="宋体"/>
          <w:bCs/>
          <w:sz w:val="24"/>
          <w:szCs w:val="24"/>
          <w:highlight w:val="none"/>
        </w:rPr>
        <w:t>3. 响应文件的语言及度量衡单位</w:t>
      </w:r>
      <w:bookmarkEnd w:id="36"/>
    </w:p>
    <w:p w14:paraId="02DBAA30">
      <w:pPr>
        <w:shd w:val="clear"/>
        <w:spacing w:line="360" w:lineRule="auto"/>
        <w:ind w:firstLine="480" w:firstLineChars="200"/>
        <w:outlineLvl w:val="0"/>
        <w:rPr>
          <w:rFonts w:hint="eastAsia" w:ascii="宋体" w:hAnsi="宋体" w:cs="宋体"/>
          <w:bCs/>
          <w:sz w:val="24"/>
          <w:szCs w:val="24"/>
          <w:highlight w:val="none"/>
        </w:rPr>
      </w:pPr>
      <w:bookmarkStart w:id="37" w:name="_Toc16972"/>
      <w:r>
        <w:rPr>
          <w:rFonts w:hint="eastAsia" w:ascii="宋体" w:hAnsi="宋体" w:cs="宋体"/>
          <w:bCs/>
          <w:sz w:val="24"/>
          <w:szCs w:val="24"/>
          <w:highlight w:val="none"/>
        </w:rPr>
        <w:t>（1）供应商提交的响应文件以及供应商与采购人就有关询比采购活动的所有来往通知、函件和文件均应使用简体中文；</w:t>
      </w:r>
      <w:bookmarkEnd w:id="37"/>
    </w:p>
    <w:p w14:paraId="401CA5DD">
      <w:pPr>
        <w:shd w:val="clear"/>
        <w:spacing w:line="360" w:lineRule="auto"/>
        <w:ind w:firstLine="480" w:firstLineChars="200"/>
        <w:outlineLvl w:val="0"/>
        <w:rPr>
          <w:rFonts w:hint="eastAsia" w:ascii="宋体" w:hAnsi="宋体" w:cs="宋体"/>
          <w:bCs/>
          <w:sz w:val="24"/>
          <w:szCs w:val="24"/>
          <w:highlight w:val="none"/>
        </w:rPr>
      </w:pPr>
      <w:bookmarkStart w:id="38" w:name="_Toc14762"/>
      <w:r>
        <w:rPr>
          <w:rFonts w:hint="eastAsia" w:ascii="宋体" w:hAnsi="宋体" w:cs="宋体"/>
          <w:bCs/>
          <w:sz w:val="24"/>
          <w:szCs w:val="24"/>
          <w:highlight w:val="none"/>
        </w:rPr>
        <w:t>（2）除技术性能另有规定外，响应文件所使用的度量衡单位，均须采用国家法定计量单位。</w:t>
      </w:r>
      <w:bookmarkEnd w:id="38"/>
    </w:p>
    <w:p w14:paraId="2613F27F">
      <w:pPr>
        <w:shd w:val="clear"/>
        <w:spacing w:line="360" w:lineRule="auto"/>
        <w:ind w:firstLine="480" w:firstLineChars="200"/>
        <w:outlineLvl w:val="0"/>
        <w:rPr>
          <w:rFonts w:hint="eastAsia" w:ascii="宋体" w:hAnsi="宋体" w:cs="宋体"/>
          <w:bCs/>
          <w:sz w:val="24"/>
          <w:szCs w:val="24"/>
          <w:highlight w:val="none"/>
        </w:rPr>
      </w:pPr>
      <w:bookmarkStart w:id="39" w:name="_Toc8185"/>
      <w:r>
        <w:rPr>
          <w:rFonts w:hint="eastAsia" w:ascii="宋体" w:hAnsi="宋体" w:cs="宋体"/>
          <w:bCs/>
          <w:sz w:val="24"/>
          <w:szCs w:val="24"/>
          <w:highlight w:val="none"/>
        </w:rPr>
        <w:t>4. 证明供应商资格及符合询比文件规定的文件</w:t>
      </w:r>
      <w:bookmarkEnd w:id="39"/>
    </w:p>
    <w:p w14:paraId="664AA922">
      <w:pPr>
        <w:shd w:val="clear"/>
        <w:spacing w:line="360" w:lineRule="auto"/>
        <w:ind w:firstLine="480" w:firstLineChars="200"/>
        <w:outlineLvl w:val="0"/>
        <w:rPr>
          <w:rFonts w:hint="eastAsia" w:ascii="宋体" w:hAnsi="宋体" w:cs="宋体"/>
          <w:bCs/>
          <w:sz w:val="24"/>
          <w:szCs w:val="24"/>
          <w:highlight w:val="none"/>
        </w:rPr>
      </w:pPr>
      <w:bookmarkStart w:id="40" w:name="_Toc27286"/>
      <w:r>
        <w:rPr>
          <w:rFonts w:hint="eastAsia" w:ascii="宋体" w:hAnsi="宋体" w:cs="宋体"/>
          <w:bCs/>
          <w:sz w:val="24"/>
          <w:szCs w:val="24"/>
          <w:highlight w:val="none"/>
        </w:rPr>
        <w:t>（1）供应商应按要求提交资格证明文件及符合询比文件规定的文件；</w:t>
      </w:r>
      <w:bookmarkEnd w:id="40"/>
    </w:p>
    <w:p w14:paraId="594763A1">
      <w:pPr>
        <w:shd w:val="clear"/>
        <w:spacing w:line="360" w:lineRule="auto"/>
        <w:ind w:firstLine="480" w:firstLineChars="200"/>
        <w:outlineLvl w:val="0"/>
        <w:rPr>
          <w:rFonts w:hint="eastAsia" w:ascii="宋体" w:hAnsi="宋体" w:cs="宋体"/>
          <w:bCs/>
          <w:sz w:val="24"/>
          <w:szCs w:val="24"/>
          <w:highlight w:val="none"/>
        </w:rPr>
      </w:pPr>
      <w:bookmarkStart w:id="41" w:name="_Toc12576"/>
      <w:r>
        <w:rPr>
          <w:rFonts w:hint="eastAsia" w:ascii="宋体" w:hAnsi="宋体" w:cs="宋体"/>
          <w:bCs/>
          <w:sz w:val="24"/>
          <w:szCs w:val="24"/>
          <w:highlight w:val="none"/>
        </w:rPr>
        <w:t>（2）供应商除必须具有履行合同所需的提供货物以及服务的能力外，还必须具备相应的财务、技术方面的能力。</w:t>
      </w:r>
      <w:bookmarkEnd w:id="41"/>
    </w:p>
    <w:p w14:paraId="22C5EF02">
      <w:pPr>
        <w:shd w:val="clear"/>
        <w:spacing w:line="360" w:lineRule="auto"/>
        <w:ind w:firstLine="480" w:firstLineChars="200"/>
        <w:outlineLvl w:val="0"/>
        <w:rPr>
          <w:rFonts w:hint="eastAsia" w:ascii="宋体" w:hAnsi="宋体" w:cs="宋体"/>
          <w:bCs/>
          <w:sz w:val="24"/>
          <w:szCs w:val="24"/>
          <w:highlight w:val="none"/>
        </w:rPr>
      </w:pPr>
      <w:bookmarkStart w:id="42" w:name="_Toc3856"/>
      <w:r>
        <w:rPr>
          <w:rFonts w:hint="eastAsia" w:ascii="宋体" w:hAnsi="宋体" w:cs="宋体"/>
          <w:bCs/>
          <w:sz w:val="24"/>
          <w:szCs w:val="24"/>
          <w:highlight w:val="none"/>
        </w:rPr>
        <w:t>5. 询比担保</w:t>
      </w:r>
      <w:bookmarkEnd w:id="42"/>
      <w:r>
        <w:rPr>
          <w:rFonts w:hint="eastAsia" w:ascii="宋体" w:hAnsi="宋体" w:cs="宋体"/>
          <w:b/>
          <w:sz w:val="24"/>
          <w:szCs w:val="24"/>
          <w:highlight w:val="none"/>
        </w:rPr>
        <w:t>（不采用）</w:t>
      </w:r>
    </w:p>
    <w:p w14:paraId="1E6ED933">
      <w:pPr>
        <w:shd w:val="clear"/>
        <w:spacing w:line="360" w:lineRule="auto"/>
        <w:ind w:firstLine="480" w:firstLineChars="200"/>
        <w:outlineLvl w:val="0"/>
        <w:rPr>
          <w:rFonts w:hint="eastAsia" w:ascii="宋体" w:hAnsi="宋体" w:cs="宋体"/>
          <w:bCs/>
          <w:sz w:val="24"/>
          <w:szCs w:val="24"/>
          <w:highlight w:val="none"/>
        </w:rPr>
      </w:pPr>
      <w:bookmarkStart w:id="43" w:name="_Toc12939"/>
      <w:r>
        <w:rPr>
          <w:rFonts w:hint="eastAsia" w:ascii="宋体" w:hAnsi="宋体" w:cs="宋体"/>
          <w:bCs/>
          <w:sz w:val="24"/>
          <w:szCs w:val="24"/>
          <w:highlight w:val="none"/>
        </w:rPr>
        <w:t>（1）供应商</w:t>
      </w:r>
      <w:r>
        <w:rPr>
          <w:rFonts w:hint="eastAsia" w:ascii="宋体" w:hAnsi="宋体" w:cs="宋体"/>
          <w:sz w:val="24"/>
          <w:highlight w:val="none"/>
        </w:rPr>
        <w:t>应按照询比文件的相关规定提交询比担保。</w:t>
      </w:r>
      <w:r>
        <w:rPr>
          <w:rFonts w:hint="eastAsia" w:ascii="宋体" w:hAnsi="宋体" w:cs="宋体"/>
          <w:bCs/>
          <w:sz w:val="24"/>
          <w:szCs w:val="24"/>
          <w:highlight w:val="none"/>
        </w:rPr>
        <w:t>供应商提交的询比担保必须在响应文件提交截止时间前送达，并作为其响应文件的组成部分，否则将被视为非实质性响应而予以拒绝；</w:t>
      </w:r>
      <w:bookmarkEnd w:id="43"/>
    </w:p>
    <w:p w14:paraId="1D8F3938">
      <w:pPr>
        <w:shd w:val="clear"/>
        <w:spacing w:line="360" w:lineRule="auto"/>
        <w:ind w:firstLine="480" w:firstLineChars="200"/>
        <w:outlineLvl w:val="0"/>
        <w:rPr>
          <w:rFonts w:hint="eastAsia" w:ascii="宋体" w:hAnsi="宋体" w:cs="宋体"/>
          <w:bCs/>
          <w:sz w:val="24"/>
          <w:szCs w:val="24"/>
          <w:highlight w:val="none"/>
        </w:rPr>
      </w:pPr>
      <w:bookmarkStart w:id="44" w:name="_Toc23139"/>
      <w:r>
        <w:rPr>
          <w:rFonts w:hint="eastAsia" w:ascii="宋体" w:hAnsi="宋体" w:cs="宋体"/>
          <w:bCs/>
          <w:sz w:val="24"/>
          <w:szCs w:val="24"/>
          <w:highlight w:val="none"/>
        </w:rPr>
        <w:t>（2）未成交供应商的询比担保将在成交通知书发出后10个工作日内退还；</w:t>
      </w:r>
      <w:bookmarkEnd w:id="44"/>
    </w:p>
    <w:p w14:paraId="1A92DBF5">
      <w:pPr>
        <w:shd w:val="clear"/>
        <w:spacing w:line="360" w:lineRule="auto"/>
        <w:ind w:firstLine="480" w:firstLineChars="200"/>
        <w:outlineLvl w:val="0"/>
        <w:rPr>
          <w:rFonts w:hint="eastAsia" w:ascii="宋体" w:hAnsi="宋体" w:cs="宋体"/>
          <w:bCs/>
          <w:sz w:val="24"/>
          <w:szCs w:val="24"/>
          <w:highlight w:val="none"/>
        </w:rPr>
      </w:pPr>
      <w:bookmarkStart w:id="45" w:name="_Toc3440"/>
      <w:r>
        <w:rPr>
          <w:rFonts w:hint="eastAsia" w:ascii="宋体" w:hAnsi="宋体" w:cs="宋体"/>
          <w:bCs/>
          <w:sz w:val="24"/>
          <w:szCs w:val="24"/>
          <w:highlight w:val="none"/>
        </w:rPr>
        <w:t>（3）有下列情形之一的，询比担保不予退还：</w:t>
      </w:r>
      <w:bookmarkEnd w:id="45"/>
    </w:p>
    <w:p w14:paraId="0F0D0BD7">
      <w:pPr>
        <w:shd w:val="clear"/>
        <w:spacing w:line="360" w:lineRule="auto"/>
        <w:ind w:firstLine="960" w:firstLineChars="400"/>
        <w:outlineLvl w:val="0"/>
        <w:rPr>
          <w:rFonts w:hint="eastAsia" w:ascii="宋体" w:hAnsi="宋体" w:cs="宋体"/>
          <w:bCs/>
          <w:sz w:val="24"/>
          <w:szCs w:val="24"/>
          <w:highlight w:val="none"/>
        </w:rPr>
      </w:pPr>
      <w:bookmarkStart w:id="46" w:name="_Toc4159"/>
      <w:r>
        <w:rPr>
          <w:rFonts w:hint="eastAsia" w:ascii="宋体" w:hAnsi="宋体" w:cs="宋体"/>
          <w:bCs/>
          <w:sz w:val="24"/>
          <w:szCs w:val="24"/>
          <w:highlight w:val="none"/>
        </w:rPr>
        <w:t>1）供应商在提交响应文件截止时间后撤销响应文件的；</w:t>
      </w:r>
      <w:bookmarkEnd w:id="46"/>
    </w:p>
    <w:p w14:paraId="028BF5AD">
      <w:pPr>
        <w:shd w:val="clear"/>
        <w:spacing w:line="360" w:lineRule="auto"/>
        <w:ind w:firstLine="960" w:firstLineChars="400"/>
        <w:outlineLvl w:val="0"/>
        <w:rPr>
          <w:rFonts w:hint="eastAsia" w:ascii="宋体" w:hAnsi="宋体" w:cs="宋体"/>
          <w:bCs/>
          <w:sz w:val="24"/>
          <w:szCs w:val="24"/>
          <w:highlight w:val="none"/>
        </w:rPr>
      </w:pPr>
      <w:bookmarkStart w:id="47" w:name="_Toc8415"/>
      <w:r>
        <w:rPr>
          <w:rFonts w:hint="eastAsia" w:ascii="宋体" w:hAnsi="宋体" w:cs="宋体"/>
          <w:bCs/>
          <w:sz w:val="24"/>
          <w:szCs w:val="24"/>
          <w:highlight w:val="none"/>
        </w:rPr>
        <w:t>2）供应商在响应文件中提供虚假材料的；</w:t>
      </w:r>
      <w:bookmarkEnd w:id="47"/>
    </w:p>
    <w:p w14:paraId="4E5C94A9">
      <w:pPr>
        <w:shd w:val="clear"/>
        <w:spacing w:line="360" w:lineRule="auto"/>
        <w:ind w:firstLine="960" w:firstLineChars="400"/>
        <w:outlineLvl w:val="0"/>
        <w:rPr>
          <w:rFonts w:hint="eastAsia" w:ascii="宋体" w:hAnsi="宋体" w:cs="宋体"/>
          <w:bCs/>
          <w:sz w:val="24"/>
          <w:szCs w:val="24"/>
          <w:highlight w:val="none"/>
        </w:rPr>
      </w:pPr>
      <w:bookmarkStart w:id="48" w:name="_Toc7433"/>
      <w:r>
        <w:rPr>
          <w:rFonts w:hint="eastAsia" w:ascii="宋体" w:hAnsi="宋体" w:cs="宋体"/>
          <w:bCs/>
          <w:sz w:val="24"/>
          <w:szCs w:val="24"/>
          <w:highlight w:val="none"/>
        </w:rPr>
        <w:t>3）除因不可抗力或询比文件认可的情形以外，成交供应商不与采购人签订合同的；</w:t>
      </w:r>
      <w:bookmarkEnd w:id="48"/>
    </w:p>
    <w:p w14:paraId="50BFF4AF">
      <w:pPr>
        <w:shd w:val="clear"/>
        <w:spacing w:line="360" w:lineRule="auto"/>
        <w:ind w:firstLine="960" w:firstLineChars="400"/>
        <w:outlineLvl w:val="0"/>
        <w:rPr>
          <w:rFonts w:hint="eastAsia" w:ascii="宋体" w:hAnsi="宋体" w:cs="宋体"/>
          <w:bCs/>
          <w:sz w:val="24"/>
          <w:szCs w:val="24"/>
          <w:highlight w:val="none"/>
        </w:rPr>
      </w:pPr>
      <w:bookmarkStart w:id="49" w:name="_Toc29402"/>
      <w:r>
        <w:rPr>
          <w:rFonts w:hint="eastAsia" w:ascii="宋体" w:hAnsi="宋体" w:cs="宋体"/>
          <w:bCs/>
          <w:sz w:val="24"/>
          <w:szCs w:val="24"/>
          <w:highlight w:val="none"/>
        </w:rPr>
        <w:t>4）供应商与采购人、其他供应商恶意串通的；</w:t>
      </w:r>
      <w:bookmarkEnd w:id="49"/>
    </w:p>
    <w:p w14:paraId="6F1AAD85">
      <w:pPr>
        <w:shd w:val="clear"/>
        <w:spacing w:line="360" w:lineRule="auto"/>
        <w:ind w:firstLine="960" w:firstLineChars="400"/>
        <w:outlineLvl w:val="0"/>
        <w:rPr>
          <w:rFonts w:hint="eastAsia" w:ascii="宋体" w:hAnsi="宋体" w:cs="宋体"/>
          <w:bCs/>
          <w:sz w:val="24"/>
          <w:szCs w:val="24"/>
          <w:highlight w:val="none"/>
        </w:rPr>
      </w:pPr>
      <w:bookmarkStart w:id="50" w:name="_Toc21797"/>
      <w:r>
        <w:rPr>
          <w:rFonts w:hint="eastAsia" w:ascii="宋体" w:hAnsi="宋体" w:cs="宋体"/>
          <w:bCs/>
          <w:sz w:val="24"/>
          <w:szCs w:val="24"/>
          <w:highlight w:val="none"/>
        </w:rPr>
        <w:t>5）询比文件规定的其他情形。</w:t>
      </w:r>
      <w:bookmarkEnd w:id="50"/>
    </w:p>
    <w:p w14:paraId="6D7FC040">
      <w:pPr>
        <w:shd w:val="clear"/>
        <w:wordWrap w:val="0"/>
        <w:spacing w:line="440" w:lineRule="exact"/>
        <w:ind w:firstLine="435"/>
        <w:jc w:val="left"/>
        <w:rPr>
          <w:rFonts w:hint="eastAsia" w:ascii="宋体" w:hAnsi="宋体" w:cs="宋体"/>
          <w:bCs/>
          <w:sz w:val="24"/>
          <w:szCs w:val="24"/>
          <w:highlight w:val="none"/>
        </w:rPr>
      </w:pPr>
      <w:bookmarkStart w:id="51" w:name="_Toc31486"/>
      <w:r>
        <w:rPr>
          <w:rFonts w:hint="eastAsia" w:ascii="宋体" w:hAnsi="宋体" w:cs="宋体"/>
          <w:bCs/>
          <w:sz w:val="24"/>
          <w:szCs w:val="24"/>
          <w:highlight w:val="none"/>
        </w:rPr>
        <w:t xml:space="preserve">6. </w:t>
      </w:r>
      <w:bookmarkEnd w:id="51"/>
      <w:bookmarkStart w:id="52" w:name="_Toc12616"/>
      <w:r>
        <w:rPr>
          <w:rFonts w:hint="eastAsia" w:ascii="宋体" w:hAnsi="宋体" w:cs="宋体"/>
          <w:bCs/>
          <w:sz w:val="24"/>
          <w:szCs w:val="24"/>
          <w:highlight w:val="none"/>
        </w:rPr>
        <w:t>签字及盖章</w:t>
      </w:r>
    </w:p>
    <w:p w14:paraId="58FF37AE">
      <w:pPr>
        <w:shd w:val="clear"/>
        <w:wordWrap w:val="0"/>
        <w:spacing w:line="440" w:lineRule="exact"/>
        <w:ind w:firstLine="736" w:firstLineChars="307"/>
        <w:jc w:val="left"/>
        <w:rPr>
          <w:rFonts w:hint="eastAsia" w:ascii="宋体" w:hAnsi="宋体"/>
          <w:sz w:val="24"/>
          <w:highlight w:val="none"/>
        </w:rPr>
      </w:pPr>
      <w:r>
        <w:rPr>
          <w:rFonts w:ascii="宋体" w:hAnsi="宋体"/>
          <w:sz w:val="24"/>
          <w:highlight w:val="none"/>
        </w:rPr>
        <w:t>在第</w:t>
      </w:r>
      <w:r>
        <w:rPr>
          <w:rFonts w:hint="eastAsia" w:ascii="宋体" w:hAnsi="宋体"/>
          <w:sz w:val="24"/>
          <w:highlight w:val="none"/>
        </w:rPr>
        <w:t>四</w:t>
      </w:r>
      <w:r>
        <w:rPr>
          <w:rFonts w:ascii="宋体" w:hAnsi="宋体"/>
          <w:sz w:val="24"/>
          <w:highlight w:val="none"/>
        </w:rPr>
        <w:t>章“</w:t>
      </w:r>
      <w:r>
        <w:rPr>
          <w:rFonts w:hint="eastAsia" w:ascii="宋体" w:hAnsi="宋体"/>
          <w:sz w:val="24"/>
          <w:highlight w:val="none"/>
        </w:rPr>
        <w:t>响应</w:t>
      </w:r>
      <w:r>
        <w:rPr>
          <w:rFonts w:ascii="宋体" w:hAnsi="宋体"/>
          <w:sz w:val="24"/>
          <w:highlight w:val="none"/>
        </w:rPr>
        <w:t>文件格式”中要求</w:t>
      </w:r>
      <w:r>
        <w:rPr>
          <w:rFonts w:hint="eastAsia" w:ascii="宋体" w:hAnsi="宋体"/>
          <w:sz w:val="24"/>
          <w:highlight w:val="none"/>
        </w:rPr>
        <w:t>加</w:t>
      </w:r>
      <w:r>
        <w:rPr>
          <w:rFonts w:ascii="宋体" w:hAnsi="宋体"/>
          <w:sz w:val="24"/>
          <w:highlight w:val="none"/>
        </w:rPr>
        <w:t>盖</w:t>
      </w:r>
      <w:r>
        <w:rPr>
          <w:rFonts w:hint="eastAsia" w:ascii="宋体" w:hAnsi="宋体"/>
          <w:sz w:val="24"/>
          <w:highlight w:val="none"/>
        </w:rPr>
        <w:t>供应商公章</w:t>
      </w:r>
      <w:r>
        <w:rPr>
          <w:rFonts w:ascii="宋体" w:hAnsi="宋体"/>
          <w:sz w:val="24"/>
          <w:highlight w:val="none"/>
        </w:rPr>
        <w:t>处，加盖</w:t>
      </w:r>
      <w:r>
        <w:rPr>
          <w:rFonts w:hint="eastAsia" w:ascii="宋体" w:hAnsi="宋体"/>
          <w:sz w:val="24"/>
          <w:highlight w:val="none"/>
        </w:rPr>
        <w:t>供应商</w:t>
      </w:r>
      <w:r>
        <w:rPr>
          <w:rFonts w:ascii="宋体" w:hAnsi="宋体"/>
          <w:sz w:val="24"/>
          <w:highlight w:val="none"/>
        </w:rPr>
        <w:t>电子</w:t>
      </w:r>
      <w:r>
        <w:rPr>
          <w:rFonts w:hint="eastAsia" w:ascii="宋体" w:hAnsi="宋体"/>
          <w:sz w:val="24"/>
          <w:highlight w:val="none"/>
        </w:rPr>
        <w:t>公章；</w:t>
      </w:r>
      <w:r>
        <w:rPr>
          <w:rFonts w:ascii="宋体" w:hAnsi="宋体"/>
          <w:sz w:val="24"/>
          <w:highlight w:val="none"/>
        </w:rPr>
        <w:t>联合体参加</w:t>
      </w:r>
      <w:r>
        <w:rPr>
          <w:rFonts w:hint="eastAsia" w:ascii="宋体" w:hAnsi="宋体"/>
          <w:sz w:val="24"/>
          <w:highlight w:val="none"/>
        </w:rPr>
        <w:t>询比</w:t>
      </w:r>
      <w:r>
        <w:rPr>
          <w:rFonts w:ascii="宋体" w:hAnsi="宋体"/>
          <w:sz w:val="24"/>
          <w:highlight w:val="none"/>
        </w:rPr>
        <w:t>的，除联合协议</w:t>
      </w:r>
      <w:r>
        <w:rPr>
          <w:rFonts w:hint="eastAsia" w:ascii="宋体" w:hAnsi="宋体"/>
          <w:sz w:val="24"/>
          <w:highlight w:val="none"/>
        </w:rPr>
        <w:t>及询比文件规定须联合体各成员单位各自盖章的证明材料</w:t>
      </w:r>
      <w:r>
        <w:rPr>
          <w:rFonts w:ascii="宋体" w:hAnsi="宋体"/>
          <w:sz w:val="24"/>
          <w:highlight w:val="none"/>
        </w:rPr>
        <w:t>外，</w:t>
      </w:r>
      <w:r>
        <w:rPr>
          <w:rFonts w:hint="eastAsia" w:ascii="宋体" w:hAnsi="宋体"/>
          <w:sz w:val="24"/>
          <w:highlight w:val="none"/>
        </w:rPr>
        <w:t>响应</w:t>
      </w:r>
      <w:r>
        <w:rPr>
          <w:rFonts w:ascii="宋体" w:hAnsi="宋体"/>
          <w:sz w:val="24"/>
          <w:highlight w:val="none"/>
        </w:rPr>
        <w:t>文件由联合体牵头人按上述规定加盖联合体牵头人单位</w:t>
      </w:r>
      <w:r>
        <w:rPr>
          <w:rFonts w:hint="eastAsia" w:ascii="宋体" w:hAnsi="宋体"/>
          <w:sz w:val="24"/>
          <w:highlight w:val="none"/>
        </w:rPr>
        <w:t>公章。</w:t>
      </w:r>
    </w:p>
    <w:bookmarkEnd w:id="52"/>
    <w:p w14:paraId="520805B9">
      <w:pPr>
        <w:shd w:val="clear"/>
        <w:spacing w:line="360" w:lineRule="auto"/>
        <w:ind w:firstLine="482" w:firstLineChars="200"/>
        <w:outlineLvl w:val="0"/>
        <w:rPr>
          <w:rFonts w:hint="eastAsia" w:ascii="宋体" w:hAnsi="宋体" w:cs="宋体"/>
          <w:b/>
          <w:sz w:val="24"/>
          <w:szCs w:val="24"/>
          <w:highlight w:val="none"/>
        </w:rPr>
      </w:pPr>
      <w:bookmarkStart w:id="53" w:name="_Toc16805"/>
      <w:r>
        <w:rPr>
          <w:rFonts w:hint="eastAsia" w:ascii="宋体" w:hAnsi="宋体" w:cs="宋体"/>
          <w:b/>
          <w:sz w:val="24"/>
          <w:szCs w:val="24"/>
          <w:highlight w:val="none"/>
        </w:rPr>
        <w:t>（四）响应文件的</w:t>
      </w:r>
      <w:bookmarkEnd w:id="53"/>
      <w:r>
        <w:rPr>
          <w:rFonts w:hint="eastAsia" w:ascii="宋体" w:hAnsi="宋体" w:cs="宋体"/>
          <w:b/>
          <w:sz w:val="24"/>
          <w:szCs w:val="24"/>
          <w:highlight w:val="none"/>
        </w:rPr>
        <w:t>提交、修改和撤回</w:t>
      </w:r>
    </w:p>
    <w:p w14:paraId="18D0592F">
      <w:pPr>
        <w:shd w:val="clear"/>
        <w:wordWrap w:val="0"/>
        <w:spacing w:line="440" w:lineRule="exact"/>
        <w:ind w:firstLine="435"/>
        <w:jc w:val="left"/>
        <w:rPr>
          <w:rFonts w:hint="eastAsia" w:ascii="宋体" w:hAnsi="宋体"/>
          <w:sz w:val="24"/>
          <w:highlight w:val="none"/>
        </w:rPr>
      </w:pPr>
      <w:bookmarkStart w:id="54" w:name="_Toc18406"/>
      <w:r>
        <w:rPr>
          <w:rFonts w:hint="eastAsia" w:ascii="宋体" w:hAnsi="宋体"/>
          <w:sz w:val="24"/>
          <w:highlight w:val="none"/>
        </w:rPr>
        <w:t>1. 供应商应当在供应商须知前附表中规定的响应文件提交截止时间前</w:t>
      </w:r>
      <w:r>
        <w:rPr>
          <w:rFonts w:ascii="宋体" w:hAnsi="宋体"/>
          <w:sz w:val="24"/>
          <w:highlight w:val="none"/>
        </w:rPr>
        <w:t>，将</w:t>
      </w:r>
      <w:r>
        <w:rPr>
          <w:rFonts w:hint="eastAsia" w:ascii="宋体" w:hAnsi="宋体"/>
          <w:sz w:val="24"/>
          <w:highlight w:val="none"/>
        </w:rPr>
        <w:t>密封好的响应</w:t>
      </w:r>
      <w:r>
        <w:rPr>
          <w:rFonts w:ascii="宋体" w:hAnsi="宋体"/>
          <w:sz w:val="24"/>
          <w:highlight w:val="none"/>
        </w:rPr>
        <w:t>文件</w:t>
      </w:r>
      <w:r>
        <w:rPr>
          <w:rFonts w:hint="eastAsia" w:ascii="宋体" w:hAnsi="宋体"/>
          <w:sz w:val="24"/>
          <w:highlight w:val="none"/>
        </w:rPr>
        <w:t>送达询比公告中的指定地点。</w:t>
      </w:r>
    </w:p>
    <w:p w14:paraId="0BFA24C9">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  供应商应当在响应文件提交截止时间前完成响应文件的递交，并可以补充、修改或者撤回响应文件。未按规定加密或响应文件提交截止时间后送达的响应文件，代理机构应当拒收。</w:t>
      </w:r>
    </w:p>
    <w:p w14:paraId="1661FC27">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3.  采购代理机构工作人员在监督下解密所有响应文件。</w:t>
      </w:r>
    </w:p>
    <w:bookmarkEnd w:id="54"/>
    <w:p w14:paraId="4813226F">
      <w:pPr>
        <w:shd w:val="clear"/>
        <w:spacing w:line="360" w:lineRule="auto"/>
        <w:ind w:firstLine="482" w:firstLineChars="200"/>
        <w:outlineLvl w:val="0"/>
        <w:rPr>
          <w:rFonts w:hint="eastAsia" w:ascii="宋体" w:hAnsi="宋体" w:cs="宋体"/>
          <w:b/>
          <w:sz w:val="24"/>
          <w:szCs w:val="24"/>
          <w:highlight w:val="none"/>
        </w:rPr>
      </w:pPr>
      <w:bookmarkStart w:id="55" w:name="_Toc18327"/>
      <w:r>
        <w:rPr>
          <w:rFonts w:hint="eastAsia" w:ascii="宋体" w:hAnsi="宋体" w:cs="宋体"/>
          <w:b/>
          <w:sz w:val="24"/>
          <w:szCs w:val="24"/>
          <w:highlight w:val="none"/>
        </w:rPr>
        <w:t>（五）询比与评审</w:t>
      </w:r>
      <w:bookmarkEnd w:id="55"/>
    </w:p>
    <w:p w14:paraId="211CD3FE">
      <w:pPr>
        <w:shd w:val="clear"/>
        <w:spacing w:line="360" w:lineRule="auto"/>
        <w:ind w:firstLine="480" w:firstLineChars="200"/>
        <w:outlineLvl w:val="0"/>
        <w:rPr>
          <w:rFonts w:hint="eastAsia" w:ascii="宋体" w:hAnsi="宋体" w:cs="宋体"/>
          <w:bCs/>
          <w:sz w:val="24"/>
          <w:szCs w:val="24"/>
          <w:highlight w:val="none"/>
        </w:rPr>
      </w:pPr>
      <w:bookmarkStart w:id="56" w:name="_Toc13300"/>
      <w:r>
        <w:rPr>
          <w:rFonts w:hint="eastAsia" w:ascii="宋体" w:hAnsi="宋体" w:cs="宋体"/>
          <w:bCs/>
          <w:sz w:val="24"/>
          <w:szCs w:val="24"/>
          <w:highlight w:val="none"/>
        </w:rPr>
        <w:t xml:space="preserve">1. </w:t>
      </w:r>
      <w:bookmarkEnd w:id="56"/>
      <w:r>
        <w:rPr>
          <w:rFonts w:hint="eastAsia" w:ascii="宋体" w:hAnsi="宋体" w:cs="宋体"/>
          <w:bCs/>
          <w:sz w:val="24"/>
          <w:szCs w:val="24"/>
          <w:highlight w:val="none"/>
        </w:rPr>
        <w:t>询比</w:t>
      </w:r>
    </w:p>
    <w:p w14:paraId="69FD7EAE">
      <w:pPr>
        <w:pStyle w:val="26"/>
        <w:shd w:val="clear"/>
        <w:ind w:left="0" w:leftChars="0" w:firstLine="720" w:firstLineChars="300"/>
        <w:rPr>
          <w:rFonts w:hint="eastAsia" w:ascii="宋体" w:hAnsi="宋体" w:cs="宋体"/>
          <w:highlight w:val="none"/>
        </w:rPr>
      </w:pPr>
      <w:bookmarkStart w:id="57" w:name="_Toc12414"/>
      <w:r>
        <w:rPr>
          <w:rFonts w:hint="eastAsia" w:ascii="宋体" w:hAnsi="宋体" w:cs="宋体"/>
          <w:bCs/>
          <w:sz w:val="24"/>
          <w:highlight w:val="none"/>
        </w:rPr>
        <w:t>采购人将在询比文件中规定的时间和地点组织</w:t>
      </w:r>
      <w:bookmarkEnd w:id="57"/>
      <w:r>
        <w:rPr>
          <w:rFonts w:hint="eastAsia" w:ascii="宋体" w:hAnsi="宋体" w:cs="宋体"/>
          <w:bCs/>
          <w:sz w:val="24"/>
          <w:highlight w:val="none"/>
        </w:rPr>
        <w:t>询比。</w:t>
      </w:r>
    </w:p>
    <w:p w14:paraId="3CF1B706">
      <w:pPr>
        <w:shd w:val="clear"/>
        <w:spacing w:line="360" w:lineRule="auto"/>
        <w:ind w:firstLine="480" w:firstLineChars="200"/>
        <w:outlineLvl w:val="0"/>
        <w:rPr>
          <w:rFonts w:hint="eastAsia" w:ascii="宋体" w:hAnsi="宋体" w:cs="宋体"/>
          <w:bCs/>
          <w:sz w:val="24"/>
          <w:szCs w:val="24"/>
          <w:highlight w:val="none"/>
        </w:rPr>
      </w:pPr>
      <w:bookmarkStart w:id="58" w:name="_Toc4752"/>
      <w:r>
        <w:rPr>
          <w:rFonts w:hint="eastAsia" w:ascii="宋体" w:hAnsi="宋体" w:cs="宋体"/>
          <w:bCs/>
          <w:sz w:val="24"/>
          <w:szCs w:val="24"/>
          <w:highlight w:val="none"/>
        </w:rPr>
        <w:t>2. 评审小组</w:t>
      </w:r>
      <w:bookmarkEnd w:id="58"/>
    </w:p>
    <w:p w14:paraId="2007248B">
      <w:pPr>
        <w:shd w:val="clear"/>
        <w:spacing w:line="360" w:lineRule="auto"/>
        <w:ind w:firstLine="480" w:firstLineChars="200"/>
        <w:outlineLvl w:val="0"/>
        <w:rPr>
          <w:rFonts w:hint="eastAsia" w:ascii="宋体" w:hAnsi="宋体" w:cs="宋体"/>
          <w:bCs/>
          <w:sz w:val="24"/>
          <w:szCs w:val="24"/>
          <w:highlight w:val="none"/>
        </w:rPr>
      </w:pPr>
      <w:bookmarkStart w:id="59" w:name="_Toc11961"/>
      <w:r>
        <w:rPr>
          <w:rFonts w:hint="eastAsia" w:ascii="宋体" w:hAnsi="宋体" w:cs="宋体"/>
          <w:bCs/>
          <w:sz w:val="24"/>
          <w:szCs w:val="24"/>
          <w:highlight w:val="none"/>
        </w:rPr>
        <w:t>（1）采购人将组建评审小组，由评审小组按照询比文件中规定的程序和评审方法对供应商提交的响应文件进行评审；</w:t>
      </w:r>
      <w:bookmarkEnd w:id="59"/>
    </w:p>
    <w:p w14:paraId="4D11A749">
      <w:pPr>
        <w:shd w:val="clear"/>
        <w:spacing w:line="360" w:lineRule="auto"/>
        <w:ind w:firstLine="480" w:firstLineChars="200"/>
        <w:outlineLvl w:val="0"/>
        <w:rPr>
          <w:rFonts w:hint="eastAsia" w:ascii="宋体" w:hAnsi="宋体" w:cs="宋体"/>
          <w:bCs/>
          <w:sz w:val="24"/>
          <w:szCs w:val="24"/>
          <w:highlight w:val="none"/>
        </w:rPr>
      </w:pPr>
      <w:bookmarkStart w:id="60" w:name="_Toc6502"/>
      <w:r>
        <w:rPr>
          <w:rFonts w:hint="eastAsia" w:ascii="宋体" w:hAnsi="宋体" w:cs="宋体"/>
          <w:bCs/>
          <w:sz w:val="24"/>
          <w:szCs w:val="24"/>
          <w:highlight w:val="none"/>
        </w:rPr>
        <w:t>（2）评审小组将按规定由3人或以上单数组成；</w:t>
      </w:r>
      <w:bookmarkEnd w:id="60"/>
    </w:p>
    <w:p w14:paraId="394B7D9A">
      <w:pPr>
        <w:shd w:val="clear"/>
        <w:spacing w:line="360" w:lineRule="auto"/>
        <w:ind w:firstLine="480" w:firstLineChars="200"/>
        <w:outlineLvl w:val="0"/>
        <w:rPr>
          <w:rFonts w:hint="eastAsia" w:ascii="宋体" w:hAnsi="宋体" w:cs="宋体"/>
          <w:bCs/>
          <w:sz w:val="24"/>
          <w:szCs w:val="24"/>
          <w:highlight w:val="none"/>
        </w:rPr>
      </w:pPr>
      <w:bookmarkStart w:id="61" w:name="_Toc7961"/>
      <w:r>
        <w:rPr>
          <w:rFonts w:hint="eastAsia" w:ascii="宋体" w:hAnsi="宋体" w:cs="宋体"/>
          <w:bCs/>
          <w:sz w:val="24"/>
          <w:szCs w:val="24"/>
          <w:highlight w:val="none"/>
        </w:rPr>
        <w:t>（3）评审小组成员有下列情形之一的，应当回避：</w:t>
      </w:r>
      <w:bookmarkEnd w:id="61"/>
    </w:p>
    <w:p w14:paraId="201E4DDF">
      <w:pPr>
        <w:shd w:val="clear"/>
        <w:spacing w:line="360" w:lineRule="auto"/>
        <w:ind w:firstLine="960" w:firstLineChars="400"/>
        <w:outlineLvl w:val="0"/>
        <w:rPr>
          <w:rFonts w:hint="eastAsia" w:ascii="宋体" w:hAnsi="宋体" w:cs="宋体"/>
          <w:bCs/>
          <w:sz w:val="24"/>
          <w:szCs w:val="24"/>
          <w:highlight w:val="none"/>
        </w:rPr>
      </w:pPr>
      <w:bookmarkStart w:id="62" w:name="_Toc29502"/>
      <w:r>
        <w:rPr>
          <w:rFonts w:hint="eastAsia" w:ascii="宋体" w:hAnsi="宋体" w:cs="宋体"/>
          <w:bCs/>
          <w:sz w:val="24"/>
          <w:szCs w:val="24"/>
          <w:highlight w:val="none"/>
        </w:rPr>
        <w:t>1）供应商主要负责人或供应商主要负责人的近亲属；</w:t>
      </w:r>
      <w:bookmarkEnd w:id="62"/>
    </w:p>
    <w:p w14:paraId="459E1E15">
      <w:pPr>
        <w:shd w:val="clear"/>
        <w:spacing w:line="360" w:lineRule="auto"/>
        <w:ind w:firstLine="960" w:firstLineChars="400"/>
        <w:outlineLvl w:val="0"/>
        <w:rPr>
          <w:rFonts w:hint="eastAsia" w:ascii="宋体" w:hAnsi="宋体" w:cs="宋体"/>
          <w:bCs/>
          <w:sz w:val="24"/>
          <w:szCs w:val="24"/>
          <w:highlight w:val="none"/>
        </w:rPr>
      </w:pPr>
      <w:bookmarkStart w:id="63" w:name="_Toc25537"/>
      <w:r>
        <w:rPr>
          <w:rFonts w:hint="eastAsia" w:ascii="宋体" w:hAnsi="宋体" w:cs="宋体"/>
          <w:bCs/>
          <w:sz w:val="24"/>
          <w:szCs w:val="24"/>
          <w:highlight w:val="none"/>
        </w:rPr>
        <w:t>2）与供应商有经济利益关系或其他利害关系，可能影响公平公正评审的。</w:t>
      </w:r>
      <w:bookmarkEnd w:id="63"/>
    </w:p>
    <w:p w14:paraId="5DF4DCB3">
      <w:pPr>
        <w:shd w:val="clear"/>
        <w:spacing w:line="360" w:lineRule="auto"/>
        <w:ind w:firstLine="480" w:firstLineChars="200"/>
        <w:outlineLvl w:val="0"/>
        <w:rPr>
          <w:rFonts w:hint="eastAsia" w:ascii="宋体" w:hAnsi="宋体" w:cs="宋体"/>
          <w:bCs/>
          <w:sz w:val="24"/>
          <w:szCs w:val="24"/>
          <w:highlight w:val="none"/>
        </w:rPr>
      </w:pPr>
      <w:bookmarkStart w:id="64" w:name="_Toc13650"/>
      <w:r>
        <w:rPr>
          <w:rFonts w:hint="eastAsia" w:ascii="宋体" w:hAnsi="宋体" w:cs="宋体"/>
          <w:bCs/>
          <w:sz w:val="24"/>
          <w:szCs w:val="24"/>
          <w:highlight w:val="none"/>
        </w:rPr>
        <w:t>（4）评审小组成员应当按照客观、公正、审慎的原则，根据询比文件规定的评审程序、评审方法和评审标准进行独立评审。未实质性响应询比文件的响应文件按无效响应处理。</w:t>
      </w:r>
      <w:bookmarkEnd w:id="64"/>
    </w:p>
    <w:p w14:paraId="15C3AD66">
      <w:pPr>
        <w:shd w:val="clear"/>
        <w:spacing w:line="360" w:lineRule="auto"/>
        <w:ind w:firstLine="480" w:firstLineChars="200"/>
        <w:outlineLvl w:val="0"/>
        <w:rPr>
          <w:rFonts w:hint="eastAsia" w:ascii="宋体" w:hAnsi="宋体" w:cs="宋体"/>
          <w:bCs/>
          <w:sz w:val="24"/>
          <w:szCs w:val="24"/>
          <w:highlight w:val="none"/>
        </w:rPr>
      </w:pPr>
      <w:bookmarkStart w:id="65" w:name="_Toc22913"/>
      <w:r>
        <w:rPr>
          <w:rFonts w:hint="eastAsia" w:ascii="宋体" w:hAnsi="宋体" w:cs="宋体"/>
          <w:bCs/>
          <w:sz w:val="24"/>
          <w:szCs w:val="24"/>
          <w:highlight w:val="none"/>
        </w:rPr>
        <w:t>（5）在评审过程中，评审小组成员对需要共同认定的事项存在争议的，将按照少数服从多数的原则作出结论。持不同意见的评审小组成员应当在评审报告上签署不同意见及理由，否则视为同意评审结果。</w:t>
      </w:r>
      <w:bookmarkEnd w:id="65"/>
    </w:p>
    <w:p w14:paraId="0EDFEAE3">
      <w:pPr>
        <w:shd w:val="clear"/>
        <w:spacing w:line="360" w:lineRule="auto"/>
        <w:ind w:firstLine="480" w:firstLineChars="200"/>
        <w:outlineLvl w:val="0"/>
        <w:rPr>
          <w:rFonts w:hint="eastAsia" w:ascii="宋体" w:hAnsi="宋体" w:cs="宋体"/>
          <w:bCs/>
          <w:sz w:val="24"/>
          <w:szCs w:val="24"/>
          <w:highlight w:val="none"/>
        </w:rPr>
      </w:pPr>
      <w:bookmarkStart w:id="66" w:name="_Toc23492"/>
      <w:r>
        <w:rPr>
          <w:rFonts w:hint="eastAsia" w:ascii="宋体" w:hAnsi="宋体" w:cs="宋体"/>
          <w:bCs/>
          <w:sz w:val="24"/>
          <w:szCs w:val="24"/>
          <w:highlight w:val="none"/>
        </w:rPr>
        <w:t>3. 响应文件审查</w:t>
      </w:r>
      <w:bookmarkEnd w:id="66"/>
    </w:p>
    <w:p w14:paraId="3F42CF38">
      <w:pPr>
        <w:shd w:val="clear"/>
        <w:spacing w:line="360" w:lineRule="auto"/>
        <w:ind w:firstLine="480" w:firstLineChars="200"/>
        <w:outlineLvl w:val="0"/>
        <w:rPr>
          <w:rFonts w:hint="eastAsia" w:ascii="宋体" w:hAnsi="宋体" w:cs="宋体"/>
          <w:bCs/>
          <w:sz w:val="24"/>
          <w:szCs w:val="24"/>
          <w:highlight w:val="none"/>
        </w:rPr>
      </w:pPr>
      <w:bookmarkStart w:id="67" w:name="_Toc7223"/>
      <w:r>
        <w:rPr>
          <w:rFonts w:hint="eastAsia" w:ascii="宋体" w:hAnsi="宋体" w:cs="宋体"/>
          <w:bCs/>
          <w:sz w:val="24"/>
          <w:szCs w:val="24"/>
          <w:highlight w:val="none"/>
        </w:rPr>
        <w:t>评审小组在对响应文件的有效性、完整性和响应程度进行审查时，若发现响应文件的形式或供应商资格不符合采购文件的要求、响应文件未实质性响应采购文件的要求，或响应文件中有含义不明确、同类问题表述不一致或有明显文字和计算错误的内容，评审小组可以要求供应商在规定时间进行澄清、说明和补正。供应商澄清、说明和补正内容应由法定代表人（单位负责人）或其授权的代理人签字或加盖单位公章。澄清、说明和补正的内容作为响应文件的组成部分。</w:t>
      </w:r>
      <w:bookmarkEnd w:id="67"/>
    </w:p>
    <w:p w14:paraId="01147F80">
      <w:pPr>
        <w:shd w:val="clear"/>
        <w:spacing w:line="360" w:lineRule="auto"/>
        <w:ind w:firstLine="480" w:firstLineChars="200"/>
        <w:outlineLvl w:val="0"/>
        <w:rPr>
          <w:rFonts w:hint="eastAsia" w:ascii="宋体" w:hAnsi="宋体" w:cs="宋体"/>
          <w:bCs/>
          <w:sz w:val="24"/>
          <w:szCs w:val="24"/>
          <w:highlight w:val="none"/>
        </w:rPr>
      </w:pPr>
      <w:bookmarkStart w:id="68" w:name="_Toc2586"/>
      <w:r>
        <w:rPr>
          <w:rFonts w:hint="eastAsia" w:ascii="宋体" w:hAnsi="宋体" w:cs="宋体"/>
          <w:bCs/>
          <w:sz w:val="24"/>
          <w:szCs w:val="24"/>
          <w:highlight w:val="none"/>
        </w:rPr>
        <w:t>4. 供应商澄清</w:t>
      </w:r>
      <w:bookmarkEnd w:id="68"/>
    </w:p>
    <w:p w14:paraId="0A6BF10C">
      <w:pPr>
        <w:shd w:val="clear"/>
        <w:spacing w:line="360" w:lineRule="auto"/>
        <w:ind w:firstLine="480" w:firstLineChars="200"/>
        <w:outlineLvl w:val="0"/>
        <w:rPr>
          <w:rFonts w:hint="eastAsia" w:ascii="宋体" w:hAnsi="宋体" w:cs="宋体"/>
          <w:bCs/>
          <w:sz w:val="24"/>
          <w:szCs w:val="24"/>
          <w:highlight w:val="none"/>
        </w:rPr>
      </w:pPr>
      <w:bookmarkStart w:id="69" w:name="_Toc25585"/>
      <w:r>
        <w:rPr>
          <w:rFonts w:hint="eastAsia" w:ascii="宋体" w:hAnsi="宋体" w:cs="宋体"/>
          <w:bCs/>
          <w:sz w:val="24"/>
          <w:szCs w:val="24"/>
          <w:highlight w:val="none"/>
        </w:rPr>
        <w:t>评审小组要求供应商澄清、说明或者更正响应文件将以书面形式作出。</w:t>
      </w:r>
      <w:bookmarkEnd w:id="69"/>
    </w:p>
    <w:p w14:paraId="6A0B1EE4">
      <w:pPr>
        <w:shd w:val="clear"/>
        <w:spacing w:line="360" w:lineRule="auto"/>
        <w:ind w:firstLine="480" w:firstLineChars="200"/>
        <w:outlineLvl w:val="0"/>
        <w:rPr>
          <w:rFonts w:hint="eastAsia" w:ascii="宋体" w:hAnsi="宋体" w:cs="宋体"/>
          <w:bCs/>
          <w:sz w:val="24"/>
          <w:szCs w:val="24"/>
          <w:highlight w:val="none"/>
        </w:rPr>
      </w:pPr>
      <w:bookmarkStart w:id="70" w:name="_Toc6233"/>
      <w:r>
        <w:rPr>
          <w:rFonts w:hint="eastAsia" w:ascii="宋体" w:hAnsi="宋体" w:cs="宋体"/>
          <w:bCs/>
          <w:sz w:val="24"/>
          <w:szCs w:val="24"/>
          <w:highlight w:val="none"/>
        </w:rPr>
        <w:t>5. 评审依据</w:t>
      </w:r>
      <w:bookmarkEnd w:id="70"/>
    </w:p>
    <w:p w14:paraId="47AD0BBF">
      <w:pPr>
        <w:shd w:val="clear"/>
        <w:spacing w:line="360" w:lineRule="auto"/>
        <w:ind w:firstLine="480" w:firstLineChars="200"/>
        <w:outlineLvl w:val="0"/>
        <w:rPr>
          <w:rFonts w:hint="eastAsia" w:ascii="宋体" w:hAnsi="宋体" w:cs="宋体"/>
          <w:bCs/>
          <w:sz w:val="24"/>
          <w:szCs w:val="24"/>
          <w:highlight w:val="none"/>
        </w:rPr>
      </w:pPr>
      <w:bookmarkStart w:id="71" w:name="_Toc28679"/>
      <w:r>
        <w:rPr>
          <w:rFonts w:hint="eastAsia" w:ascii="宋体" w:hAnsi="宋体" w:cs="宋体"/>
          <w:bCs/>
          <w:sz w:val="24"/>
          <w:szCs w:val="24"/>
          <w:highlight w:val="none"/>
        </w:rPr>
        <w:t>（1）评审依据为询比文件和供应商的响应文件；</w:t>
      </w:r>
      <w:bookmarkEnd w:id="71"/>
    </w:p>
    <w:p w14:paraId="54A88ABB">
      <w:pPr>
        <w:shd w:val="clear"/>
        <w:spacing w:line="360" w:lineRule="auto"/>
        <w:ind w:firstLine="480" w:firstLineChars="200"/>
        <w:outlineLvl w:val="0"/>
        <w:rPr>
          <w:rFonts w:hint="eastAsia" w:ascii="宋体" w:hAnsi="宋体" w:cs="宋体"/>
          <w:bCs/>
          <w:sz w:val="24"/>
          <w:szCs w:val="24"/>
          <w:highlight w:val="none"/>
        </w:rPr>
      </w:pPr>
      <w:bookmarkStart w:id="72" w:name="_Toc6723"/>
      <w:r>
        <w:rPr>
          <w:rFonts w:hint="eastAsia" w:ascii="宋体" w:hAnsi="宋体" w:cs="宋体"/>
          <w:bCs/>
          <w:sz w:val="24"/>
          <w:szCs w:val="24"/>
          <w:highlight w:val="none"/>
        </w:rPr>
        <w:t>（2）评审小组应当根据评审情况推荐成交候选单位，并编写评审报告。</w:t>
      </w:r>
      <w:bookmarkEnd w:id="72"/>
    </w:p>
    <w:p w14:paraId="60DF1ACC">
      <w:pPr>
        <w:shd w:val="clear"/>
        <w:spacing w:line="360" w:lineRule="auto"/>
        <w:ind w:firstLine="480" w:firstLineChars="200"/>
        <w:outlineLvl w:val="0"/>
        <w:rPr>
          <w:rFonts w:hint="eastAsia" w:ascii="宋体" w:hAnsi="宋体" w:cs="宋体"/>
          <w:bCs/>
          <w:sz w:val="24"/>
          <w:szCs w:val="24"/>
          <w:highlight w:val="none"/>
        </w:rPr>
      </w:pPr>
      <w:bookmarkStart w:id="73" w:name="_Toc6124"/>
      <w:r>
        <w:rPr>
          <w:rFonts w:hint="eastAsia" w:ascii="宋体" w:hAnsi="宋体" w:cs="宋体"/>
          <w:bCs/>
          <w:sz w:val="24"/>
          <w:szCs w:val="24"/>
          <w:highlight w:val="none"/>
        </w:rPr>
        <w:t>6. 成交公示</w:t>
      </w:r>
      <w:bookmarkEnd w:id="73"/>
    </w:p>
    <w:p w14:paraId="6A13EF68">
      <w:pPr>
        <w:shd w:val="clear"/>
        <w:spacing w:line="360" w:lineRule="auto"/>
        <w:ind w:firstLine="480" w:firstLineChars="200"/>
        <w:outlineLvl w:val="0"/>
        <w:rPr>
          <w:rFonts w:hint="eastAsia" w:ascii="宋体" w:hAnsi="宋体" w:cs="宋体"/>
          <w:bCs/>
          <w:sz w:val="24"/>
          <w:szCs w:val="24"/>
          <w:highlight w:val="none"/>
        </w:rPr>
      </w:pPr>
      <w:bookmarkStart w:id="74" w:name="_Toc14664"/>
      <w:r>
        <w:rPr>
          <w:rFonts w:ascii="宋体" w:hAnsi="宋体" w:cs="宋体"/>
          <w:bCs/>
          <w:sz w:val="24"/>
          <w:szCs w:val="24"/>
          <w:highlight w:val="none"/>
        </w:rPr>
        <w:t>成交</w:t>
      </w:r>
      <w:r>
        <w:rPr>
          <w:rFonts w:hint="eastAsia" w:ascii="宋体" w:hAnsi="宋体" w:cs="宋体"/>
          <w:bCs/>
          <w:sz w:val="24"/>
          <w:szCs w:val="24"/>
          <w:highlight w:val="none"/>
        </w:rPr>
        <w:t>候选</w:t>
      </w:r>
      <w:r>
        <w:rPr>
          <w:rFonts w:ascii="宋体" w:hAnsi="宋体" w:cs="宋体"/>
          <w:bCs/>
          <w:sz w:val="24"/>
          <w:szCs w:val="24"/>
          <w:highlight w:val="none"/>
        </w:rPr>
        <w:t>供应商选定后，采购人将按照供应商须知前附表规定的公示媒介和公示期限</w:t>
      </w:r>
      <w:r>
        <w:rPr>
          <w:rFonts w:hint="eastAsia" w:ascii="宋体" w:hAnsi="宋体" w:cs="宋体"/>
          <w:bCs/>
          <w:sz w:val="24"/>
          <w:szCs w:val="24"/>
          <w:highlight w:val="none"/>
        </w:rPr>
        <w:t>对成交候选供应商名单</w:t>
      </w:r>
      <w:r>
        <w:rPr>
          <w:rFonts w:ascii="宋体" w:hAnsi="宋体" w:cs="宋体"/>
          <w:bCs/>
          <w:sz w:val="24"/>
          <w:szCs w:val="24"/>
          <w:highlight w:val="none"/>
        </w:rPr>
        <w:t>进行公示，公示内容详见供应商须知前附表</w:t>
      </w:r>
      <w:r>
        <w:rPr>
          <w:rFonts w:hint="eastAsia" w:ascii="宋体" w:hAnsi="宋体" w:cs="宋体"/>
          <w:bCs/>
          <w:sz w:val="24"/>
          <w:szCs w:val="24"/>
          <w:highlight w:val="none"/>
        </w:rPr>
        <w:t>。</w:t>
      </w:r>
      <w:bookmarkEnd w:id="74"/>
      <w:bookmarkStart w:id="75" w:name="_Toc6106"/>
    </w:p>
    <w:p w14:paraId="19D446D2">
      <w:pPr>
        <w:shd w:val="clear"/>
        <w:spacing w:line="360" w:lineRule="auto"/>
        <w:ind w:firstLine="480" w:firstLineChars="200"/>
        <w:outlineLvl w:val="0"/>
        <w:rPr>
          <w:rFonts w:hint="eastAsia" w:ascii="宋体" w:hAnsi="宋体" w:cs="宋体"/>
          <w:bCs/>
          <w:sz w:val="24"/>
          <w:szCs w:val="24"/>
          <w:highlight w:val="none"/>
        </w:rPr>
      </w:pPr>
      <w:r>
        <w:rPr>
          <w:rFonts w:hint="eastAsia" w:ascii="宋体" w:hAnsi="宋体" w:cs="宋体"/>
          <w:bCs/>
          <w:sz w:val="24"/>
          <w:szCs w:val="24"/>
          <w:highlight w:val="none"/>
        </w:rPr>
        <w:t>7. 响应无效和终止询比活动条款</w:t>
      </w:r>
      <w:bookmarkEnd w:id="75"/>
    </w:p>
    <w:p w14:paraId="7FAD9830">
      <w:pPr>
        <w:shd w:val="clear"/>
        <w:spacing w:line="360" w:lineRule="auto"/>
        <w:ind w:firstLine="480" w:firstLineChars="200"/>
        <w:outlineLvl w:val="0"/>
        <w:rPr>
          <w:rFonts w:hint="eastAsia" w:ascii="宋体" w:hAnsi="宋体" w:cs="宋体"/>
          <w:bCs/>
          <w:sz w:val="24"/>
          <w:szCs w:val="24"/>
          <w:highlight w:val="none"/>
        </w:rPr>
      </w:pPr>
      <w:bookmarkStart w:id="76" w:name="_Toc16163"/>
      <w:r>
        <w:rPr>
          <w:rFonts w:hint="eastAsia" w:ascii="宋体" w:hAnsi="宋体" w:cs="宋体"/>
          <w:bCs/>
          <w:sz w:val="24"/>
          <w:szCs w:val="24"/>
          <w:highlight w:val="none"/>
        </w:rPr>
        <w:t>（1）响应无效条款</w:t>
      </w:r>
      <w:bookmarkEnd w:id="76"/>
    </w:p>
    <w:p w14:paraId="41B46897">
      <w:pPr>
        <w:shd w:val="clear"/>
        <w:spacing w:line="360" w:lineRule="auto"/>
        <w:ind w:firstLine="960" w:firstLineChars="400"/>
        <w:outlineLvl w:val="0"/>
        <w:rPr>
          <w:rFonts w:hint="eastAsia" w:ascii="宋体" w:hAnsi="宋体" w:cs="宋体"/>
          <w:bCs/>
          <w:sz w:val="24"/>
          <w:szCs w:val="24"/>
          <w:highlight w:val="none"/>
        </w:rPr>
      </w:pPr>
      <w:bookmarkStart w:id="77" w:name="_Toc8062"/>
      <w:r>
        <w:rPr>
          <w:rFonts w:hint="eastAsia" w:ascii="宋体" w:hAnsi="宋体" w:cs="宋体"/>
          <w:bCs/>
          <w:sz w:val="24"/>
          <w:szCs w:val="24"/>
          <w:highlight w:val="none"/>
        </w:rPr>
        <w:t>1）未按要求提交询比担保的；</w:t>
      </w:r>
      <w:bookmarkEnd w:id="77"/>
    </w:p>
    <w:p w14:paraId="411D4C23">
      <w:pPr>
        <w:shd w:val="clear"/>
        <w:spacing w:line="360" w:lineRule="auto"/>
        <w:ind w:firstLine="960" w:firstLineChars="400"/>
        <w:outlineLvl w:val="0"/>
        <w:rPr>
          <w:rFonts w:hint="eastAsia" w:ascii="宋体" w:hAnsi="宋体" w:cs="宋体"/>
          <w:bCs/>
          <w:sz w:val="24"/>
          <w:szCs w:val="24"/>
          <w:highlight w:val="none"/>
        </w:rPr>
      </w:pPr>
      <w:bookmarkStart w:id="78" w:name="_Toc24123"/>
      <w:r>
        <w:rPr>
          <w:rFonts w:hint="eastAsia" w:ascii="宋体" w:hAnsi="宋体" w:cs="宋体"/>
          <w:bCs/>
          <w:sz w:val="24"/>
          <w:szCs w:val="24"/>
          <w:highlight w:val="none"/>
        </w:rPr>
        <w:t>2）未按照询比文件规定要求加密、签署、盖章的；</w:t>
      </w:r>
      <w:bookmarkEnd w:id="78"/>
    </w:p>
    <w:p w14:paraId="1BFEA80B">
      <w:pPr>
        <w:shd w:val="clear"/>
        <w:spacing w:line="360" w:lineRule="auto"/>
        <w:ind w:firstLine="960" w:firstLineChars="400"/>
        <w:outlineLvl w:val="0"/>
        <w:rPr>
          <w:rFonts w:hint="eastAsia" w:ascii="宋体" w:hAnsi="宋体" w:cs="宋体"/>
          <w:bCs/>
          <w:sz w:val="24"/>
          <w:szCs w:val="24"/>
          <w:highlight w:val="none"/>
        </w:rPr>
      </w:pPr>
      <w:bookmarkStart w:id="79" w:name="_Toc6983"/>
      <w:r>
        <w:rPr>
          <w:rFonts w:hint="eastAsia" w:ascii="宋体" w:hAnsi="宋体" w:cs="宋体"/>
          <w:bCs/>
          <w:sz w:val="24"/>
          <w:szCs w:val="24"/>
          <w:highlight w:val="none"/>
        </w:rPr>
        <w:t>3）供应商不具备询比文件中规定资格条件或未提供相应证明材料的；</w:t>
      </w:r>
      <w:bookmarkEnd w:id="79"/>
    </w:p>
    <w:p w14:paraId="138172DC">
      <w:pPr>
        <w:shd w:val="clear"/>
        <w:spacing w:line="360" w:lineRule="auto"/>
        <w:ind w:firstLine="960" w:firstLineChars="400"/>
        <w:outlineLvl w:val="0"/>
        <w:rPr>
          <w:rFonts w:hint="eastAsia" w:ascii="宋体" w:hAnsi="宋体" w:cs="宋体"/>
          <w:bCs/>
          <w:sz w:val="24"/>
          <w:szCs w:val="24"/>
          <w:highlight w:val="none"/>
        </w:rPr>
      </w:pPr>
      <w:bookmarkStart w:id="80" w:name="_Toc28230"/>
      <w:r>
        <w:rPr>
          <w:rFonts w:hint="eastAsia" w:ascii="宋体" w:hAnsi="宋体" w:cs="宋体"/>
          <w:bCs/>
          <w:sz w:val="24"/>
          <w:szCs w:val="24"/>
          <w:highlight w:val="none"/>
        </w:rPr>
        <w:t>4）明显不符合项目需求的要求；</w:t>
      </w:r>
      <w:bookmarkEnd w:id="80"/>
    </w:p>
    <w:p w14:paraId="682012A0">
      <w:pPr>
        <w:shd w:val="clear"/>
        <w:spacing w:line="360" w:lineRule="auto"/>
        <w:ind w:firstLine="960" w:firstLineChars="400"/>
        <w:outlineLvl w:val="0"/>
        <w:rPr>
          <w:rFonts w:hint="eastAsia" w:ascii="宋体" w:hAnsi="宋体" w:cs="宋体"/>
          <w:bCs/>
          <w:sz w:val="24"/>
          <w:szCs w:val="24"/>
          <w:highlight w:val="none"/>
        </w:rPr>
      </w:pPr>
      <w:bookmarkStart w:id="81" w:name="_Toc13588"/>
      <w:r>
        <w:rPr>
          <w:rFonts w:hint="eastAsia" w:ascii="宋体" w:hAnsi="宋体" w:cs="宋体"/>
          <w:bCs/>
          <w:sz w:val="24"/>
          <w:szCs w:val="24"/>
          <w:highlight w:val="none"/>
        </w:rPr>
        <w:t>5）响应文件附有采购人不能接受的条件；</w:t>
      </w:r>
      <w:bookmarkEnd w:id="81"/>
    </w:p>
    <w:p w14:paraId="31776083">
      <w:pPr>
        <w:shd w:val="clear"/>
        <w:spacing w:line="360" w:lineRule="auto"/>
        <w:ind w:firstLine="960" w:firstLineChars="400"/>
        <w:outlineLvl w:val="0"/>
        <w:rPr>
          <w:rFonts w:hint="eastAsia" w:ascii="宋体" w:hAnsi="宋体" w:cs="宋体"/>
          <w:bCs/>
          <w:sz w:val="24"/>
          <w:szCs w:val="24"/>
          <w:highlight w:val="none"/>
        </w:rPr>
      </w:pPr>
      <w:bookmarkStart w:id="82" w:name="_Toc18106"/>
      <w:r>
        <w:rPr>
          <w:rFonts w:hint="eastAsia" w:ascii="宋体" w:hAnsi="宋体" w:cs="宋体"/>
          <w:bCs/>
          <w:sz w:val="24"/>
          <w:szCs w:val="24"/>
          <w:highlight w:val="none"/>
        </w:rPr>
        <w:t>6）响应文件中有伪造证明材料或弄虚作假情形的；</w:t>
      </w:r>
      <w:bookmarkEnd w:id="82"/>
    </w:p>
    <w:p w14:paraId="4BBE5A01">
      <w:pPr>
        <w:shd w:val="clear"/>
        <w:spacing w:line="360" w:lineRule="auto"/>
        <w:ind w:firstLine="960" w:firstLineChars="400"/>
        <w:outlineLvl w:val="0"/>
        <w:rPr>
          <w:rFonts w:hint="eastAsia" w:ascii="宋体" w:hAnsi="宋体" w:cs="宋体"/>
          <w:bCs/>
          <w:sz w:val="24"/>
          <w:szCs w:val="24"/>
          <w:highlight w:val="none"/>
        </w:rPr>
      </w:pPr>
      <w:bookmarkStart w:id="83" w:name="_Toc12103"/>
      <w:r>
        <w:rPr>
          <w:rFonts w:hint="eastAsia" w:ascii="宋体" w:hAnsi="宋体" w:cs="宋体"/>
          <w:bCs/>
          <w:sz w:val="24"/>
          <w:szCs w:val="24"/>
          <w:highlight w:val="none"/>
        </w:rPr>
        <w:t>7）被评审专家组认定为相互串通的；</w:t>
      </w:r>
      <w:bookmarkEnd w:id="83"/>
    </w:p>
    <w:p w14:paraId="608FBF17">
      <w:pPr>
        <w:shd w:val="clear"/>
        <w:spacing w:line="360" w:lineRule="auto"/>
        <w:ind w:firstLine="960" w:firstLineChars="400"/>
        <w:outlineLvl w:val="0"/>
        <w:rPr>
          <w:rFonts w:hint="eastAsia" w:ascii="宋体" w:hAnsi="宋体" w:cs="宋体"/>
          <w:bCs/>
          <w:sz w:val="24"/>
          <w:szCs w:val="24"/>
          <w:highlight w:val="none"/>
        </w:rPr>
      </w:pPr>
      <w:bookmarkStart w:id="84" w:name="_Toc28177"/>
      <w:r>
        <w:rPr>
          <w:rFonts w:hint="eastAsia" w:ascii="宋体" w:hAnsi="宋体" w:cs="宋体"/>
          <w:bCs/>
          <w:sz w:val="24"/>
          <w:szCs w:val="24"/>
          <w:highlight w:val="none"/>
        </w:rPr>
        <w:t>8）不符合询比文件中规定的其他实质性要求的；</w:t>
      </w:r>
      <w:bookmarkEnd w:id="84"/>
    </w:p>
    <w:p w14:paraId="05A2B053">
      <w:pPr>
        <w:shd w:val="clear"/>
        <w:spacing w:line="360" w:lineRule="auto"/>
        <w:ind w:firstLine="960" w:firstLineChars="400"/>
        <w:outlineLvl w:val="0"/>
        <w:rPr>
          <w:rFonts w:hint="eastAsia" w:ascii="宋体" w:hAnsi="宋体" w:cs="宋体"/>
          <w:bCs/>
          <w:sz w:val="24"/>
          <w:szCs w:val="24"/>
          <w:highlight w:val="none"/>
        </w:rPr>
      </w:pPr>
      <w:bookmarkStart w:id="85" w:name="_Toc5521"/>
      <w:r>
        <w:rPr>
          <w:rFonts w:hint="eastAsia" w:ascii="宋体" w:hAnsi="宋体" w:cs="宋体"/>
          <w:bCs/>
          <w:sz w:val="24"/>
          <w:szCs w:val="24"/>
          <w:highlight w:val="none"/>
        </w:rPr>
        <w:t>9）其他法律法规及本询比文件规定的属响应无效的情形。</w:t>
      </w:r>
      <w:bookmarkEnd w:id="85"/>
    </w:p>
    <w:p w14:paraId="4D5300E5">
      <w:pPr>
        <w:shd w:val="clear"/>
        <w:spacing w:line="360" w:lineRule="auto"/>
        <w:ind w:firstLine="480" w:firstLineChars="200"/>
        <w:outlineLvl w:val="0"/>
        <w:rPr>
          <w:rFonts w:hint="eastAsia" w:ascii="宋体" w:hAnsi="宋体" w:cs="宋体"/>
          <w:bCs/>
          <w:sz w:val="24"/>
          <w:szCs w:val="24"/>
          <w:highlight w:val="none"/>
        </w:rPr>
      </w:pPr>
      <w:bookmarkStart w:id="86" w:name="_Toc19439"/>
      <w:r>
        <w:rPr>
          <w:rFonts w:hint="eastAsia" w:ascii="宋体" w:hAnsi="宋体" w:cs="宋体"/>
          <w:bCs/>
          <w:sz w:val="24"/>
          <w:szCs w:val="24"/>
          <w:highlight w:val="none"/>
        </w:rPr>
        <w:t>（2）终止询比采购活动的条款</w:t>
      </w:r>
      <w:bookmarkEnd w:id="86"/>
    </w:p>
    <w:p w14:paraId="0456397F">
      <w:pPr>
        <w:shd w:val="clear"/>
        <w:spacing w:line="360" w:lineRule="auto"/>
        <w:ind w:firstLine="480" w:firstLineChars="200"/>
        <w:rPr>
          <w:sz w:val="24"/>
          <w:szCs w:val="24"/>
          <w:highlight w:val="none"/>
        </w:rPr>
      </w:pPr>
      <w:bookmarkStart w:id="87" w:name="_Toc22762"/>
      <w:r>
        <w:rPr>
          <w:rFonts w:hint="eastAsia"/>
          <w:sz w:val="24"/>
          <w:szCs w:val="24"/>
          <w:highlight w:val="none"/>
        </w:rPr>
        <w:t>出现下列情形之一的，采购人将终止询比采购活动，发布项目终止公告并说明原因，重新开展采购活动：</w:t>
      </w:r>
      <w:bookmarkEnd w:id="87"/>
    </w:p>
    <w:p w14:paraId="7AE86A9D">
      <w:pPr>
        <w:shd w:val="clear"/>
        <w:spacing w:line="360" w:lineRule="auto"/>
        <w:ind w:firstLine="960" w:firstLineChars="400"/>
        <w:outlineLvl w:val="0"/>
        <w:rPr>
          <w:rFonts w:hint="eastAsia" w:ascii="宋体" w:hAnsi="宋体" w:cs="宋体"/>
          <w:bCs/>
          <w:sz w:val="24"/>
          <w:szCs w:val="24"/>
          <w:highlight w:val="none"/>
        </w:rPr>
      </w:pPr>
      <w:bookmarkStart w:id="88" w:name="_Toc15781"/>
      <w:r>
        <w:rPr>
          <w:rFonts w:hint="eastAsia" w:ascii="宋体" w:hAnsi="宋体" w:cs="宋体"/>
          <w:bCs/>
          <w:sz w:val="24"/>
          <w:szCs w:val="24"/>
          <w:highlight w:val="none"/>
        </w:rPr>
        <w:t>1）因情况变化，不再符合规定的询比采购方式适用情形的；</w:t>
      </w:r>
      <w:bookmarkEnd w:id="88"/>
    </w:p>
    <w:p w14:paraId="414F130E">
      <w:pPr>
        <w:shd w:val="clear"/>
        <w:spacing w:line="360" w:lineRule="auto"/>
        <w:ind w:firstLine="960" w:firstLineChars="400"/>
        <w:outlineLvl w:val="0"/>
        <w:rPr>
          <w:rFonts w:hint="eastAsia" w:ascii="宋体" w:hAnsi="宋体" w:cs="宋体"/>
          <w:bCs/>
          <w:sz w:val="24"/>
          <w:szCs w:val="24"/>
          <w:highlight w:val="none"/>
        </w:rPr>
      </w:pPr>
      <w:bookmarkStart w:id="89" w:name="_Toc22685"/>
      <w:r>
        <w:rPr>
          <w:rFonts w:hint="eastAsia" w:ascii="宋体" w:hAnsi="宋体" w:cs="宋体"/>
          <w:bCs/>
          <w:sz w:val="24"/>
          <w:szCs w:val="24"/>
          <w:highlight w:val="none"/>
        </w:rPr>
        <w:t>2）出现影响采购公正的违法、违规行为的。</w:t>
      </w:r>
      <w:bookmarkEnd w:id="89"/>
    </w:p>
    <w:p w14:paraId="119ACA0B">
      <w:pPr>
        <w:shd w:val="clear"/>
        <w:spacing w:line="360" w:lineRule="auto"/>
        <w:ind w:firstLine="480" w:firstLineChars="200"/>
        <w:outlineLvl w:val="0"/>
        <w:rPr>
          <w:rFonts w:hint="eastAsia" w:ascii="宋体" w:hAnsi="宋体" w:cs="宋体"/>
          <w:bCs/>
          <w:sz w:val="24"/>
          <w:szCs w:val="24"/>
          <w:highlight w:val="none"/>
        </w:rPr>
      </w:pPr>
      <w:bookmarkStart w:id="90" w:name="_Toc10156"/>
      <w:r>
        <w:rPr>
          <w:rFonts w:hint="eastAsia" w:ascii="宋体" w:hAnsi="宋体" w:cs="宋体"/>
          <w:bCs/>
          <w:sz w:val="24"/>
          <w:szCs w:val="24"/>
          <w:highlight w:val="none"/>
        </w:rPr>
        <w:t>8.确定成交供应商</w:t>
      </w:r>
      <w:bookmarkEnd w:id="90"/>
    </w:p>
    <w:p w14:paraId="7A45C62F">
      <w:pPr>
        <w:shd w:val="clear"/>
        <w:spacing w:line="360" w:lineRule="auto"/>
        <w:ind w:firstLine="480" w:firstLineChars="200"/>
        <w:outlineLvl w:val="0"/>
        <w:rPr>
          <w:rFonts w:hint="eastAsia" w:ascii="宋体" w:hAnsi="宋体" w:cs="宋体"/>
          <w:bCs/>
          <w:sz w:val="24"/>
          <w:szCs w:val="24"/>
          <w:highlight w:val="none"/>
        </w:rPr>
      </w:pPr>
      <w:bookmarkStart w:id="91" w:name="_Toc10313"/>
      <w:r>
        <w:rPr>
          <w:rFonts w:hint="eastAsia" w:ascii="宋体" w:hAnsi="宋体" w:cs="宋体"/>
          <w:bCs/>
          <w:sz w:val="24"/>
          <w:szCs w:val="24"/>
          <w:highlight w:val="none"/>
        </w:rPr>
        <w:t>（1）采购人在成交候选人公示期结束后</w:t>
      </w:r>
      <w:r>
        <w:rPr>
          <w:rFonts w:hint="eastAsia" w:ascii="宋体" w:hAnsi="宋体" w:cs="宋体"/>
          <w:bCs/>
          <w:sz w:val="24"/>
          <w:szCs w:val="24"/>
          <w:highlight w:val="none"/>
          <w:u w:val="single"/>
        </w:rPr>
        <w:t xml:space="preserve"> 2 </w:t>
      </w:r>
      <w:r>
        <w:rPr>
          <w:rFonts w:hint="eastAsia" w:ascii="宋体" w:hAnsi="宋体" w:cs="宋体"/>
          <w:bCs/>
          <w:sz w:val="24"/>
          <w:szCs w:val="24"/>
          <w:highlight w:val="none"/>
        </w:rPr>
        <w:t>个工作日内，从评审报告提出的成交候选单位中确定成交单位并发出成交通知书。</w:t>
      </w:r>
      <w:bookmarkEnd w:id="91"/>
    </w:p>
    <w:p w14:paraId="61D0F022">
      <w:pPr>
        <w:shd w:val="clear"/>
        <w:spacing w:line="360" w:lineRule="auto"/>
        <w:ind w:firstLine="480" w:firstLineChars="200"/>
        <w:outlineLvl w:val="0"/>
        <w:rPr>
          <w:rFonts w:hint="eastAsia" w:ascii="宋体" w:hAnsi="宋体" w:cs="宋体"/>
          <w:highlight w:val="none"/>
        </w:rPr>
      </w:pPr>
      <w:bookmarkStart w:id="92" w:name="_Toc13318"/>
      <w:r>
        <w:rPr>
          <w:rFonts w:hint="eastAsia" w:ascii="宋体" w:hAnsi="宋体" w:cs="宋体"/>
          <w:bCs/>
          <w:sz w:val="24"/>
          <w:szCs w:val="24"/>
          <w:highlight w:val="none"/>
        </w:rPr>
        <w:t>（2）在发出成交通知书的同时，采购人将在供应商须知前附表规定的公告媒介发布成交结果公告，公告内容详见供应商须知前附表。</w:t>
      </w:r>
      <w:bookmarkEnd w:id="92"/>
    </w:p>
    <w:p w14:paraId="27993A52">
      <w:pPr>
        <w:shd w:val="clear"/>
        <w:spacing w:line="360" w:lineRule="auto"/>
        <w:ind w:firstLine="482" w:firstLineChars="200"/>
        <w:outlineLvl w:val="0"/>
        <w:rPr>
          <w:rFonts w:hint="eastAsia" w:ascii="宋体" w:hAnsi="宋体" w:cs="宋体"/>
          <w:b/>
          <w:sz w:val="24"/>
          <w:szCs w:val="24"/>
          <w:highlight w:val="none"/>
        </w:rPr>
      </w:pPr>
      <w:bookmarkStart w:id="93" w:name="_Toc9024"/>
      <w:r>
        <w:rPr>
          <w:rFonts w:hint="eastAsia" w:ascii="宋体" w:hAnsi="宋体" w:cs="宋体"/>
          <w:b/>
          <w:sz w:val="24"/>
          <w:szCs w:val="24"/>
          <w:highlight w:val="none"/>
        </w:rPr>
        <w:t>（六）授予合同</w:t>
      </w:r>
      <w:bookmarkEnd w:id="93"/>
    </w:p>
    <w:p w14:paraId="3C5F19D5">
      <w:pPr>
        <w:shd w:val="clear"/>
        <w:spacing w:line="360" w:lineRule="auto"/>
        <w:ind w:firstLine="480" w:firstLineChars="200"/>
        <w:outlineLvl w:val="0"/>
        <w:rPr>
          <w:rFonts w:hint="eastAsia" w:ascii="宋体" w:hAnsi="宋体" w:cs="宋体"/>
          <w:bCs/>
          <w:sz w:val="24"/>
          <w:szCs w:val="24"/>
          <w:highlight w:val="none"/>
        </w:rPr>
      </w:pPr>
      <w:bookmarkStart w:id="94" w:name="_Toc8124"/>
      <w:r>
        <w:rPr>
          <w:rFonts w:hint="eastAsia" w:ascii="宋体" w:hAnsi="宋体" w:cs="宋体"/>
          <w:bCs/>
          <w:sz w:val="24"/>
          <w:szCs w:val="24"/>
          <w:highlight w:val="none"/>
        </w:rPr>
        <w:t>1.签订合同</w:t>
      </w:r>
      <w:bookmarkEnd w:id="94"/>
    </w:p>
    <w:p w14:paraId="276EC324">
      <w:pPr>
        <w:shd w:val="clear"/>
        <w:spacing w:line="360" w:lineRule="auto"/>
        <w:ind w:firstLine="480" w:firstLineChars="200"/>
        <w:outlineLvl w:val="0"/>
        <w:rPr>
          <w:rFonts w:hint="eastAsia" w:ascii="宋体" w:hAnsi="宋体" w:cs="宋体"/>
          <w:bCs/>
          <w:sz w:val="24"/>
          <w:szCs w:val="24"/>
          <w:highlight w:val="none"/>
        </w:rPr>
      </w:pPr>
      <w:bookmarkStart w:id="95" w:name="_Toc6781"/>
      <w:r>
        <w:rPr>
          <w:rFonts w:hint="eastAsia" w:ascii="宋体" w:hAnsi="宋体" w:cs="宋体"/>
          <w:bCs/>
          <w:sz w:val="24"/>
          <w:szCs w:val="24"/>
          <w:highlight w:val="none"/>
        </w:rPr>
        <w:t>（1）采购人与成交单位应当在成交通知书发出之日起</w:t>
      </w:r>
      <w:r>
        <w:rPr>
          <w:rFonts w:hint="eastAsia" w:ascii="宋体" w:hAnsi="宋体" w:cs="宋体"/>
          <w:bCs/>
          <w:sz w:val="24"/>
          <w:szCs w:val="24"/>
          <w:highlight w:val="none"/>
          <w:u w:val="single"/>
        </w:rPr>
        <w:t>30</w:t>
      </w:r>
      <w:r>
        <w:rPr>
          <w:rFonts w:hint="eastAsia" w:ascii="宋体" w:hAnsi="宋体" w:cs="宋体"/>
          <w:bCs/>
          <w:sz w:val="24"/>
          <w:szCs w:val="24"/>
          <w:highlight w:val="none"/>
        </w:rPr>
        <w:t>日内，按照询比文件确定的合同文本以及技术和服务要求等事项签订采购合同；</w:t>
      </w:r>
      <w:bookmarkEnd w:id="95"/>
    </w:p>
    <w:p w14:paraId="5F410FD9">
      <w:pPr>
        <w:shd w:val="clear"/>
        <w:spacing w:line="360" w:lineRule="auto"/>
        <w:ind w:firstLine="480" w:firstLineChars="200"/>
        <w:outlineLvl w:val="0"/>
        <w:rPr>
          <w:rFonts w:hint="eastAsia" w:ascii="宋体" w:hAnsi="宋体" w:cs="宋体"/>
          <w:bCs/>
          <w:sz w:val="24"/>
          <w:szCs w:val="24"/>
          <w:highlight w:val="none"/>
        </w:rPr>
      </w:pPr>
      <w:bookmarkStart w:id="96" w:name="_Toc26801"/>
      <w:r>
        <w:rPr>
          <w:rFonts w:hint="eastAsia" w:ascii="宋体" w:hAnsi="宋体" w:cs="宋体"/>
          <w:bCs/>
          <w:sz w:val="24"/>
          <w:szCs w:val="24"/>
          <w:highlight w:val="none"/>
        </w:rPr>
        <w:t>（2）成交单位拒绝签订采购合同的，采购人可以从评审报告提出的供应商排序中，按照排序由高到低的原则重新确定其他供应商作为成交单位并签订采购合同，也可以重新开展采购活动。拒绝签订采购合同的供应商不得参加对该项目重新开展的采购活动；</w:t>
      </w:r>
      <w:bookmarkEnd w:id="96"/>
    </w:p>
    <w:p w14:paraId="5E09D484">
      <w:pPr>
        <w:shd w:val="clear"/>
        <w:spacing w:line="360" w:lineRule="auto"/>
        <w:ind w:firstLine="480" w:firstLineChars="200"/>
        <w:outlineLvl w:val="0"/>
        <w:rPr>
          <w:rFonts w:hint="eastAsia" w:ascii="宋体" w:hAnsi="宋体" w:cs="宋体"/>
          <w:bCs/>
          <w:sz w:val="24"/>
          <w:szCs w:val="24"/>
          <w:highlight w:val="none"/>
        </w:rPr>
      </w:pPr>
      <w:bookmarkStart w:id="97" w:name="_Toc21540"/>
      <w:r>
        <w:rPr>
          <w:rFonts w:hint="eastAsia" w:ascii="宋体" w:hAnsi="宋体" w:cs="宋体"/>
          <w:bCs/>
          <w:sz w:val="24"/>
          <w:szCs w:val="24"/>
          <w:highlight w:val="none"/>
        </w:rPr>
        <w:t>（3）询比文件、成交供应商的响应文件及询比过程中有关澄清、承诺文件均应作为合同附件。</w:t>
      </w:r>
      <w:bookmarkEnd w:id="97"/>
    </w:p>
    <w:p w14:paraId="3A2AC03E">
      <w:pPr>
        <w:shd w:val="clear"/>
        <w:spacing w:line="360" w:lineRule="auto"/>
        <w:ind w:firstLine="482" w:firstLineChars="200"/>
        <w:outlineLvl w:val="0"/>
        <w:rPr>
          <w:rFonts w:hint="eastAsia" w:ascii="宋体" w:hAnsi="宋体" w:cs="宋体"/>
          <w:b/>
          <w:sz w:val="24"/>
          <w:szCs w:val="24"/>
          <w:highlight w:val="none"/>
        </w:rPr>
      </w:pPr>
      <w:bookmarkStart w:id="98" w:name="_Toc6989"/>
      <w:r>
        <w:rPr>
          <w:rFonts w:hint="eastAsia" w:ascii="宋体" w:hAnsi="宋体" w:cs="宋体"/>
          <w:b/>
          <w:sz w:val="24"/>
          <w:szCs w:val="24"/>
          <w:highlight w:val="none"/>
        </w:rPr>
        <w:t>（七）</w:t>
      </w:r>
      <w:bookmarkEnd w:id="98"/>
      <w:r>
        <w:rPr>
          <w:rFonts w:hint="eastAsia" w:ascii="宋体" w:hAnsi="宋体" w:cs="宋体"/>
          <w:b/>
          <w:sz w:val="24"/>
          <w:szCs w:val="24"/>
          <w:highlight w:val="none"/>
        </w:rPr>
        <w:t>其他</w:t>
      </w:r>
    </w:p>
    <w:p w14:paraId="151DE0C5">
      <w:pPr>
        <w:shd w:val="clear"/>
        <w:spacing w:line="360" w:lineRule="auto"/>
        <w:ind w:firstLine="480" w:firstLineChars="200"/>
        <w:outlineLvl w:val="0"/>
        <w:rPr>
          <w:rFonts w:hint="eastAsia" w:ascii="宋体" w:hAnsi="宋体" w:cs="宋体"/>
          <w:bCs/>
          <w:sz w:val="24"/>
          <w:szCs w:val="24"/>
          <w:highlight w:val="none"/>
        </w:rPr>
      </w:pPr>
      <w:bookmarkStart w:id="99" w:name="_Toc17978"/>
      <w:r>
        <w:rPr>
          <w:rFonts w:hint="eastAsia" w:ascii="宋体" w:hAnsi="宋体" w:cs="宋体"/>
          <w:bCs/>
          <w:sz w:val="24"/>
          <w:szCs w:val="24"/>
          <w:highlight w:val="none"/>
        </w:rPr>
        <w:t>1. 如评审专家一致认为所有响应文件均未能对询比文件做出实质性响应，可以否决所有的响应文件，采购人将宣布本次询比无效，并重新组织采购</w:t>
      </w:r>
      <w:bookmarkEnd w:id="99"/>
      <w:r>
        <w:rPr>
          <w:rFonts w:hint="eastAsia" w:ascii="宋体" w:hAnsi="宋体" w:cs="宋体"/>
          <w:bCs/>
          <w:sz w:val="24"/>
          <w:szCs w:val="24"/>
          <w:highlight w:val="none"/>
        </w:rPr>
        <w:t>。</w:t>
      </w:r>
    </w:p>
    <w:p w14:paraId="36449BAA">
      <w:pPr>
        <w:shd w:val="clear"/>
        <w:spacing w:line="360" w:lineRule="auto"/>
        <w:ind w:firstLine="480" w:firstLineChars="200"/>
        <w:outlineLvl w:val="0"/>
        <w:rPr>
          <w:rFonts w:hint="eastAsia" w:ascii="宋体" w:hAnsi="宋体" w:cs="宋体"/>
          <w:bCs/>
          <w:sz w:val="24"/>
          <w:szCs w:val="24"/>
          <w:highlight w:val="none"/>
        </w:rPr>
      </w:pPr>
      <w:bookmarkStart w:id="100" w:name="_Toc11624"/>
      <w:r>
        <w:rPr>
          <w:rFonts w:hint="eastAsia" w:ascii="宋体" w:hAnsi="宋体" w:cs="宋体"/>
          <w:bCs/>
          <w:sz w:val="24"/>
          <w:szCs w:val="24"/>
          <w:highlight w:val="none"/>
        </w:rPr>
        <w:t>2. 合格供应商不足三家处理预案。响应文件提交截止时间后供应商提交响应文件不足三家的，或在评审期间出现符合资格条件的供应商或者对询比文件作实质性响应的供应商不足三家情形的，采购人可以宣布采购失败，或经</w:t>
      </w:r>
      <w:r>
        <w:rPr>
          <w:rFonts w:hint="eastAsia" w:ascii="宋体" w:hAnsi="宋体" w:cs="宋体"/>
          <w:b/>
          <w:bCs/>
          <w:sz w:val="24"/>
          <w:szCs w:val="24"/>
          <w:highlight w:val="none"/>
        </w:rPr>
        <w:t>采购人内部管理制度，</w:t>
      </w:r>
      <w:r>
        <w:rPr>
          <w:rFonts w:hint="eastAsia" w:ascii="宋体" w:hAnsi="宋体" w:cs="宋体"/>
          <w:sz w:val="24"/>
          <w:highlight w:val="none"/>
        </w:rPr>
        <w:t>进行两家评审（评审办法将采用原评审办法）或直接采购，</w:t>
      </w:r>
      <w:r>
        <w:rPr>
          <w:rFonts w:hint="eastAsia" w:ascii="宋体" w:hAnsi="宋体" w:cs="宋体"/>
          <w:bCs/>
          <w:sz w:val="24"/>
          <w:szCs w:val="24"/>
          <w:highlight w:val="none"/>
        </w:rPr>
        <w:t>资格性审查或符合性审查不合格的供应商不得参与评审或者直接采购</w:t>
      </w:r>
      <w:bookmarkEnd w:id="100"/>
      <w:r>
        <w:rPr>
          <w:rFonts w:hint="eastAsia" w:ascii="宋体" w:hAnsi="宋体" w:cs="宋体"/>
          <w:bCs/>
          <w:sz w:val="24"/>
          <w:szCs w:val="24"/>
          <w:highlight w:val="none"/>
        </w:rPr>
        <w:t>。</w:t>
      </w:r>
    </w:p>
    <w:p w14:paraId="0114A825">
      <w:pPr>
        <w:shd w:val="clear"/>
        <w:spacing w:line="360" w:lineRule="auto"/>
        <w:ind w:firstLine="480" w:firstLineChars="200"/>
        <w:rPr>
          <w:rFonts w:hint="eastAsia" w:ascii="宋体" w:hAnsi="宋体" w:cs="宋体"/>
          <w:bCs/>
          <w:sz w:val="24"/>
          <w:szCs w:val="24"/>
          <w:highlight w:val="none"/>
        </w:rPr>
      </w:pPr>
      <w:r>
        <w:rPr>
          <w:rFonts w:hint="eastAsia" w:ascii="宋体" w:hAnsi="宋体" w:cs="宋体"/>
          <w:bCs/>
          <w:sz w:val="24"/>
          <w:szCs w:val="24"/>
          <w:highlight w:val="none"/>
        </w:rPr>
        <w:t>3. 供应商应对其提供资料的真实性和有效性负责。</w:t>
      </w:r>
    </w:p>
    <w:p w14:paraId="10834FB0">
      <w:pPr>
        <w:shd w:val="clear"/>
        <w:spacing w:line="360" w:lineRule="auto"/>
        <w:ind w:firstLine="482" w:firstLineChars="200"/>
        <w:outlineLvl w:val="0"/>
        <w:rPr>
          <w:rFonts w:hint="eastAsia" w:ascii="宋体" w:hAnsi="宋体" w:cs="宋体"/>
          <w:b/>
          <w:sz w:val="24"/>
          <w:szCs w:val="24"/>
          <w:highlight w:val="none"/>
        </w:rPr>
      </w:pPr>
      <w:bookmarkStart w:id="101" w:name="_Toc17515"/>
      <w:r>
        <w:rPr>
          <w:rFonts w:hint="eastAsia" w:ascii="宋体" w:hAnsi="宋体" w:cs="宋体"/>
          <w:b/>
          <w:sz w:val="24"/>
          <w:szCs w:val="24"/>
          <w:highlight w:val="none"/>
        </w:rPr>
        <w:t>（八）异议</w:t>
      </w:r>
      <w:bookmarkEnd w:id="101"/>
    </w:p>
    <w:p w14:paraId="1894C7EA">
      <w:pPr>
        <w:shd w:val="clear"/>
        <w:spacing w:line="360" w:lineRule="auto"/>
        <w:ind w:firstLine="480" w:firstLineChars="200"/>
        <w:outlineLvl w:val="0"/>
        <w:rPr>
          <w:rFonts w:hint="eastAsia" w:ascii="宋体" w:hAnsi="宋体" w:cs="宋体"/>
          <w:bCs/>
          <w:sz w:val="24"/>
          <w:szCs w:val="24"/>
          <w:highlight w:val="none"/>
        </w:rPr>
      </w:pPr>
      <w:bookmarkStart w:id="102" w:name="_Toc19564"/>
      <w:r>
        <w:rPr>
          <w:rFonts w:hint="eastAsia" w:ascii="宋体" w:hAnsi="宋体" w:cs="宋体"/>
          <w:bCs/>
          <w:sz w:val="24"/>
          <w:szCs w:val="24"/>
          <w:highlight w:val="none"/>
        </w:rPr>
        <w:t>1. 供应商对询比采购活动事项有疑问的，可以向采购人提出询问。采购人将在三日内作出答复。</w:t>
      </w:r>
      <w:bookmarkEnd w:id="102"/>
    </w:p>
    <w:p w14:paraId="1EC62B19">
      <w:pPr>
        <w:shd w:val="clear"/>
        <w:spacing w:line="360" w:lineRule="auto"/>
        <w:ind w:firstLine="480" w:firstLineChars="200"/>
        <w:outlineLvl w:val="0"/>
        <w:rPr>
          <w:rFonts w:hint="eastAsia" w:ascii="宋体" w:hAnsi="宋体" w:cs="宋体"/>
          <w:bCs/>
          <w:sz w:val="24"/>
          <w:szCs w:val="24"/>
          <w:highlight w:val="none"/>
        </w:rPr>
      </w:pPr>
      <w:bookmarkStart w:id="103" w:name="_Toc30014"/>
      <w:r>
        <w:rPr>
          <w:rFonts w:hint="eastAsia" w:ascii="宋体" w:hAnsi="宋体" w:cs="宋体"/>
          <w:bCs/>
          <w:sz w:val="24"/>
          <w:szCs w:val="24"/>
          <w:highlight w:val="none"/>
        </w:rPr>
        <w:t>2. 供应商若认为询比文件、采购过程和成交结果使自己的权益受到损害，应当在下列时间内以书面形式向采购人提出：</w:t>
      </w:r>
      <w:bookmarkEnd w:id="103"/>
    </w:p>
    <w:p w14:paraId="33701A10">
      <w:pPr>
        <w:shd w:val="clear"/>
        <w:spacing w:line="360" w:lineRule="auto"/>
        <w:ind w:firstLine="480" w:firstLineChars="200"/>
        <w:outlineLvl w:val="0"/>
        <w:rPr>
          <w:rFonts w:hint="eastAsia" w:ascii="宋体" w:hAnsi="宋体" w:cs="宋体"/>
          <w:bCs/>
          <w:sz w:val="24"/>
          <w:szCs w:val="24"/>
          <w:highlight w:val="none"/>
        </w:rPr>
      </w:pPr>
      <w:bookmarkStart w:id="104" w:name="_Toc122"/>
      <w:r>
        <w:rPr>
          <w:rFonts w:hint="eastAsia" w:ascii="宋体" w:hAnsi="宋体" w:cs="宋体"/>
          <w:bCs/>
          <w:sz w:val="24"/>
          <w:szCs w:val="24"/>
          <w:highlight w:val="none"/>
        </w:rPr>
        <w:t>（1）关于询比文件的异议，应在供应商须知前附表规定的时间前提出；</w:t>
      </w:r>
      <w:bookmarkEnd w:id="104"/>
    </w:p>
    <w:p w14:paraId="6EA4ADF1">
      <w:pPr>
        <w:shd w:val="clear"/>
        <w:spacing w:line="360" w:lineRule="auto"/>
        <w:ind w:firstLine="480" w:firstLineChars="200"/>
        <w:outlineLvl w:val="0"/>
        <w:rPr>
          <w:rFonts w:hint="eastAsia" w:ascii="宋体" w:hAnsi="宋体" w:cs="宋体"/>
          <w:bCs/>
          <w:sz w:val="24"/>
          <w:szCs w:val="24"/>
          <w:highlight w:val="none"/>
        </w:rPr>
      </w:pPr>
      <w:bookmarkStart w:id="105" w:name="_Toc13596"/>
      <w:r>
        <w:rPr>
          <w:rFonts w:hint="eastAsia" w:ascii="宋体" w:hAnsi="宋体" w:cs="宋体"/>
          <w:bCs/>
          <w:sz w:val="24"/>
          <w:szCs w:val="24"/>
          <w:highlight w:val="none"/>
        </w:rPr>
        <w:t>（2）关于采购过程的异议，应在采购程序环节结束之日起三日内提出；</w:t>
      </w:r>
      <w:bookmarkEnd w:id="105"/>
    </w:p>
    <w:p w14:paraId="3EB1DBBE">
      <w:pPr>
        <w:shd w:val="clear"/>
        <w:spacing w:line="360" w:lineRule="auto"/>
        <w:ind w:firstLine="480" w:firstLineChars="200"/>
        <w:outlineLvl w:val="0"/>
        <w:rPr>
          <w:rFonts w:hint="eastAsia" w:ascii="宋体" w:hAnsi="宋体" w:cs="宋体"/>
          <w:bCs/>
          <w:sz w:val="24"/>
          <w:szCs w:val="24"/>
          <w:highlight w:val="none"/>
        </w:rPr>
      </w:pPr>
      <w:bookmarkStart w:id="106" w:name="_Toc7652"/>
      <w:r>
        <w:rPr>
          <w:rFonts w:hint="eastAsia" w:ascii="宋体" w:hAnsi="宋体" w:cs="宋体"/>
          <w:bCs/>
          <w:sz w:val="24"/>
          <w:szCs w:val="24"/>
          <w:highlight w:val="none"/>
        </w:rPr>
        <w:t>（3）关于成交结果的异议，详见供应商须知前附表。</w:t>
      </w:r>
      <w:bookmarkEnd w:id="106"/>
    </w:p>
    <w:p w14:paraId="4847DA85">
      <w:pPr>
        <w:shd w:val="clear"/>
        <w:spacing w:line="360" w:lineRule="auto"/>
        <w:ind w:firstLine="480" w:firstLineChars="200"/>
        <w:outlineLvl w:val="0"/>
        <w:rPr>
          <w:rFonts w:hint="eastAsia" w:ascii="宋体" w:hAnsi="宋体" w:cs="宋体"/>
          <w:bCs/>
          <w:sz w:val="24"/>
          <w:szCs w:val="24"/>
          <w:highlight w:val="none"/>
        </w:rPr>
      </w:pPr>
      <w:bookmarkStart w:id="107" w:name="_Toc29304"/>
      <w:r>
        <w:rPr>
          <w:rFonts w:hint="eastAsia" w:ascii="宋体" w:hAnsi="宋体" w:cs="宋体"/>
          <w:bCs/>
          <w:sz w:val="24"/>
          <w:szCs w:val="24"/>
          <w:highlight w:val="none"/>
        </w:rPr>
        <w:t>2. 异议应当包括下列内容：</w:t>
      </w:r>
      <w:bookmarkEnd w:id="107"/>
    </w:p>
    <w:p w14:paraId="0796F9A2">
      <w:pPr>
        <w:shd w:val="clear"/>
        <w:spacing w:line="360" w:lineRule="auto"/>
        <w:ind w:firstLine="480" w:firstLineChars="200"/>
        <w:outlineLvl w:val="0"/>
        <w:rPr>
          <w:rFonts w:hint="eastAsia" w:ascii="宋体" w:hAnsi="宋体" w:cs="宋体"/>
          <w:bCs/>
          <w:sz w:val="24"/>
          <w:szCs w:val="24"/>
          <w:highlight w:val="none"/>
        </w:rPr>
      </w:pPr>
      <w:bookmarkStart w:id="108" w:name="_Toc7974"/>
      <w:r>
        <w:rPr>
          <w:rFonts w:hint="eastAsia" w:ascii="宋体" w:hAnsi="宋体" w:cs="宋体"/>
          <w:bCs/>
          <w:sz w:val="24"/>
          <w:szCs w:val="24"/>
          <w:highlight w:val="none"/>
        </w:rPr>
        <w:t>（1）异议供应商的名称、地址及有效联系方式；</w:t>
      </w:r>
      <w:bookmarkEnd w:id="108"/>
    </w:p>
    <w:p w14:paraId="45F3831C">
      <w:pPr>
        <w:shd w:val="clear"/>
        <w:spacing w:line="360" w:lineRule="auto"/>
        <w:ind w:firstLine="480" w:firstLineChars="200"/>
        <w:outlineLvl w:val="0"/>
        <w:rPr>
          <w:rFonts w:hint="eastAsia" w:ascii="宋体" w:hAnsi="宋体" w:cs="宋体"/>
          <w:bCs/>
          <w:sz w:val="24"/>
          <w:szCs w:val="24"/>
          <w:highlight w:val="none"/>
        </w:rPr>
      </w:pPr>
      <w:bookmarkStart w:id="109" w:name="_Toc21576"/>
      <w:r>
        <w:rPr>
          <w:rFonts w:hint="eastAsia" w:ascii="宋体" w:hAnsi="宋体" w:cs="宋体"/>
          <w:bCs/>
          <w:sz w:val="24"/>
          <w:szCs w:val="24"/>
          <w:highlight w:val="none"/>
        </w:rPr>
        <w:t>（2）异议事项；</w:t>
      </w:r>
      <w:bookmarkEnd w:id="109"/>
    </w:p>
    <w:p w14:paraId="29F9990C">
      <w:pPr>
        <w:shd w:val="clear"/>
        <w:spacing w:line="360" w:lineRule="auto"/>
        <w:ind w:firstLine="480" w:firstLineChars="200"/>
        <w:outlineLvl w:val="0"/>
        <w:rPr>
          <w:rFonts w:hint="eastAsia" w:ascii="宋体" w:hAnsi="宋体" w:cs="宋体"/>
          <w:bCs/>
          <w:sz w:val="24"/>
          <w:szCs w:val="24"/>
          <w:highlight w:val="none"/>
        </w:rPr>
      </w:pPr>
      <w:bookmarkStart w:id="110" w:name="_Toc5133"/>
      <w:r>
        <w:rPr>
          <w:rFonts w:hint="eastAsia" w:ascii="宋体" w:hAnsi="宋体" w:cs="宋体"/>
          <w:bCs/>
          <w:sz w:val="24"/>
          <w:szCs w:val="24"/>
          <w:highlight w:val="none"/>
        </w:rPr>
        <w:t>（3）事实依据及相关证明材料；</w:t>
      </w:r>
      <w:bookmarkEnd w:id="110"/>
    </w:p>
    <w:p w14:paraId="67712CF6">
      <w:pPr>
        <w:shd w:val="clear"/>
        <w:spacing w:line="360" w:lineRule="auto"/>
        <w:ind w:firstLine="480" w:firstLineChars="200"/>
        <w:outlineLvl w:val="0"/>
        <w:rPr>
          <w:rFonts w:hint="eastAsia" w:ascii="宋体" w:hAnsi="宋体" w:cs="宋体"/>
          <w:bCs/>
          <w:sz w:val="24"/>
          <w:szCs w:val="24"/>
          <w:highlight w:val="none"/>
        </w:rPr>
      </w:pPr>
      <w:bookmarkStart w:id="111" w:name="_Toc17710"/>
      <w:r>
        <w:rPr>
          <w:rFonts w:hint="eastAsia" w:ascii="宋体" w:hAnsi="宋体" w:cs="宋体"/>
          <w:bCs/>
          <w:sz w:val="24"/>
          <w:szCs w:val="24"/>
          <w:highlight w:val="none"/>
        </w:rPr>
        <w:t>（4）相关请求及主张。</w:t>
      </w:r>
      <w:bookmarkEnd w:id="111"/>
    </w:p>
    <w:p w14:paraId="7BD6BDC5">
      <w:pPr>
        <w:shd w:val="clear"/>
        <w:spacing w:line="360" w:lineRule="auto"/>
        <w:ind w:firstLine="480" w:firstLineChars="200"/>
        <w:outlineLvl w:val="0"/>
        <w:rPr>
          <w:rFonts w:hint="eastAsia" w:ascii="宋体" w:hAnsi="宋体" w:cs="宋体"/>
          <w:bCs/>
          <w:sz w:val="24"/>
          <w:szCs w:val="24"/>
          <w:highlight w:val="none"/>
        </w:rPr>
      </w:pPr>
      <w:bookmarkStart w:id="112" w:name="_Toc30379"/>
      <w:r>
        <w:rPr>
          <w:rFonts w:hint="eastAsia" w:ascii="宋体" w:hAnsi="宋体" w:cs="宋体"/>
          <w:bCs/>
          <w:sz w:val="24"/>
          <w:szCs w:val="24"/>
          <w:highlight w:val="none"/>
        </w:rPr>
        <w:t>3. 异议应当由异议供应商法定代表人或授权代表人签字并加盖公章，异议函由授权代表人签字的应附法定代表人授权书。</w:t>
      </w:r>
      <w:bookmarkEnd w:id="112"/>
    </w:p>
    <w:p w14:paraId="783B17B0">
      <w:pPr>
        <w:shd w:val="clear"/>
        <w:spacing w:line="360" w:lineRule="auto"/>
        <w:ind w:firstLine="480" w:firstLineChars="200"/>
        <w:outlineLvl w:val="0"/>
        <w:rPr>
          <w:rFonts w:hint="eastAsia" w:ascii="宋体" w:hAnsi="宋体" w:cs="宋体"/>
          <w:bCs/>
          <w:sz w:val="24"/>
          <w:szCs w:val="24"/>
          <w:highlight w:val="none"/>
        </w:rPr>
      </w:pPr>
      <w:bookmarkStart w:id="113" w:name="_Toc4354"/>
      <w:r>
        <w:rPr>
          <w:rFonts w:hint="eastAsia" w:ascii="宋体" w:hAnsi="宋体" w:cs="宋体"/>
          <w:bCs/>
          <w:sz w:val="24"/>
          <w:szCs w:val="24"/>
          <w:highlight w:val="none"/>
        </w:rPr>
        <w:t>4. 采购人将在签收回执之日起三日内作出书面答复，并以书面形式通知与异议处理结果有关的供应商。</w:t>
      </w:r>
      <w:bookmarkEnd w:id="113"/>
    </w:p>
    <w:p w14:paraId="0E08B526">
      <w:pPr>
        <w:shd w:val="clear"/>
        <w:spacing w:line="360" w:lineRule="auto"/>
        <w:ind w:firstLine="480" w:firstLineChars="200"/>
        <w:outlineLvl w:val="0"/>
        <w:rPr>
          <w:rFonts w:hint="eastAsia" w:ascii="宋体" w:hAnsi="宋体" w:cs="宋体"/>
          <w:highlight w:val="none"/>
        </w:rPr>
      </w:pPr>
      <w:bookmarkStart w:id="114" w:name="_Toc32067"/>
      <w:r>
        <w:rPr>
          <w:rFonts w:hint="eastAsia" w:ascii="宋体" w:hAnsi="宋体" w:cs="宋体"/>
          <w:bCs/>
          <w:sz w:val="24"/>
          <w:szCs w:val="24"/>
          <w:highlight w:val="none"/>
        </w:rPr>
        <w:t>5. 供应商对采购人无正当理由拒绝受理异议的，可书面向采购人采购主管部门或单位（包括采购人内部主管采购的部门、采购人的上级单位或主管采购的其他机构）反映情况；供应商对采购人的答复不满意，或采购人未在规定的期限作出答复的，可在答复期满后十五日内，按相关规章的规定及程序提出投诉。</w:t>
      </w:r>
      <w:bookmarkEnd w:id="114"/>
    </w:p>
    <w:p w14:paraId="7F1A302B">
      <w:pPr>
        <w:shd w:val="clear"/>
        <w:spacing w:line="360" w:lineRule="auto"/>
        <w:ind w:firstLine="482" w:firstLineChars="200"/>
        <w:outlineLvl w:val="0"/>
        <w:rPr>
          <w:rFonts w:hint="eastAsia" w:ascii="宋体" w:hAnsi="宋体" w:cs="宋体"/>
          <w:b/>
          <w:sz w:val="24"/>
          <w:szCs w:val="24"/>
          <w:highlight w:val="none"/>
        </w:rPr>
      </w:pPr>
      <w:bookmarkStart w:id="115" w:name="_Toc28575"/>
      <w:r>
        <w:rPr>
          <w:rFonts w:hint="eastAsia" w:ascii="宋体" w:hAnsi="宋体" w:cs="宋体"/>
          <w:b/>
          <w:sz w:val="24"/>
          <w:szCs w:val="24"/>
          <w:highlight w:val="none"/>
        </w:rPr>
        <w:t>（九）解释权</w:t>
      </w:r>
      <w:bookmarkEnd w:id="115"/>
    </w:p>
    <w:p w14:paraId="2AB6D8C2">
      <w:pPr>
        <w:shd w:val="clear"/>
        <w:spacing w:line="360" w:lineRule="auto"/>
        <w:ind w:firstLine="480" w:firstLineChars="200"/>
        <w:rPr>
          <w:rFonts w:hint="eastAsia" w:ascii="宋体" w:hAnsi="宋体" w:cs="宋体"/>
          <w:bCs/>
          <w:sz w:val="24"/>
          <w:szCs w:val="24"/>
          <w:highlight w:val="none"/>
        </w:rPr>
      </w:pPr>
      <w:r>
        <w:rPr>
          <w:rFonts w:hint="eastAsia" w:ascii="宋体" w:hAnsi="宋体" w:cs="宋体"/>
          <w:bCs/>
          <w:sz w:val="24"/>
          <w:szCs w:val="24"/>
          <w:highlight w:val="none"/>
        </w:rPr>
        <w:t>本询比文件的最终解释权归采购人所有。</w:t>
      </w:r>
    </w:p>
    <w:p w14:paraId="43A65D1F">
      <w:pPr>
        <w:shd w:val="clear"/>
        <w:jc w:val="center"/>
        <w:rPr>
          <w:rFonts w:hint="eastAsia" w:ascii="宋体" w:hAnsi="宋体" w:cs="宋体"/>
          <w:b/>
          <w:sz w:val="48"/>
          <w:szCs w:val="48"/>
          <w:highlight w:val="none"/>
        </w:rPr>
      </w:pPr>
      <w:r>
        <w:rPr>
          <w:rFonts w:hint="eastAsia" w:ascii="宋体" w:hAnsi="宋体" w:cs="宋体"/>
          <w:bCs/>
          <w:sz w:val="24"/>
          <w:szCs w:val="24"/>
          <w:highlight w:val="none"/>
        </w:rPr>
        <w:br w:type="page"/>
      </w:r>
    </w:p>
    <w:p w14:paraId="604F5583">
      <w:pPr>
        <w:pStyle w:val="2"/>
        <w:shd w:val="clear"/>
        <w:spacing w:before="0" w:after="0" w:line="360" w:lineRule="auto"/>
        <w:rPr>
          <w:rFonts w:hint="eastAsia" w:hAnsi="黑体" w:eastAsia="黑体" w:cs="黑体"/>
          <w:b w:val="0"/>
          <w:bCs/>
          <w:sz w:val="52"/>
          <w:szCs w:val="52"/>
          <w:highlight w:val="none"/>
        </w:rPr>
      </w:pPr>
      <w:bookmarkStart w:id="116" w:name="_Toc30813"/>
      <w:r>
        <w:rPr>
          <w:rFonts w:hint="eastAsia" w:hAnsi="黑体" w:eastAsia="黑体" w:cs="黑体"/>
          <w:b w:val="0"/>
          <w:bCs/>
          <w:sz w:val="52"/>
          <w:szCs w:val="52"/>
          <w:highlight w:val="none"/>
        </w:rPr>
        <w:t>第三章 采购合同</w:t>
      </w:r>
      <w:bookmarkEnd w:id="116"/>
    </w:p>
    <w:p w14:paraId="5E9067F7">
      <w:pPr>
        <w:pStyle w:val="2"/>
        <w:shd w:val="clear"/>
        <w:spacing w:before="0" w:after="0" w:line="360" w:lineRule="auto"/>
        <w:rPr>
          <w:rFonts w:hint="eastAsia" w:hAnsi="黑体" w:eastAsia="黑体" w:cs="黑体"/>
          <w:b w:val="0"/>
          <w:bCs/>
          <w:sz w:val="52"/>
          <w:szCs w:val="52"/>
          <w:highlight w:val="none"/>
        </w:rPr>
      </w:pPr>
      <w:r>
        <w:rPr>
          <w:rFonts w:hint="eastAsia" w:ascii="宋体" w:hAnsi="宋体"/>
          <w:kern w:val="2"/>
          <w:sz w:val="28"/>
          <w:szCs w:val="28"/>
          <w:highlight w:val="none"/>
        </w:rPr>
        <w:t>（供参考）</w:t>
      </w:r>
    </w:p>
    <w:p w14:paraId="64F165B7">
      <w:pPr>
        <w:shd w:val="clear"/>
        <w:wordWrap w:val="0"/>
        <w:spacing w:line="440" w:lineRule="exact"/>
        <w:jc w:val="center"/>
        <w:outlineLvl w:val="2"/>
        <w:rPr>
          <w:rFonts w:hint="eastAsia" w:ascii="宋体" w:hAnsi="宋体"/>
          <w:b/>
          <w:sz w:val="28"/>
          <w:szCs w:val="28"/>
          <w:highlight w:val="none"/>
        </w:rPr>
      </w:pPr>
    </w:p>
    <w:p w14:paraId="1BD80868">
      <w:pPr>
        <w:shd w:val="clear"/>
        <w:wordWrap w:val="0"/>
        <w:spacing w:line="440" w:lineRule="exact"/>
        <w:jc w:val="center"/>
        <w:outlineLvl w:val="2"/>
        <w:rPr>
          <w:rFonts w:hint="eastAsia" w:ascii="宋体" w:hAnsi="宋体"/>
          <w:b/>
          <w:sz w:val="28"/>
          <w:szCs w:val="28"/>
          <w:highlight w:val="none"/>
        </w:rPr>
      </w:pPr>
    </w:p>
    <w:p w14:paraId="49C738F9">
      <w:pPr>
        <w:shd w:val="clear"/>
        <w:wordWrap w:val="0"/>
        <w:spacing w:line="440" w:lineRule="exact"/>
        <w:jc w:val="center"/>
        <w:outlineLvl w:val="2"/>
        <w:rPr>
          <w:rFonts w:hint="eastAsia" w:ascii="宋体" w:hAnsi="宋体"/>
          <w:b/>
          <w:sz w:val="28"/>
          <w:szCs w:val="28"/>
          <w:highlight w:val="none"/>
        </w:rPr>
      </w:pPr>
    </w:p>
    <w:p w14:paraId="7AE19553">
      <w:pPr>
        <w:shd w:val="clear"/>
        <w:wordWrap w:val="0"/>
        <w:spacing w:line="440" w:lineRule="exact"/>
        <w:jc w:val="center"/>
        <w:outlineLvl w:val="2"/>
        <w:rPr>
          <w:rFonts w:hint="eastAsia" w:ascii="宋体" w:hAnsi="宋体"/>
          <w:b/>
          <w:sz w:val="28"/>
          <w:szCs w:val="28"/>
          <w:highlight w:val="none"/>
        </w:rPr>
      </w:pPr>
    </w:p>
    <w:p w14:paraId="3B2A8E6F">
      <w:pPr>
        <w:shd w:val="clear"/>
        <w:wordWrap w:val="0"/>
        <w:spacing w:line="440" w:lineRule="exact"/>
        <w:jc w:val="center"/>
        <w:outlineLvl w:val="2"/>
        <w:rPr>
          <w:rFonts w:hint="eastAsia" w:ascii="宋体" w:hAnsi="宋体"/>
          <w:b/>
          <w:sz w:val="28"/>
          <w:szCs w:val="28"/>
          <w:highlight w:val="none"/>
        </w:rPr>
      </w:pPr>
    </w:p>
    <w:p w14:paraId="6AA706C6">
      <w:pPr>
        <w:shd w:val="clear"/>
        <w:wordWrap w:val="0"/>
        <w:spacing w:line="440" w:lineRule="exact"/>
        <w:jc w:val="center"/>
        <w:outlineLvl w:val="2"/>
        <w:rPr>
          <w:rFonts w:hint="eastAsia" w:ascii="宋体" w:hAnsi="宋体"/>
          <w:b/>
          <w:sz w:val="28"/>
          <w:szCs w:val="28"/>
          <w:highlight w:val="none"/>
        </w:rPr>
      </w:pPr>
      <w:r>
        <w:rPr>
          <w:rFonts w:hint="eastAsia" w:ascii="宋体" w:hAnsi="宋体"/>
          <w:b/>
          <w:sz w:val="28"/>
          <w:szCs w:val="28"/>
          <w:highlight w:val="none"/>
        </w:rPr>
        <w:t>第一部分 合同书</w:t>
      </w:r>
    </w:p>
    <w:p w14:paraId="24BBBA97">
      <w:pPr>
        <w:shd w:val="clear"/>
        <w:wordWrap w:val="0"/>
        <w:spacing w:line="440" w:lineRule="exact"/>
        <w:jc w:val="center"/>
        <w:rPr>
          <w:rFonts w:hint="eastAsia" w:ascii="宋体" w:hAnsi="宋体"/>
          <w:b/>
          <w:sz w:val="24"/>
          <w:highlight w:val="none"/>
        </w:rPr>
      </w:pPr>
    </w:p>
    <w:p w14:paraId="50F1F278">
      <w:pPr>
        <w:shd w:val="clear"/>
        <w:wordWrap w:val="0"/>
        <w:spacing w:line="440" w:lineRule="exact"/>
        <w:jc w:val="center"/>
        <w:rPr>
          <w:rFonts w:hint="eastAsia" w:ascii="宋体" w:hAnsi="宋体"/>
          <w:b/>
          <w:sz w:val="24"/>
          <w:highlight w:val="none"/>
        </w:rPr>
      </w:pPr>
    </w:p>
    <w:p w14:paraId="6CEFC799">
      <w:pPr>
        <w:shd w:val="clear"/>
        <w:wordWrap w:val="0"/>
        <w:spacing w:line="440" w:lineRule="exact"/>
        <w:jc w:val="center"/>
        <w:rPr>
          <w:rFonts w:hint="eastAsia" w:ascii="宋体" w:hAnsi="宋体"/>
          <w:b/>
          <w:sz w:val="24"/>
          <w:highlight w:val="none"/>
        </w:rPr>
      </w:pPr>
    </w:p>
    <w:p w14:paraId="45C928E6">
      <w:pPr>
        <w:shd w:val="clear"/>
        <w:wordWrap w:val="0"/>
        <w:spacing w:before="120" w:line="440" w:lineRule="exact"/>
        <w:ind w:left="960"/>
        <w:jc w:val="left"/>
        <w:rPr>
          <w:rFonts w:hint="eastAsia" w:ascii="宋体" w:hAnsi="宋体"/>
          <w:sz w:val="24"/>
          <w:highlight w:val="none"/>
        </w:rPr>
      </w:pPr>
    </w:p>
    <w:p w14:paraId="5132E42F">
      <w:pPr>
        <w:shd w:val="clear"/>
        <w:wordWrap w:val="0"/>
        <w:spacing w:before="120" w:line="440" w:lineRule="exact"/>
        <w:ind w:left="960"/>
        <w:jc w:val="left"/>
        <w:rPr>
          <w:rFonts w:hint="eastAsia" w:ascii="宋体" w:hAnsi="宋体"/>
          <w:sz w:val="24"/>
          <w:highlight w:val="none"/>
        </w:rPr>
      </w:pPr>
    </w:p>
    <w:p w14:paraId="2868B6BE">
      <w:pPr>
        <w:shd w:val="clear"/>
        <w:wordWrap w:val="0"/>
        <w:spacing w:before="120" w:line="440" w:lineRule="exact"/>
        <w:ind w:left="960"/>
        <w:jc w:val="left"/>
        <w:rPr>
          <w:rFonts w:hint="eastAsia" w:ascii="宋体" w:hAnsi="宋体"/>
          <w:sz w:val="24"/>
          <w:highlight w:val="none"/>
        </w:rPr>
      </w:pPr>
    </w:p>
    <w:p w14:paraId="54375E6E">
      <w:pPr>
        <w:shd w:val="clear"/>
        <w:wordWrap w:val="0"/>
        <w:spacing w:before="120" w:line="440" w:lineRule="exact"/>
        <w:ind w:left="960"/>
        <w:jc w:val="left"/>
        <w:rPr>
          <w:rFonts w:hint="eastAsia" w:ascii="宋体" w:hAnsi="宋体"/>
          <w:sz w:val="24"/>
          <w:highlight w:val="none"/>
        </w:rPr>
      </w:pPr>
    </w:p>
    <w:p w14:paraId="6B2E7FC5">
      <w:pPr>
        <w:shd w:val="clear"/>
        <w:wordWrap w:val="0"/>
        <w:spacing w:before="120" w:line="440" w:lineRule="exact"/>
        <w:ind w:left="960"/>
        <w:jc w:val="left"/>
        <w:rPr>
          <w:rFonts w:hint="eastAsia" w:ascii="宋体" w:hAnsi="宋体"/>
          <w:sz w:val="24"/>
          <w:highlight w:val="none"/>
          <w:u w:val="single"/>
        </w:rPr>
      </w:pPr>
      <w:r>
        <w:rPr>
          <w:rFonts w:hint="eastAsia" w:ascii="宋体" w:hAnsi="宋体"/>
          <w:sz w:val="24"/>
          <w:highlight w:val="none"/>
        </w:rPr>
        <w:t>项目名称：</w:t>
      </w:r>
      <w:r>
        <w:rPr>
          <w:rFonts w:hint="eastAsia" w:ascii="宋体" w:hAnsi="宋体"/>
          <w:sz w:val="24"/>
          <w:highlight w:val="none"/>
          <w:u w:val="single"/>
        </w:rPr>
        <w:t>鼎信数智技术集团股份有限公司2026-2028年职工体检服务项目</w:t>
      </w:r>
    </w:p>
    <w:p w14:paraId="71E8924A">
      <w:pPr>
        <w:shd w:val="clear"/>
        <w:wordWrap w:val="0"/>
        <w:spacing w:before="120" w:line="440" w:lineRule="exact"/>
        <w:ind w:left="960"/>
        <w:jc w:val="left"/>
        <w:rPr>
          <w:rFonts w:hint="eastAsia" w:ascii="宋体" w:hAnsi="宋体" w:eastAsia="宋体"/>
          <w:sz w:val="24"/>
          <w:highlight w:val="none"/>
          <w:lang w:eastAsia="zh-CN"/>
        </w:rPr>
      </w:pPr>
      <w:r>
        <w:rPr>
          <w:rFonts w:hint="eastAsia" w:ascii="宋体" w:hAnsi="宋体"/>
          <w:sz w:val="24"/>
          <w:highlight w:val="none"/>
        </w:rPr>
        <w:t>项目编号：</w:t>
      </w:r>
      <w:r>
        <w:rPr>
          <w:rFonts w:hint="eastAsia" w:ascii="宋体" w:hAnsi="宋体"/>
          <w:sz w:val="24"/>
          <w:highlight w:val="none"/>
          <w:u w:val="single"/>
          <w:lang w:eastAsia="zh-CN"/>
        </w:rPr>
        <w:t>DXZB202610001</w:t>
      </w:r>
    </w:p>
    <w:p w14:paraId="0241061D">
      <w:pPr>
        <w:shd w:val="clear"/>
        <w:wordWrap w:val="0"/>
        <w:spacing w:before="120" w:line="440" w:lineRule="exact"/>
        <w:ind w:left="960"/>
        <w:jc w:val="left"/>
        <w:rPr>
          <w:rFonts w:hint="eastAsia" w:ascii="宋体" w:hAnsi="宋体"/>
          <w:sz w:val="24"/>
          <w:highlight w:val="none"/>
          <w:u w:val="single"/>
        </w:rPr>
      </w:pPr>
      <w:r>
        <w:rPr>
          <w:rFonts w:hint="eastAsia" w:ascii="宋体" w:hAnsi="宋体"/>
          <w:sz w:val="24"/>
          <w:highlight w:val="none"/>
        </w:rPr>
        <w:t>甲方（询比人）：</w:t>
      </w:r>
      <w:r>
        <w:rPr>
          <w:rFonts w:hint="eastAsia" w:ascii="宋体" w:hAnsi="宋体"/>
          <w:sz w:val="24"/>
          <w:highlight w:val="none"/>
          <w:u w:val="single"/>
        </w:rPr>
        <w:t xml:space="preserve">鼎信数智技术集团股份有限公司   </w:t>
      </w:r>
    </w:p>
    <w:p w14:paraId="1394494D">
      <w:pPr>
        <w:shd w:val="clear"/>
        <w:wordWrap w:val="0"/>
        <w:spacing w:before="120" w:line="440" w:lineRule="exact"/>
        <w:ind w:left="960"/>
        <w:jc w:val="left"/>
        <w:rPr>
          <w:rFonts w:hint="eastAsia" w:ascii="宋体" w:hAnsi="宋体"/>
          <w:sz w:val="24"/>
          <w:highlight w:val="none"/>
          <w:u w:val="single"/>
        </w:rPr>
      </w:pPr>
      <w:r>
        <w:rPr>
          <w:rFonts w:hint="eastAsia" w:ascii="宋体" w:hAnsi="宋体"/>
          <w:sz w:val="24"/>
          <w:highlight w:val="none"/>
        </w:rPr>
        <w:t>乙方（成交供应商）：</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p>
    <w:p w14:paraId="3ACCBC62">
      <w:pPr>
        <w:shd w:val="clear"/>
        <w:wordWrap w:val="0"/>
        <w:spacing w:before="120" w:line="440" w:lineRule="exact"/>
        <w:ind w:firstLine="960" w:firstLineChars="400"/>
        <w:jc w:val="left"/>
        <w:rPr>
          <w:rFonts w:hint="eastAsia" w:ascii="宋体" w:hAnsi="宋体"/>
          <w:sz w:val="24"/>
          <w:highlight w:val="none"/>
          <w:u w:val="single"/>
        </w:rPr>
      </w:pPr>
      <w:r>
        <w:rPr>
          <w:rFonts w:hint="eastAsia" w:ascii="宋体" w:hAnsi="宋体"/>
          <w:sz w:val="24"/>
          <w:highlight w:val="none"/>
        </w:rPr>
        <w:t>签订地：</w:t>
      </w:r>
      <w:r>
        <w:rPr>
          <w:rFonts w:hint="eastAsia" w:ascii="宋体" w:hAnsi="宋体"/>
          <w:sz w:val="24"/>
          <w:highlight w:val="none"/>
          <w:u w:val="single"/>
        </w:rPr>
        <w:t xml:space="preserve">                                       </w:t>
      </w:r>
    </w:p>
    <w:p w14:paraId="5B63C8ED">
      <w:pPr>
        <w:shd w:val="clear"/>
        <w:wordWrap w:val="0"/>
        <w:spacing w:before="120" w:line="440" w:lineRule="exact"/>
        <w:ind w:firstLine="960" w:firstLineChars="400"/>
        <w:jc w:val="left"/>
        <w:rPr>
          <w:rFonts w:hint="eastAsia" w:ascii="宋体" w:hAnsi="宋体"/>
          <w:sz w:val="24"/>
          <w:highlight w:val="none"/>
        </w:rPr>
      </w:pPr>
      <w:r>
        <w:rPr>
          <w:rFonts w:hint="eastAsia" w:ascii="宋体" w:hAnsi="宋体"/>
          <w:sz w:val="24"/>
          <w:highlight w:val="none"/>
        </w:rPr>
        <w:t>签订日期：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1E201753">
      <w:pPr>
        <w:widowControl/>
        <w:shd w:val="clear"/>
        <w:wordWrap w:val="0"/>
        <w:spacing w:line="440" w:lineRule="exact"/>
        <w:jc w:val="left"/>
        <w:rPr>
          <w:rFonts w:hint="eastAsia" w:ascii="宋体" w:hAnsi="宋体"/>
          <w:sz w:val="24"/>
          <w:highlight w:val="none"/>
        </w:rPr>
      </w:pPr>
      <w:r>
        <w:rPr>
          <w:rFonts w:ascii="宋体" w:hAnsi="宋体"/>
          <w:sz w:val="24"/>
          <w:highlight w:val="none"/>
        </w:rPr>
        <w:br w:type="page"/>
      </w:r>
    </w:p>
    <w:p w14:paraId="502B7BDB">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u w:val="single"/>
        </w:rPr>
        <w:t>鼎信数智技术集团股份有限公司</w:t>
      </w:r>
      <w:r>
        <w:rPr>
          <w:rFonts w:hint="eastAsia" w:ascii="宋体" w:hAnsi="宋体"/>
          <w:sz w:val="24"/>
          <w:highlight w:val="none"/>
        </w:rPr>
        <w:t>（</w:t>
      </w:r>
      <w:r>
        <w:rPr>
          <w:rFonts w:hint="eastAsia" w:ascii="宋体" w:hAnsi="宋体"/>
          <w:sz w:val="24"/>
          <w:highlight w:val="none"/>
          <w:lang w:val="zh-CN"/>
        </w:rPr>
        <w:t>以下简称：甲方</w:t>
      </w:r>
      <w:r>
        <w:rPr>
          <w:rFonts w:hint="eastAsia" w:ascii="宋体" w:hAnsi="宋体"/>
          <w:sz w:val="24"/>
          <w:highlight w:val="none"/>
        </w:rPr>
        <w:t>）组织的</w:t>
      </w:r>
      <w:r>
        <w:rPr>
          <w:rFonts w:hint="eastAsia" w:ascii="宋体" w:hAnsi="宋体"/>
          <w:sz w:val="24"/>
          <w:highlight w:val="none"/>
          <w:u w:val="single"/>
        </w:rPr>
        <w:t>询比</w:t>
      </w:r>
      <w:r>
        <w:rPr>
          <w:rFonts w:hint="eastAsia" w:ascii="宋体" w:hAnsi="宋体"/>
          <w:sz w:val="24"/>
          <w:highlight w:val="none"/>
        </w:rPr>
        <w:t>方式采购活动，经</w:t>
      </w:r>
      <w:r>
        <w:rPr>
          <w:rFonts w:hint="eastAsia" w:ascii="宋体" w:hAnsi="宋体"/>
          <w:sz w:val="24"/>
          <w:highlight w:val="none"/>
          <w:u w:val="single"/>
        </w:rPr>
        <w:t>询比小组</w:t>
      </w:r>
      <w:r>
        <w:rPr>
          <w:rFonts w:hint="eastAsia" w:ascii="宋体" w:hAnsi="宋体"/>
          <w:sz w:val="24"/>
          <w:highlight w:val="none"/>
        </w:rPr>
        <w:t>评定，</w:t>
      </w:r>
      <w:r>
        <w:rPr>
          <w:rFonts w:hint="eastAsia" w:ascii="宋体" w:hAnsi="宋体"/>
          <w:i/>
          <w:iCs/>
          <w:sz w:val="24"/>
          <w:highlight w:val="none"/>
          <w:u w:val="single"/>
        </w:rPr>
        <w:t>（成交供应商名称）</w:t>
      </w:r>
      <w:r>
        <w:rPr>
          <w:rFonts w:hint="eastAsia" w:ascii="宋体" w:hAnsi="宋体"/>
          <w:sz w:val="24"/>
          <w:highlight w:val="none"/>
        </w:rPr>
        <w:t>（</w:t>
      </w:r>
      <w:r>
        <w:rPr>
          <w:rFonts w:hint="eastAsia" w:ascii="宋体" w:hAnsi="宋体"/>
          <w:sz w:val="24"/>
          <w:highlight w:val="none"/>
          <w:lang w:val="zh-CN"/>
        </w:rPr>
        <w:t>以下简称：乙方</w:t>
      </w:r>
      <w:r>
        <w:rPr>
          <w:rFonts w:hint="eastAsia" w:ascii="宋体" w:hAnsi="宋体"/>
          <w:sz w:val="24"/>
          <w:highlight w:val="none"/>
        </w:rPr>
        <w:t>）为本项目成交供应商，现按照询比文件确定的事项签订本合同。</w:t>
      </w:r>
    </w:p>
    <w:p w14:paraId="2F3B5CF2">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rPr>
        <w:t>根据《中华人民共和国民法典》等相关法律法规之规定，按照平等、自愿、公平和诚实信用的原则，经甲方和乙方协商一致，约定以下合同条款，以兹共同遵守、全面履行。</w:t>
      </w:r>
    </w:p>
    <w:p w14:paraId="13698855">
      <w:pPr>
        <w:shd w:val="clear"/>
        <w:wordWrap w:val="0"/>
        <w:spacing w:line="440" w:lineRule="exact"/>
        <w:ind w:firstLine="437"/>
        <w:jc w:val="left"/>
        <w:outlineLvl w:val="3"/>
        <w:rPr>
          <w:rFonts w:hint="eastAsia" w:ascii="宋体" w:hAnsi="宋体"/>
          <w:b/>
          <w:bCs/>
          <w:sz w:val="24"/>
          <w:highlight w:val="none"/>
          <w:lang w:val="zh-CN"/>
        </w:rPr>
      </w:pPr>
      <w:bookmarkStart w:id="117" w:name="_Toc24059"/>
      <w:bookmarkStart w:id="118" w:name="_Toc2232"/>
      <w:bookmarkStart w:id="119" w:name="_Toc3029"/>
      <w:r>
        <w:rPr>
          <w:rFonts w:hint="eastAsia" w:ascii="宋体" w:hAnsi="宋体"/>
          <w:b/>
          <w:bCs/>
          <w:sz w:val="24"/>
          <w:highlight w:val="none"/>
          <w:lang w:val="zh-CN"/>
        </w:rPr>
        <w:t>1.1</w:t>
      </w:r>
      <w:r>
        <w:rPr>
          <w:rFonts w:ascii="宋体" w:hAnsi="宋体"/>
          <w:b/>
          <w:bCs/>
          <w:sz w:val="24"/>
          <w:highlight w:val="none"/>
          <w:lang w:val="zh-CN"/>
        </w:rPr>
        <w:t xml:space="preserve"> </w:t>
      </w:r>
      <w:r>
        <w:rPr>
          <w:rFonts w:hint="eastAsia" w:ascii="宋体" w:hAnsi="宋体"/>
          <w:b/>
          <w:bCs/>
          <w:sz w:val="24"/>
          <w:highlight w:val="none"/>
          <w:lang w:val="zh-CN"/>
        </w:rPr>
        <w:t>合同组成部分</w:t>
      </w:r>
      <w:bookmarkEnd w:id="117"/>
      <w:bookmarkEnd w:id="118"/>
      <w:bookmarkEnd w:id="119"/>
    </w:p>
    <w:p w14:paraId="529FE53E">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下列文件为本合同的组成部分，并构成一个整体，需综合解释、相互补充。如果下列文件内容出现不一致的情形，那么在保证按照询比文件确定的事项前提下，组成本合同的多个文件的优先适用顺序如下：</w:t>
      </w:r>
    </w:p>
    <w:p w14:paraId="5B2A567C">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1.1.1本合同及其补充合同、变更协议；</w:t>
      </w:r>
    </w:p>
    <w:p w14:paraId="0244C085">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1.1.2成交通知书；</w:t>
      </w:r>
    </w:p>
    <w:p w14:paraId="229A7041">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1.1.3参选文件（含澄清或者说明文件）；</w:t>
      </w:r>
    </w:p>
    <w:p w14:paraId="19D14177">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1.1.4询比文件（含澄清或者修改文件）；</w:t>
      </w:r>
    </w:p>
    <w:p w14:paraId="0BC9202A">
      <w:pPr>
        <w:shd w:val="clear"/>
        <w:wordWrap w:val="0"/>
        <w:spacing w:line="440" w:lineRule="exact"/>
        <w:ind w:firstLine="435"/>
        <w:jc w:val="left"/>
        <w:rPr>
          <w:rFonts w:hint="eastAsia" w:ascii="宋体" w:hAnsi="宋体"/>
          <w:sz w:val="24"/>
          <w:highlight w:val="none"/>
          <w:lang w:val="zh-CN"/>
        </w:rPr>
      </w:pPr>
      <w:r>
        <w:rPr>
          <w:rFonts w:hint="eastAsia" w:ascii="宋体" w:hAnsi="宋体"/>
          <w:sz w:val="24"/>
          <w:highlight w:val="none"/>
          <w:lang w:val="zh-CN"/>
        </w:rPr>
        <w:t>1.1.5其他相关询比文件。</w:t>
      </w:r>
    </w:p>
    <w:p w14:paraId="3DE3ABFF">
      <w:pPr>
        <w:shd w:val="clear"/>
        <w:wordWrap w:val="0"/>
        <w:spacing w:line="440" w:lineRule="exact"/>
        <w:ind w:firstLine="437"/>
        <w:jc w:val="left"/>
        <w:outlineLvl w:val="3"/>
        <w:rPr>
          <w:rFonts w:hint="eastAsia" w:ascii="宋体" w:hAnsi="宋体"/>
          <w:b/>
          <w:bCs/>
          <w:sz w:val="24"/>
          <w:highlight w:val="none"/>
          <w:lang w:val="zh-CN"/>
        </w:rPr>
      </w:pPr>
      <w:bookmarkStart w:id="120" w:name="_Toc2918"/>
      <w:bookmarkStart w:id="121" w:name="_Toc6311"/>
      <w:bookmarkStart w:id="122" w:name="_Toc6773"/>
      <w:bookmarkStart w:id="123" w:name="_Toc22185"/>
      <w:bookmarkStart w:id="124" w:name="_Toc18585"/>
      <w:r>
        <w:rPr>
          <w:rFonts w:hint="eastAsia" w:ascii="宋体" w:hAnsi="宋体"/>
          <w:b/>
          <w:bCs/>
          <w:sz w:val="24"/>
          <w:highlight w:val="none"/>
          <w:lang w:val="zh-CN"/>
        </w:rPr>
        <w:t xml:space="preserve">1.2 </w:t>
      </w:r>
      <w:bookmarkEnd w:id="120"/>
      <w:bookmarkEnd w:id="121"/>
      <w:bookmarkEnd w:id="122"/>
      <w:bookmarkEnd w:id="123"/>
      <w:bookmarkEnd w:id="124"/>
      <w:r>
        <w:rPr>
          <w:rFonts w:hint="eastAsia" w:ascii="宋体" w:hAnsi="宋体"/>
          <w:b/>
          <w:bCs/>
          <w:sz w:val="24"/>
          <w:highlight w:val="none"/>
          <w:lang w:val="zh-CN"/>
        </w:rPr>
        <w:t>服务</w:t>
      </w:r>
    </w:p>
    <w:p w14:paraId="624A2D14">
      <w:pPr>
        <w:shd w:val="clear"/>
        <w:wordWrap w:val="0"/>
        <w:spacing w:line="440" w:lineRule="exact"/>
        <w:ind w:firstLine="435"/>
        <w:jc w:val="left"/>
        <w:rPr>
          <w:rFonts w:hint="eastAsia" w:ascii="宋体" w:hAnsi="宋体"/>
          <w:sz w:val="24"/>
          <w:highlight w:val="none"/>
          <w:u w:val="single"/>
        </w:rPr>
      </w:pPr>
      <w:r>
        <w:rPr>
          <w:rFonts w:hint="eastAsia" w:ascii="宋体" w:hAnsi="宋体"/>
          <w:sz w:val="24"/>
          <w:highlight w:val="none"/>
        </w:rPr>
        <w:t>1.2.1服务</w:t>
      </w:r>
      <w:r>
        <w:rPr>
          <w:rFonts w:ascii="宋体" w:hAnsi="宋体"/>
          <w:sz w:val="24"/>
          <w:highlight w:val="none"/>
        </w:rPr>
        <w:t>名称：</w:t>
      </w:r>
      <w:r>
        <w:rPr>
          <w:rFonts w:hint="eastAsia" w:ascii="宋体" w:hAnsi="宋体"/>
          <w:sz w:val="24"/>
          <w:highlight w:val="none"/>
          <w:u w:val="single"/>
        </w:rPr>
        <w:t xml:space="preserve"> 鼎信数智技术集团股份有限公司2026-2028年职工体检服务项目 </w:t>
      </w:r>
      <w:r>
        <w:rPr>
          <w:rFonts w:hint="eastAsia" w:ascii="宋体" w:hAnsi="宋体"/>
          <w:sz w:val="24"/>
          <w:highlight w:val="none"/>
        </w:rPr>
        <w:t>；</w:t>
      </w:r>
    </w:p>
    <w:p w14:paraId="52B03121">
      <w:pPr>
        <w:shd w:val="clear"/>
        <w:wordWrap w:val="0"/>
        <w:spacing w:line="440" w:lineRule="exact"/>
        <w:ind w:firstLine="435"/>
        <w:jc w:val="left"/>
        <w:rPr>
          <w:rFonts w:hint="eastAsia" w:ascii="宋体" w:hAnsi="宋体"/>
          <w:sz w:val="24"/>
          <w:highlight w:val="none"/>
          <w:u w:val="single"/>
        </w:rPr>
      </w:pPr>
      <w:r>
        <w:rPr>
          <w:rFonts w:hint="eastAsia" w:ascii="宋体" w:hAnsi="宋体"/>
          <w:sz w:val="24"/>
          <w:highlight w:val="none"/>
        </w:rPr>
        <w:t>1.2.2服务内容</w:t>
      </w:r>
      <w:r>
        <w:rPr>
          <w:rFonts w:ascii="宋体" w:hAnsi="宋体"/>
          <w:sz w:val="24"/>
          <w:highlight w:val="none"/>
        </w:rPr>
        <w:t>：</w:t>
      </w:r>
      <w:r>
        <w:rPr>
          <w:rFonts w:hint="eastAsia" w:ascii="宋体" w:hAnsi="宋体"/>
          <w:sz w:val="24"/>
          <w:highlight w:val="none"/>
          <w:u w:val="single"/>
        </w:rPr>
        <w:t xml:space="preserve">                                 </w:t>
      </w:r>
      <w:r>
        <w:rPr>
          <w:rFonts w:hint="eastAsia" w:ascii="宋体" w:hAnsi="宋体"/>
          <w:sz w:val="24"/>
          <w:highlight w:val="none"/>
        </w:rPr>
        <w:t>；</w:t>
      </w:r>
    </w:p>
    <w:p w14:paraId="4C59A929">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1.2.3服务质量：</w:t>
      </w:r>
      <w:r>
        <w:rPr>
          <w:rFonts w:hint="eastAsia" w:ascii="宋体" w:hAnsi="宋体"/>
          <w:sz w:val="24"/>
          <w:highlight w:val="none"/>
          <w:u w:val="single"/>
        </w:rPr>
        <w:t xml:space="preserve"> 满足采购文件要求和参选文件承诺 </w:t>
      </w:r>
      <w:r>
        <w:rPr>
          <w:rFonts w:hint="eastAsia" w:ascii="宋体" w:hAnsi="宋体"/>
          <w:sz w:val="24"/>
          <w:highlight w:val="none"/>
        </w:rPr>
        <w:t>。</w:t>
      </w:r>
    </w:p>
    <w:p w14:paraId="26BB727F">
      <w:pPr>
        <w:shd w:val="clear"/>
        <w:wordWrap w:val="0"/>
        <w:spacing w:line="440" w:lineRule="exact"/>
        <w:ind w:firstLine="437"/>
        <w:jc w:val="left"/>
        <w:outlineLvl w:val="3"/>
        <w:rPr>
          <w:rFonts w:hint="eastAsia" w:ascii="宋体" w:hAnsi="宋体"/>
          <w:b/>
          <w:bCs/>
          <w:sz w:val="24"/>
          <w:highlight w:val="none"/>
          <w:lang w:val="en-US"/>
        </w:rPr>
      </w:pPr>
      <w:bookmarkStart w:id="125" w:name="_Toc23292"/>
      <w:bookmarkStart w:id="126" w:name="_Toc21551"/>
      <w:bookmarkStart w:id="127" w:name="_Toc21631"/>
      <w:r>
        <w:rPr>
          <w:rFonts w:hint="eastAsia" w:ascii="宋体" w:hAnsi="宋体"/>
          <w:b/>
          <w:bCs/>
          <w:sz w:val="24"/>
          <w:highlight w:val="none"/>
          <w:lang w:val="en-US"/>
        </w:rPr>
        <w:t xml:space="preserve">1.3 </w:t>
      </w:r>
      <w:r>
        <w:rPr>
          <w:rFonts w:hint="eastAsia" w:ascii="宋体" w:hAnsi="宋体"/>
          <w:b/>
          <w:bCs/>
          <w:sz w:val="24"/>
          <w:highlight w:val="none"/>
          <w:lang w:val="zh-CN"/>
        </w:rPr>
        <w:t>价款</w:t>
      </w:r>
      <w:bookmarkEnd w:id="125"/>
      <w:bookmarkEnd w:id="126"/>
      <w:bookmarkEnd w:id="127"/>
    </w:p>
    <w:p w14:paraId="00243B7F">
      <w:pPr>
        <w:shd w:val="clear"/>
        <w:wordWrap w:val="0"/>
        <w:spacing w:line="440" w:lineRule="exact"/>
        <w:ind w:firstLine="437"/>
        <w:jc w:val="left"/>
        <w:outlineLvl w:val="3"/>
        <w:rPr>
          <w:rFonts w:hint="eastAsia" w:ascii="宋体" w:hAnsi="宋体"/>
          <w:sz w:val="24"/>
          <w:highlight w:val="none"/>
        </w:rPr>
      </w:pPr>
      <w:r>
        <w:rPr>
          <w:rFonts w:ascii="宋体" w:hAnsi="宋体"/>
          <w:sz w:val="24"/>
          <w:highlight w:val="none"/>
        </w:rPr>
        <w:t>本合同</w:t>
      </w:r>
      <w:bookmarkStart w:id="128" w:name="_Toc22618"/>
      <w:bookmarkStart w:id="129" w:name="_Toc10340"/>
      <w:bookmarkStart w:id="130" w:name="_Toc1814"/>
      <w:r>
        <w:rPr>
          <w:rFonts w:hint="eastAsia" w:ascii="宋体" w:hAnsi="宋体"/>
          <w:sz w:val="24"/>
          <w:highlight w:val="none"/>
        </w:rPr>
        <w:t>价款</w:t>
      </w:r>
      <w:r>
        <w:rPr>
          <w:rFonts w:hint="eastAsia"/>
          <w:highlight w:val="none"/>
        </w:rPr>
        <w:t>：</w:t>
      </w:r>
      <w:r>
        <w:rPr>
          <w:rFonts w:hint="eastAsia" w:ascii="宋体" w:hAnsi="宋体"/>
          <w:sz w:val="24"/>
          <w:highlight w:val="none"/>
          <w:u w:val="single"/>
        </w:rPr>
        <w:t xml:space="preserve">         </w:t>
      </w:r>
      <w:r>
        <w:rPr>
          <w:rFonts w:hint="eastAsia" w:ascii="宋体" w:hAnsi="宋体"/>
          <w:sz w:val="24"/>
          <w:highlight w:val="none"/>
        </w:rPr>
        <w:t>万元。</w:t>
      </w:r>
    </w:p>
    <w:p w14:paraId="090B23F3">
      <w:pPr>
        <w:shd w:val="clear"/>
        <w:wordWrap w:val="0"/>
        <w:spacing w:line="440" w:lineRule="exact"/>
        <w:ind w:firstLine="437"/>
        <w:jc w:val="left"/>
        <w:outlineLvl w:val="3"/>
        <w:rPr>
          <w:rFonts w:hint="eastAsia" w:ascii="宋体" w:hAnsi="宋体"/>
          <w:b/>
          <w:bCs/>
          <w:sz w:val="24"/>
          <w:highlight w:val="none"/>
          <w:lang w:val="zh-CN"/>
        </w:rPr>
      </w:pPr>
      <w:r>
        <w:rPr>
          <w:rFonts w:hint="eastAsia" w:ascii="宋体" w:hAnsi="宋体"/>
          <w:b/>
          <w:bCs/>
          <w:sz w:val="24"/>
          <w:highlight w:val="none"/>
          <w:lang w:val="zh-CN"/>
        </w:rPr>
        <w:t>1.</w:t>
      </w:r>
      <w:r>
        <w:rPr>
          <w:rFonts w:ascii="宋体" w:hAnsi="宋体"/>
          <w:b/>
          <w:bCs/>
          <w:sz w:val="24"/>
          <w:highlight w:val="none"/>
          <w:lang w:val="zh-CN"/>
        </w:rPr>
        <w:t>4 付款方式和发票开具方式</w:t>
      </w:r>
      <w:bookmarkEnd w:id="128"/>
      <w:bookmarkEnd w:id="129"/>
      <w:bookmarkEnd w:id="130"/>
    </w:p>
    <w:p w14:paraId="0B6EC639">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1.4.1</w:t>
      </w:r>
      <w:r>
        <w:rPr>
          <w:rFonts w:ascii="宋体" w:hAnsi="宋体"/>
          <w:sz w:val="24"/>
          <w:highlight w:val="none"/>
        </w:rPr>
        <w:t>付款方式：</w:t>
      </w:r>
      <w:r>
        <w:rPr>
          <w:rFonts w:hint="eastAsia" w:ascii="宋体" w:hAnsi="宋体"/>
          <w:sz w:val="24"/>
          <w:highlight w:val="none"/>
          <w:u w:val="single"/>
        </w:rPr>
        <w:t xml:space="preserve">                                  </w:t>
      </w:r>
      <w:r>
        <w:rPr>
          <w:rFonts w:hint="eastAsia" w:ascii="宋体" w:hAnsi="宋体"/>
          <w:sz w:val="24"/>
          <w:highlight w:val="none"/>
        </w:rPr>
        <w:t>；</w:t>
      </w:r>
    </w:p>
    <w:p w14:paraId="33B72941">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1.4.2发票开具方式：</w:t>
      </w:r>
      <w:r>
        <w:rPr>
          <w:rFonts w:hint="eastAsia" w:ascii="宋体" w:hAnsi="宋体"/>
          <w:sz w:val="24"/>
          <w:highlight w:val="none"/>
          <w:u w:val="single"/>
        </w:rPr>
        <w:t xml:space="preserve"> 增值税普通发票 </w:t>
      </w:r>
      <w:r>
        <w:rPr>
          <w:rFonts w:hint="eastAsia" w:ascii="宋体" w:hAnsi="宋体"/>
          <w:sz w:val="24"/>
          <w:highlight w:val="none"/>
        </w:rPr>
        <w:t>。</w:t>
      </w:r>
    </w:p>
    <w:p w14:paraId="14B661CF">
      <w:pPr>
        <w:shd w:val="clear"/>
        <w:wordWrap w:val="0"/>
        <w:spacing w:line="440" w:lineRule="exact"/>
        <w:ind w:firstLine="437"/>
        <w:jc w:val="left"/>
        <w:outlineLvl w:val="3"/>
        <w:rPr>
          <w:rFonts w:hint="eastAsia" w:ascii="宋体" w:hAnsi="宋体"/>
          <w:b/>
          <w:bCs/>
          <w:sz w:val="24"/>
          <w:highlight w:val="none"/>
          <w:lang w:val="zh-CN"/>
        </w:rPr>
      </w:pPr>
      <w:bookmarkStart w:id="131" w:name="_Toc32071"/>
      <w:bookmarkStart w:id="132" w:name="_Toc19304"/>
      <w:bookmarkStart w:id="133" w:name="_Toc2846"/>
      <w:r>
        <w:rPr>
          <w:rFonts w:hint="eastAsia" w:ascii="宋体" w:hAnsi="宋体"/>
          <w:b/>
          <w:bCs/>
          <w:sz w:val="24"/>
          <w:highlight w:val="none"/>
          <w:lang w:val="zh-CN"/>
        </w:rPr>
        <w:t>1.</w:t>
      </w:r>
      <w:r>
        <w:rPr>
          <w:rFonts w:ascii="宋体" w:hAnsi="宋体"/>
          <w:b/>
          <w:bCs/>
          <w:sz w:val="24"/>
          <w:highlight w:val="none"/>
          <w:lang w:val="zh-CN"/>
        </w:rPr>
        <w:t xml:space="preserve">5 </w:t>
      </w:r>
      <w:r>
        <w:rPr>
          <w:rFonts w:hint="eastAsia" w:ascii="宋体" w:hAnsi="宋体"/>
          <w:b/>
          <w:bCs/>
          <w:sz w:val="24"/>
          <w:highlight w:val="none"/>
          <w:lang w:val="zh-CN"/>
        </w:rPr>
        <w:t>服务</w:t>
      </w:r>
      <w:r>
        <w:rPr>
          <w:rFonts w:ascii="宋体" w:hAnsi="宋体"/>
          <w:b/>
          <w:bCs/>
          <w:sz w:val="24"/>
          <w:highlight w:val="none"/>
          <w:lang w:val="zh-CN"/>
        </w:rPr>
        <w:t>期限</w:t>
      </w:r>
      <w:r>
        <w:rPr>
          <w:rFonts w:hint="eastAsia" w:ascii="宋体" w:hAnsi="宋体"/>
          <w:b/>
          <w:bCs/>
          <w:sz w:val="24"/>
          <w:highlight w:val="none"/>
          <w:lang w:val="zh-CN"/>
        </w:rPr>
        <w:t>、地点和方式</w:t>
      </w:r>
      <w:bookmarkEnd w:id="131"/>
      <w:bookmarkEnd w:id="132"/>
      <w:bookmarkEnd w:id="133"/>
    </w:p>
    <w:p w14:paraId="33D301D0">
      <w:pPr>
        <w:shd w:val="clear"/>
        <w:wordWrap w:val="0"/>
        <w:spacing w:line="440" w:lineRule="exact"/>
        <w:ind w:firstLine="435"/>
        <w:jc w:val="left"/>
        <w:rPr>
          <w:rFonts w:hint="eastAsia" w:ascii="宋体" w:hAnsi="宋体"/>
          <w:sz w:val="24"/>
          <w:highlight w:val="none"/>
          <w:u w:val="single"/>
        </w:rPr>
      </w:pPr>
      <w:r>
        <w:rPr>
          <w:rFonts w:hint="eastAsia" w:ascii="宋体" w:hAnsi="宋体"/>
          <w:sz w:val="24"/>
          <w:highlight w:val="none"/>
        </w:rPr>
        <w:t>1.5.1服务期限</w:t>
      </w:r>
      <w:r>
        <w:rPr>
          <w:rFonts w:ascii="宋体" w:hAnsi="宋体"/>
          <w:sz w:val="24"/>
          <w:highlight w:val="none"/>
        </w:rPr>
        <w:t>：</w:t>
      </w:r>
      <w:r>
        <w:rPr>
          <w:rFonts w:hint="eastAsia" w:ascii="宋体" w:hAnsi="宋体"/>
          <w:sz w:val="24"/>
          <w:highlight w:val="none"/>
          <w:u w:val="single"/>
        </w:rPr>
        <w:t xml:space="preserve">                                  </w:t>
      </w:r>
      <w:r>
        <w:rPr>
          <w:rFonts w:hint="eastAsia" w:ascii="宋体" w:hAnsi="宋体"/>
          <w:sz w:val="24"/>
          <w:highlight w:val="none"/>
        </w:rPr>
        <w:t>；</w:t>
      </w:r>
    </w:p>
    <w:p w14:paraId="40F96A92">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1.5.2服务地点</w:t>
      </w:r>
      <w:r>
        <w:rPr>
          <w:rFonts w:ascii="宋体" w:hAnsi="宋体"/>
          <w:sz w:val="24"/>
          <w:highlight w:val="none"/>
        </w:rPr>
        <w:t>：</w:t>
      </w:r>
      <w:r>
        <w:rPr>
          <w:rFonts w:hint="eastAsia" w:ascii="宋体" w:hAnsi="宋体"/>
          <w:sz w:val="24"/>
          <w:highlight w:val="none"/>
          <w:u w:val="single"/>
        </w:rPr>
        <w:t xml:space="preserve"> 采购人指定地点  </w:t>
      </w:r>
      <w:r>
        <w:rPr>
          <w:rFonts w:hint="eastAsia" w:ascii="宋体" w:hAnsi="宋体"/>
          <w:sz w:val="24"/>
          <w:highlight w:val="none"/>
        </w:rPr>
        <w:t>；</w:t>
      </w:r>
    </w:p>
    <w:p w14:paraId="3B7A2CFE">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1.5.3服务方式：</w:t>
      </w:r>
      <w:r>
        <w:rPr>
          <w:rFonts w:hint="eastAsia" w:ascii="宋体" w:hAnsi="宋体"/>
          <w:sz w:val="24"/>
          <w:highlight w:val="none"/>
          <w:u w:val="single"/>
        </w:rPr>
        <w:t xml:space="preserve"> 项目服务 </w:t>
      </w:r>
      <w:r>
        <w:rPr>
          <w:rFonts w:hint="eastAsia" w:ascii="宋体" w:hAnsi="宋体"/>
          <w:sz w:val="24"/>
          <w:highlight w:val="none"/>
        </w:rPr>
        <w:t>。</w:t>
      </w:r>
    </w:p>
    <w:p w14:paraId="591CF0D3">
      <w:pPr>
        <w:shd w:val="clear"/>
        <w:wordWrap w:val="0"/>
        <w:spacing w:line="440" w:lineRule="exact"/>
        <w:ind w:firstLine="437"/>
        <w:jc w:val="left"/>
        <w:outlineLvl w:val="3"/>
        <w:rPr>
          <w:rFonts w:hint="eastAsia" w:ascii="宋体" w:hAnsi="宋体"/>
          <w:b/>
          <w:bCs/>
          <w:sz w:val="24"/>
          <w:highlight w:val="none"/>
          <w:lang w:val="zh-CN"/>
        </w:rPr>
      </w:pPr>
      <w:bookmarkStart w:id="134" w:name="_Toc27250"/>
      <w:bookmarkStart w:id="135" w:name="_Toc19554"/>
      <w:bookmarkStart w:id="136" w:name="_Toc21423"/>
      <w:r>
        <w:rPr>
          <w:rFonts w:hint="eastAsia" w:ascii="宋体" w:hAnsi="宋体"/>
          <w:b/>
          <w:bCs/>
          <w:sz w:val="24"/>
          <w:highlight w:val="none"/>
          <w:lang w:val="zh-CN"/>
        </w:rPr>
        <w:t>1.6 违约责任</w:t>
      </w:r>
      <w:bookmarkEnd w:id="134"/>
      <w:bookmarkEnd w:id="135"/>
      <w:bookmarkEnd w:id="136"/>
    </w:p>
    <w:p w14:paraId="464FC5B7">
      <w:pPr>
        <w:shd w:val="clear"/>
        <w:wordWrap w:val="0"/>
        <w:spacing w:line="440" w:lineRule="exact"/>
        <w:ind w:firstLine="435"/>
        <w:jc w:val="left"/>
        <w:rPr>
          <w:rFonts w:hint="eastAsia" w:ascii="宋体" w:hAnsi="宋体"/>
          <w:sz w:val="24"/>
          <w:highlight w:val="none"/>
        </w:rPr>
      </w:pPr>
      <w:bookmarkStart w:id="137" w:name="_Toc15583"/>
      <w:bookmarkStart w:id="138" w:name="_Toc28375"/>
      <w:bookmarkStart w:id="139" w:name="_Toc16021"/>
      <w:r>
        <w:rPr>
          <w:rFonts w:hint="eastAsia" w:ascii="宋体" w:hAnsi="宋体"/>
          <w:sz w:val="24"/>
          <w:highlight w:val="none"/>
        </w:rPr>
        <w:t>1.6.1</w:t>
      </w:r>
      <w:r>
        <w:rPr>
          <w:rFonts w:ascii="宋体" w:hAnsi="宋体"/>
          <w:sz w:val="24"/>
          <w:highlight w:val="none"/>
        </w:rPr>
        <w:t>除不可抗力外，如果乙方没有按照本合同约定的期限</w:t>
      </w:r>
      <w:r>
        <w:rPr>
          <w:rFonts w:hint="eastAsia" w:ascii="宋体" w:hAnsi="宋体"/>
          <w:sz w:val="24"/>
          <w:highlight w:val="none"/>
        </w:rPr>
        <w:t>、</w:t>
      </w:r>
      <w:r>
        <w:rPr>
          <w:rFonts w:ascii="宋体" w:hAnsi="宋体"/>
          <w:sz w:val="24"/>
          <w:highlight w:val="none"/>
        </w:rPr>
        <w:t>地点和方式</w:t>
      </w:r>
      <w:r>
        <w:rPr>
          <w:rFonts w:hint="eastAsia" w:ascii="宋体" w:hAnsi="宋体"/>
          <w:sz w:val="24"/>
          <w:highlight w:val="none"/>
        </w:rPr>
        <w:t>履行</w:t>
      </w:r>
      <w:r>
        <w:rPr>
          <w:rFonts w:ascii="宋体" w:hAnsi="宋体"/>
          <w:sz w:val="24"/>
          <w:highlight w:val="none"/>
        </w:rPr>
        <w:t>，那么甲方可要求乙方支付违约金</w:t>
      </w:r>
      <w:r>
        <w:rPr>
          <w:rFonts w:hint="eastAsia" w:ascii="宋体" w:hAnsi="宋体"/>
          <w:sz w:val="24"/>
          <w:highlight w:val="none"/>
        </w:rPr>
        <w:t>，</w:t>
      </w:r>
      <w:r>
        <w:rPr>
          <w:rFonts w:ascii="宋体" w:hAnsi="宋体"/>
          <w:sz w:val="24"/>
          <w:highlight w:val="none"/>
        </w:rPr>
        <w:t>违约金按</w:t>
      </w:r>
      <w:r>
        <w:rPr>
          <w:rFonts w:hint="eastAsia" w:ascii="宋体" w:hAnsi="宋体"/>
          <w:sz w:val="24"/>
          <w:highlight w:val="none"/>
        </w:rPr>
        <w:t>折扣报价</w:t>
      </w:r>
      <w:r>
        <w:rPr>
          <w:rFonts w:ascii="宋体" w:hAnsi="宋体"/>
          <w:sz w:val="24"/>
          <w:highlight w:val="none"/>
        </w:rPr>
        <w:t>每迟延</w:t>
      </w:r>
      <w:r>
        <w:rPr>
          <w:rFonts w:hint="eastAsia" w:ascii="宋体" w:hAnsi="宋体"/>
          <w:sz w:val="24"/>
          <w:highlight w:val="none"/>
        </w:rPr>
        <w:t>履行</w:t>
      </w:r>
      <w:r>
        <w:rPr>
          <w:rFonts w:ascii="宋体" w:hAnsi="宋体"/>
          <w:sz w:val="24"/>
          <w:highlight w:val="none"/>
        </w:rPr>
        <w:t>一日的应提供而未</w:t>
      </w:r>
      <w:r>
        <w:rPr>
          <w:rFonts w:hint="eastAsia" w:ascii="宋体" w:hAnsi="宋体"/>
          <w:sz w:val="24"/>
          <w:highlight w:val="none"/>
        </w:rPr>
        <w:t>提供</w:t>
      </w:r>
      <w:r>
        <w:rPr>
          <w:rFonts w:ascii="宋体" w:hAnsi="宋体"/>
          <w:sz w:val="24"/>
          <w:highlight w:val="none"/>
        </w:rPr>
        <w:t>服务价格的</w:t>
      </w:r>
      <w:r>
        <w:rPr>
          <w:rFonts w:hint="eastAsia" w:ascii="宋体" w:hAnsi="宋体"/>
          <w:sz w:val="24"/>
          <w:highlight w:val="none"/>
          <w:u w:val="single"/>
        </w:rPr>
        <w:t xml:space="preserve"> 0.5</w:t>
      </w:r>
      <w:r>
        <w:rPr>
          <w:rFonts w:ascii="宋体" w:hAnsi="宋体"/>
          <w:sz w:val="24"/>
          <w:highlight w:val="none"/>
        </w:rPr>
        <w:t>%计算</w:t>
      </w:r>
      <w:r>
        <w:rPr>
          <w:rFonts w:hint="eastAsia" w:ascii="宋体" w:hAnsi="宋体"/>
          <w:sz w:val="24"/>
          <w:highlight w:val="none"/>
        </w:rPr>
        <w:t>，</w:t>
      </w:r>
      <w:r>
        <w:rPr>
          <w:rFonts w:ascii="宋体" w:hAnsi="宋体"/>
          <w:sz w:val="24"/>
          <w:highlight w:val="none"/>
        </w:rPr>
        <w:t>最高限额为</w:t>
      </w:r>
      <w:r>
        <w:rPr>
          <w:rFonts w:hint="eastAsia" w:ascii="宋体" w:hAnsi="宋体"/>
          <w:sz w:val="24"/>
          <w:highlight w:val="none"/>
        </w:rPr>
        <w:t>折扣报价</w:t>
      </w:r>
      <w:r>
        <w:rPr>
          <w:rFonts w:ascii="宋体" w:hAnsi="宋体"/>
          <w:sz w:val="24"/>
          <w:highlight w:val="none"/>
        </w:rPr>
        <w:t>的</w:t>
      </w:r>
      <w:r>
        <w:rPr>
          <w:rFonts w:hint="eastAsia" w:ascii="宋体" w:hAnsi="宋体"/>
          <w:sz w:val="24"/>
          <w:highlight w:val="none"/>
          <w:u w:val="single"/>
        </w:rPr>
        <w:t xml:space="preserve"> 5 </w:t>
      </w:r>
      <w:r>
        <w:rPr>
          <w:rFonts w:ascii="宋体" w:hAnsi="宋体"/>
          <w:sz w:val="24"/>
          <w:highlight w:val="none"/>
        </w:rPr>
        <w:t>%</w:t>
      </w:r>
      <w:r>
        <w:rPr>
          <w:rFonts w:hint="eastAsia" w:ascii="宋体" w:hAnsi="宋体"/>
          <w:sz w:val="24"/>
          <w:highlight w:val="none"/>
        </w:rPr>
        <w:t>；</w:t>
      </w:r>
      <w:r>
        <w:rPr>
          <w:rFonts w:ascii="宋体" w:hAnsi="宋体"/>
          <w:sz w:val="24"/>
          <w:highlight w:val="none"/>
        </w:rPr>
        <w:t>迟延</w:t>
      </w:r>
      <w:r>
        <w:rPr>
          <w:rFonts w:hint="eastAsia" w:ascii="宋体" w:hAnsi="宋体"/>
          <w:sz w:val="24"/>
          <w:highlight w:val="none"/>
        </w:rPr>
        <w:t>履行</w:t>
      </w:r>
      <w:r>
        <w:rPr>
          <w:rFonts w:ascii="宋体" w:hAnsi="宋体"/>
          <w:sz w:val="24"/>
          <w:highlight w:val="none"/>
        </w:rPr>
        <w:t>的违约金计算数额达到前述最高限额之日起</w:t>
      </w:r>
      <w:r>
        <w:rPr>
          <w:rFonts w:hint="eastAsia" w:ascii="宋体" w:hAnsi="宋体"/>
          <w:sz w:val="24"/>
          <w:highlight w:val="none"/>
        </w:rPr>
        <w:t>，</w:t>
      </w:r>
      <w:r>
        <w:rPr>
          <w:rFonts w:ascii="宋体" w:hAnsi="宋体"/>
          <w:sz w:val="24"/>
          <w:highlight w:val="none"/>
        </w:rPr>
        <w:t>甲方有权在要求乙方支付违约金的同时</w:t>
      </w:r>
      <w:r>
        <w:rPr>
          <w:rFonts w:hint="eastAsia" w:ascii="宋体" w:hAnsi="宋体"/>
          <w:sz w:val="24"/>
          <w:highlight w:val="none"/>
        </w:rPr>
        <w:t>，书面通知乙方</w:t>
      </w:r>
      <w:r>
        <w:rPr>
          <w:rFonts w:ascii="宋体" w:hAnsi="宋体"/>
          <w:sz w:val="24"/>
          <w:highlight w:val="none"/>
        </w:rPr>
        <w:t>解除本合同</w:t>
      </w:r>
      <w:r>
        <w:rPr>
          <w:rFonts w:hint="eastAsia" w:ascii="宋体" w:hAnsi="宋体"/>
          <w:sz w:val="24"/>
          <w:highlight w:val="none"/>
        </w:rPr>
        <w:t>；</w:t>
      </w:r>
    </w:p>
    <w:p w14:paraId="7D60C901">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1.6.2</w:t>
      </w:r>
      <w:r>
        <w:rPr>
          <w:rFonts w:ascii="宋体" w:hAnsi="宋体"/>
          <w:sz w:val="24"/>
          <w:highlight w:val="none"/>
        </w:rPr>
        <w:t>除不可抗力外，如果甲方没有按照本合同约定的付款方式付款，那么乙方可要求甲方支付违约金</w:t>
      </w:r>
      <w:r>
        <w:rPr>
          <w:rFonts w:hint="eastAsia" w:ascii="宋体" w:hAnsi="宋体"/>
          <w:sz w:val="24"/>
          <w:highlight w:val="none"/>
        </w:rPr>
        <w:t>，</w:t>
      </w:r>
      <w:r>
        <w:rPr>
          <w:rFonts w:ascii="宋体" w:hAnsi="宋体"/>
          <w:sz w:val="24"/>
          <w:highlight w:val="none"/>
        </w:rPr>
        <w:t>违约金按</w:t>
      </w:r>
      <w:r>
        <w:rPr>
          <w:rFonts w:hint="eastAsia" w:ascii="宋体" w:hAnsi="宋体"/>
          <w:sz w:val="24"/>
          <w:highlight w:val="none"/>
        </w:rPr>
        <w:t>折扣报价</w:t>
      </w:r>
      <w:r>
        <w:rPr>
          <w:rFonts w:ascii="宋体" w:hAnsi="宋体"/>
          <w:sz w:val="24"/>
          <w:highlight w:val="none"/>
        </w:rPr>
        <w:t>每迟延</w:t>
      </w:r>
      <w:r>
        <w:rPr>
          <w:rFonts w:hint="eastAsia" w:ascii="宋体" w:hAnsi="宋体"/>
          <w:sz w:val="24"/>
          <w:highlight w:val="none"/>
        </w:rPr>
        <w:t>付款</w:t>
      </w:r>
      <w:r>
        <w:rPr>
          <w:rFonts w:ascii="宋体" w:hAnsi="宋体"/>
          <w:sz w:val="24"/>
          <w:highlight w:val="none"/>
        </w:rPr>
        <w:t>一日的应付而未付款的</w:t>
      </w:r>
      <w:r>
        <w:rPr>
          <w:rFonts w:hint="eastAsia" w:ascii="宋体" w:hAnsi="宋体"/>
          <w:sz w:val="24"/>
          <w:highlight w:val="none"/>
          <w:u w:val="single"/>
        </w:rPr>
        <w:t xml:space="preserve"> 0.5 </w:t>
      </w:r>
      <w:r>
        <w:rPr>
          <w:rFonts w:ascii="宋体" w:hAnsi="宋体"/>
          <w:sz w:val="24"/>
          <w:highlight w:val="none"/>
        </w:rPr>
        <w:t>%计算</w:t>
      </w:r>
      <w:r>
        <w:rPr>
          <w:rFonts w:hint="eastAsia" w:ascii="宋体" w:hAnsi="宋体"/>
          <w:sz w:val="24"/>
          <w:highlight w:val="none"/>
        </w:rPr>
        <w:t>，</w:t>
      </w:r>
      <w:r>
        <w:rPr>
          <w:rFonts w:ascii="宋体" w:hAnsi="宋体"/>
          <w:sz w:val="24"/>
          <w:highlight w:val="none"/>
        </w:rPr>
        <w:t>最高限额为</w:t>
      </w:r>
      <w:r>
        <w:rPr>
          <w:rFonts w:hint="eastAsia" w:ascii="宋体" w:hAnsi="宋体"/>
          <w:sz w:val="24"/>
          <w:highlight w:val="none"/>
        </w:rPr>
        <w:t>折扣报价</w:t>
      </w:r>
      <w:r>
        <w:rPr>
          <w:rFonts w:ascii="宋体" w:hAnsi="宋体"/>
          <w:sz w:val="24"/>
          <w:highlight w:val="none"/>
        </w:rPr>
        <w:t>的</w:t>
      </w:r>
      <w:r>
        <w:rPr>
          <w:rFonts w:hint="eastAsia" w:ascii="宋体" w:hAnsi="宋体"/>
          <w:sz w:val="24"/>
          <w:highlight w:val="none"/>
          <w:u w:val="single"/>
        </w:rPr>
        <w:t xml:space="preserve"> 5 </w:t>
      </w:r>
      <w:r>
        <w:rPr>
          <w:rFonts w:ascii="宋体" w:hAnsi="宋体"/>
          <w:sz w:val="24"/>
          <w:highlight w:val="none"/>
        </w:rPr>
        <w:t>%</w:t>
      </w:r>
      <w:r>
        <w:rPr>
          <w:rFonts w:hint="eastAsia" w:ascii="宋体" w:hAnsi="宋体"/>
          <w:sz w:val="24"/>
          <w:highlight w:val="none"/>
        </w:rPr>
        <w:t>；</w:t>
      </w:r>
      <w:r>
        <w:rPr>
          <w:rFonts w:ascii="宋体" w:hAnsi="宋体"/>
          <w:sz w:val="24"/>
          <w:highlight w:val="none"/>
        </w:rPr>
        <w:t>迟延</w:t>
      </w:r>
      <w:r>
        <w:rPr>
          <w:rFonts w:hint="eastAsia" w:ascii="宋体" w:hAnsi="宋体"/>
          <w:sz w:val="24"/>
          <w:highlight w:val="none"/>
        </w:rPr>
        <w:t>付款</w:t>
      </w:r>
      <w:r>
        <w:rPr>
          <w:rFonts w:ascii="宋体" w:hAnsi="宋体"/>
          <w:sz w:val="24"/>
          <w:highlight w:val="none"/>
        </w:rPr>
        <w:t>的违约金计算数额达到前述最高限额之日起</w:t>
      </w:r>
      <w:r>
        <w:rPr>
          <w:rFonts w:hint="eastAsia" w:ascii="宋体" w:hAnsi="宋体"/>
          <w:sz w:val="24"/>
          <w:highlight w:val="none"/>
        </w:rPr>
        <w:t>，乙</w:t>
      </w:r>
      <w:r>
        <w:rPr>
          <w:rFonts w:ascii="宋体" w:hAnsi="宋体"/>
          <w:sz w:val="24"/>
          <w:highlight w:val="none"/>
        </w:rPr>
        <w:t>方有权在要求甲方支付违约金的同时</w:t>
      </w:r>
      <w:r>
        <w:rPr>
          <w:rFonts w:hint="eastAsia" w:ascii="宋体" w:hAnsi="宋体"/>
          <w:sz w:val="24"/>
          <w:highlight w:val="none"/>
        </w:rPr>
        <w:t>，书面通知甲方</w:t>
      </w:r>
      <w:r>
        <w:rPr>
          <w:rFonts w:ascii="宋体" w:hAnsi="宋体"/>
          <w:sz w:val="24"/>
          <w:highlight w:val="none"/>
        </w:rPr>
        <w:t>解除本合同</w:t>
      </w:r>
      <w:r>
        <w:rPr>
          <w:rFonts w:hint="eastAsia" w:ascii="宋体" w:hAnsi="宋体"/>
          <w:sz w:val="24"/>
          <w:highlight w:val="none"/>
        </w:rPr>
        <w:t>；</w:t>
      </w:r>
    </w:p>
    <w:p w14:paraId="050C2F2B">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F7A2537">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BF28958">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28BD10F">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1.6.6如果出现采购监督管理部门在处理投诉事项期间，书面通知甲方暂停采购活动的情形，或者询问或质疑事项可能影响成交结果的，导致甲方中止履行合同的情形，均不视为甲方违约。</w:t>
      </w:r>
    </w:p>
    <w:p w14:paraId="38DFE8FE">
      <w:pPr>
        <w:shd w:val="clear"/>
        <w:wordWrap w:val="0"/>
        <w:spacing w:line="440" w:lineRule="exact"/>
        <w:ind w:firstLine="437"/>
        <w:jc w:val="left"/>
        <w:outlineLvl w:val="3"/>
        <w:rPr>
          <w:rFonts w:hint="eastAsia" w:ascii="宋体" w:hAnsi="宋体"/>
          <w:b/>
          <w:bCs/>
          <w:sz w:val="24"/>
          <w:highlight w:val="none"/>
          <w:lang w:val="zh-CN"/>
        </w:rPr>
      </w:pPr>
      <w:r>
        <w:rPr>
          <w:rFonts w:hint="eastAsia" w:ascii="宋体" w:hAnsi="宋体"/>
          <w:b/>
          <w:bCs/>
          <w:sz w:val="24"/>
          <w:highlight w:val="none"/>
          <w:lang w:val="zh-CN"/>
        </w:rPr>
        <w:t>1.7</w:t>
      </w:r>
      <w:r>
        <w:rPr>
          <w:rFonts w:ascii="宋体" w:hAnsi="宋体"/>
          <w:b/>
          <w:bCs/>
          <w:sz w:val="24"/>
          <w:highlight w:val="none"/>
          <w:lang w:val="zh-CN"/>
        </w:rPr>
        <w:t xml:space="preserve"> </w:t>
      </w:r>
      <w:r>
        <w:rPr>
          <w:rFonts w:hint="eastAsia" w:ascii="宋体" w:hAnsi="宋体"/>
          <w:b/>
          <w:bCs/>
          <w:sz w:val="24"/>
          <w:highlight w:val="none"/>
          <w:lang w:val="zh-CN"/>
        </w:rPr>
        <w:t>合同</w:t>
      </w:r>
      <w:r>
        <w:rPr>
          <w:rFonts w:ascii="宋体" w:hAnsi="宋体"/>
          <w:b/>
          <w:bCs/>
          <w:sz w:val="24"/>
          <w:highlight w:val="none"/>
          <w:lang w:val="zh-CN"/>
        </w:rPr>
        <w:t>争议的解决</w:t>
      </w:r>
      <w:bookmarkEnd w:id="137"/>
      <w:bookmarkEnd w:id="138"/>
      <w:bookmarkEnd w:id="139"/>
    </w:p>
    <w:p w14:paraId="00FA2920">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本合</w:t>
      </w:r>
      <w:r>
        <w:rPr>
          <w:rFonts w:ascii="宋体" w:hAnsi="宋体"/>
          <w:sz w:val="24"/>
          <w:highlight w:val="none"/>
        </w:rPr>
        <w:t>同履行过程中发生的任何争议，双方当事人均可</w:t>
      </w:r>
      <w:r>
        <w:rPr>
          <w:rFonts w:hint="eastAsia" w:ascii="宋体" w:hAnsi="宋体"/>
          <w:sz w:val="24"/>
          <w:highlight w:val="none"/>
        </w:rPr>
        <w:t>通过和解或者调解解决；不愿和解、调解或者和解、调解不成的，可以选择下列第</w:t>
      </w:r>
      <w:r>
        <w:rPr>
          <w:rFonts w:hint="eastAsia" w:ascii="宋体" w:hAnsi="宋体"/>
          <w:sz w:val="24"/>
          <w:highlight w:val="none"/>
          <w:u w:val="single"/>
        </w:rPr>
        <w:t xml:space="preserve"> 2 </w:t>
      </w:r>
      <w:r>
        <w:rPr>
          <w:rFonts w:hint="eastAsia" w:ascii="宋体" w:hAnsi="宋体"/>
          <w:sz w:val="24"/>
          <w:highlight w:val="none"/>
        </w:rPr>
        <w:t>种方式解决：</w:t>
      </w:r>
    </w:p>
    <w:p w14:paraId="180863BB">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1.7.1将争议提交</w:t>
      </w:r>
      <w:r>
        <w:rPr>
          <w:rFonts w:hint="eastAsia" w:ascii="宋体" w:hAnsi="宋体"/>
          <w:sz w:val="24"/>
          <w:highlight w:val="none"/>
          <w:u w:val="single"/>
        </w:rPr>
        <w:t xml:space="preserve">  / </w:t>
      </w:r>
      <w:r>
        <w:rPr>
          <w:rFonts w:hint="eastAsia" w:ascii="宋体" w:hAnsi="宋体"/>
          <w:sz w:val="24"/>
          <w:highlight w:val="none"/>
        </w:rPr>
        <w:t>仲裁委员会依申请仲裁时其现行有效的仲裁规则裁决；</w:t>
      </w:r>
    </w:p>
    <w:p w14:paraId="14E6ABC5">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1.7.2向</w:t>
      </w:r>
      <w:r>
        <w:rPr>
          <w:rFonts w:hint="eastAsia" w:ascii="宋体" w:hAnsi="宋体"/>
          <w:sz w:val="24"/>
          <w:highlight w:val="none"/>
          <w:u w:val="single"/>
        </w:rPr>
        <w:t>合同签订地所在法院/甲方住所所在地法院</w:t>
      </w:r>
      <w:r>
        <w:rPr>
          <w:rFonts w:hint="eastAsia" w:ascii="宋体" w:hAnsi="宋体"/>
          <w:sz w:val="24"/>
          <w:highlight w:val="none"/>
        </w:rPr>
        <w:t>起诉。</w:t>
      </w:r>
    </w:p>
    <w:p w14:paraId="70585155">
      <w:pPr>
        <w:shd w:val="clear"/>
        <w:wordWrap w:val="0"/>
        <w:spacing w:line="440" w:lineRule="exact"/>
        <w:ind w:firstLine="437"/>
        <w:jc w:val="left"/>
        <w:outlineLvl w:val="3"/>
        <w:rPr>
          <w:rFonts w:hint="eastAsia" w:ascii="宋体" w:hAnsi="宋体"/>
          <w:b/>
          <w:bCs/>
          <w:sz w:val="24"/>
          <w:highlight w:val="none"/>
          <w:lang w:val="zh-CN"/>
        </w:rPr>
      </w:pPr>
      <w:bookmarkStart w:id="140" w:name="_Toc7245"/>
      <w:bookmarkStart w:id="141" w:name="_Toc15322"/>
      <w:bookmarkStart w:id="142" w:name="_Toc11173"/>
      <w:r>
        <w:rPr>
          <w:rFonts w:hint="eastAsia" w:ascii="宋体" w:hAnsi="宋体"/>
          <w:b/>
          <w:bCs/>
          <w:sz w:val="24"/>
          <w:highlight w:val="none"/>
          <w:lang w:val="zh-CN"/>
        </w:rPr>
        <w:t>1.8</w:t>
      </w:r>
      <w:r>
        <w:rPr>
          <w:rFonts w:ascii="宋体" w:hAnsi="宋体"/>
          <w:b/>
          <w:bCs/>
          <w:sz w:val="24"/>
          <w:highlight w:val="none"/>
          <w:lang w:val="zh-CN"/>
        </w:rPr>
        <w:t xml:space="preserve"> 合同生效</w:t>
      </w:r>
      <w:bookmarkEnd w:id="140"/>
      <w:bookmarkEnd w:id="141"/>
      <w:bookmarkEnd w:id="142"/>
    </w:p>
    <w:p w14:paraId="07352B3F">
      <w:pPr>
        <w:shd w:val="clear"/>
        <w:wordWrap w:val="0"/>
        <w:spacing w:line="440" w:lineRule="exact"/>
        <w:ind w:firstLine="435"/>
        <w:jc w:val="left"/>
        <w:rPr>
          <w:rFonts w:hint="eastAsia" w:ascii="宋体" w:hAnsi="宋体"/>
          <w:sz w:val="24"/>
          <w:highlight w:val="none"/>
        </w:rPr>
      </w:pPr>
      <w:r>
        <w:rPr>
          <w:rFonts w:ascii="宋体" w:hAnsi="宋体"/>
          <w:sz w:val="24"/>
          <w:highlight w:val="none"/>
        </w:rPr>
        <w:t>本合同自</w:t>
      </w:r>
      <w:r>
        <w:rPr>
          <w:rFonts w:hint="eastAsia" w:ascii="宋体" w:hAnsi="宋体"/>
          <w:sz w:val="24"/>
          <w:highlight w:val="none"/>
        </w:rPr>
        <w:t>双方当事人盖章时</w:t>
      </w:r>
      <w:r>
        <w:rPr>
          <w:rFonts w:ascii="宋体" w:hAnsi="宋体"/>
          <w:sz w:val="24"/>
          <w:highlight w:val="none"/>
        </w:rPr>
        <w:t>生效</w:t>
      </w:r>
      <w:r>
        <w:rPr>
          <w:rFonts w:hint="eastAsia" w:ascii="宋体" w:hAnsi="宋体"/>
          <w:sz w:val="24"/>
          <w:highlight w:val="none"/>
        </w:rPr>
        <w:t>。</w:t>
      </w:r>
    </w:p>
    <w:p w14:paraId="1DC8C769">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甲乙双方签订服务合同后，即为乙方接受本合同内容的承诺</w:t>
      </w:r>
      <w:r>
        <w:rPr>
          <w:rFonts w:ascii="宋体" w:hAnsi="宋体"/>
          <w:sz w:val="24"/>
          <w:highlight w:val="none"/>
        </w:rPr>
        <w:t>。</w:t>
      </w:r>
    </w:p>
    <w:p w14:paraId="3A96D179">
      <w:pPr>
        <w:shd w:val="clear"/>
        <w:wordWrap w:val="0"/>
        <w:autoSpaceDE w:val="0"/>
        <w:autoSpaceDN w:val="0"/>
        <w:adjustRightInd w:val="0"/>
        <w:spacing w:line="440" w:lineRule="exact"/>
        <w:jc w:val="left"/>
        <w:rPr>
          <w:rFonts w:hint="eastAsia" w:ascii="宋体" w:hAnsi="宋体"/>
          <w:sz w:val="24"/>
          <w:highlight w:val="none"/>
          <w:lang w:val="zh-CN"/>
        </w:rPr>
      </w:pPr>
    </w:p>
    <w:p w14:paraId="46EEEFFD">
      <w:pPr>
        <w:shd w:val="clear"/>
        <w:wordWrap w:val="0"/>
        <w:autoSpaceDE w:val="0"/>
        <w:autoSpaceDN w:val="0"/>
        <w:adjustRightInd w:val="0"/>
        <w:spacing w:line="440" w:lineRule="exact"/>
        <w:jc w:val="left"/>
        <w:rPr>
          <w:rFonts w:hint="eastAsia" w:ascii="宋体" w:hAnsi="宋体"/>
          <w:sz w:val="24"/>
          <w:highlight w:val="none"/>
          <w:lang w:val="zh-CN"/>
        </w:rPr>
      </w:pPr>
    </w:p>
    <w:p w14:paraId="57799F5D">
      <w:pPr>
        <w:shd w:val="clear"/>
        <w:wordWrap w:val="0"/>
        <w:autoSpaceDE w:val="0"/>
        <w:autoSpaceDN w:val="0"/>
        <w:adjustRightInd w:val="0"/>
        <w:spacing w:line="440" w:lineRule="exact"/>
        <w:jc w:val="left"/>
        <w:rPr>
          <w:rFonts w:hint="eastAsia" w:ascii="宋体" w:hAnsi="宋体"/>
          <w:sz w:val="24"/>
          <w:highlight w:val="none"/>
          <w:lang w:val="zh-CN"/>
        </w:rPr>
      </w:pPr>
    </w:p>
    <w:p w14:paraId="6FE3A68C">
      <w:pPr>
        <w:shd w:val="clear"/>
        <w:wordWrap w:val="0"/>
        <w:autoSpaceDE w:val="0"/>
        <w:autoSpaceDN w:val="0"/>
        <w:adjustRightInd w:val="0"/>
        <w:spacing w:line="440" w:lineRule="exact"/>
        <w:jc w:val="left"/>
        <w:rPr>
          <w:rFonts w:hint="eastAsia" w:ascii="宋体" w:hAnsi="宋体"/>
          <w:bCs/>
          <w:sz w:val="24"/>
          <w:highlight w:val="none"/>
          <w:lang w:val="zh-CN"/>
        </w:rPr>
      </w:pPr>
      <w:r>
        <w:rPr>
          <w:rFonts w:hint="eastAsia" w:ascii="宋体" w:hAnsi="宋体"/>
          <w:bCs/>
          <w:sz w:val="24"/>
          <w:highlight w:val="none"/>
          <w:lang w:val="zh-CN"/>
        </w:rPr>
        <w:t xml:space="preserve">甲 </w:t>
      </w:r>
      <w:r>
        <w:rPr>
          <w:rFonts w:ascii="宋体" w:hAnsi="宋体"/>
          <w:bCs/>
          <w:sz w:val="24"/>
          <w:highlight w:val="none"/>
          <w:lang w:val="zh-CN"/>
        </w:rPr>
        <w:t xml:space="preserve">   </w:t>
      </w:r>
      <w:r>
        <w:rPr>
          <w:rFonts w:hint="eastAsia" w:ascii="宋体" w:hAnsi="宋体"/>
          <w:bCs/>
          <w:sz w:val="24"/>
          <w:highlight w:val="none"/>
          <w:lang w:val="zh-CN"/>
        </w:rPr>
        <w:t>方：</w:t>
      </w:r>
      <w:r>
        <w:rPr>
          <w:rFonts w:hint="eastAsia" w:ascii="宋体" w:hAnsi="宋体"/>
          <w:bCs/>
          <w:sz w:val="24"/>
          <w:highlight w:val="none"/>
          <w:u w:val="single"/>
          <w:lang w:val="zh-CN"/>
        </w:rPr>
        <w:t xml:space="preserve">    （单位盖章）     </w:t>
      </w:r>
      <w:r>
        <w:rPr>
          <w:rFonts w:hint="eastAsia" w:ascii="宋体" w:hAnsi="宋体"/>
          <w:bCs/>
          <w:sz w:val="24"/>
          <w:highlight w:val="none"/>
          <w:lang w:val="zh-CN"/>
        </w:rPr>
        <w:t xml:space="preserve">          乙方：</w:t>
      </w:r>
      <w:r>
        <w:rPr>
          <w:rFonts w:hint="eastAsia" w:ascii="宋体" w:hAnsi="宋体"/>
          <w:bCs/>
          <w:sz w:val="24"/>
          <w:highlight w:val="none"/>
          <w:u w:val="single"/>
          <w:lang w:val="zh-CN"/>
        </w:rPr>
        <w:t xml:space="preserve">    （单位盖章）     </w:t>
      </w:r>
    </w:p>
    <w:p w14:paraId="0B793B0E">
      <w:pPr>
        <w:shd w:val="clear"/>
        <w:wordWrap w:val="0"/>
        <w:autoSpaceDE w:val="0"/>
        <w:autoSpaceDN w:val="0"/>
        <w:adjustRightInd w:val="0"/>
        <w:spacing w:line="440" w:lineRule="exact"/>
        <w:jc w:val="left"/>
        <w:rPr>
          <w:rFonts w:hint="eastAsia" w:ascii="宋体" w:hAnsi="宋体"/>
          <w:sz w:val="24"/>
          <w:highlight w:val="none"/>
          <w:lang w:val="zh-CN"/>
        </w:rPr>
      </w:pPr>
      <w:r>
        <w:rPr>
          <w:rFonts w:hint="eastAsia" w:ascii="宋体" w:hAnsi="宋体"/>
          <w:sz w:val="24"/>
          <w:highlight w:val="none"/>
          <w:lang w:val="zh-CN"/>
        </w:rPr>
        <w:t xml:space="preserve">法定代表人                             </w:t>
      </w:r>
      <w:r>
        <w:rPr>
          <w:rFonts w:ascii="宋体" w:hAnsi="宋体"/>
          <w:sz w:val="24"/>
          <w:highlight w:val="none"/>
          <w:lang w:val="zh-CN"/>
        </w:rPr>
        <w:t xml:space="preserve">  </w:t>
      </w:r>
      <w:r>
        <w:rPr>
          <w:rFonts w:hint="eastAsia" w:ascii="宋体" w:hAnsi="宋体"/>
          <w:sz w:val="24"/>
          <w:highlight w:val="none"/>
          <w:lang w:val="zh-CN"/>
        </w:rPr>
        <w:t>法定代表人</w:t>
      </w:r>
    </w:p>
    <w:p w14:paraId="44DB34AB">
      <w:pPr>
        <w:shd w:val="clear"/>
        <w:wordWrap w:val="0"/>
        <w:autoSpaceDE w:val="0"/>
        <w:autoSpaceDN w:val="0"/>
        <w:adjustRightInd w:val="0"/>
        <w:spacing w:line="440" w:lineRule="exact"/>
        <w:jc w:val="left"/>
        <w:rPr>
          <w:rFonts w:hint="eastAsia" w:ascii="宋体" w:hAnsi="宋体"/>
          <w:sz w:val="24"/>
          <w:highlight w:val="none"/>
          <w:lang w:val="zh-CN"/>
        </w:rPr>
      </w:pPr>
      <w:r>
        <w:rPr>
          <w:rFonts w:hint="eastAsia" w:ascii="宋体" w:hAnsi="宋体"/>
          <w:sz w:val="24"/>
          <w:highlight w:val="none"/>
          <w:lang w:val="zh-CN"/>
        </w:rPr>
        <w:t>或授权代表（签字）：                      或授权代表（签字）：</w:t>
      </w:r>
    </w:p>
    <w:p w14:paraId="288060E2">
      <w:pPr>
        <w:widowControl/>
        <w:shd w:val="clear"/>
        <w:wordWrap w:val="0"/>
        <w:spacing w:line="440" w:lineRule="exact"/>
        <w:jc w:val="left"/>
        <w:rPr>
          <w:rFonts w:hint="eastAsia" w:ascii="宋体" w:hAnsi="宋体"/>
          <w:bCs/>
          <w:sz w:val="24"/>
          <w:highlight w:val="none"/>
        </w:rPr>
      </w:pPr>
      <w:bookmarkStart w:id="143" w:name="_Toc331685783"/>
      <w:r>
        <w:rPr>
          <w:rFonts w:hint="eastAsia" w:ascii="宋体" w:hAnsi="宋体"/>
          <w:bCs/>
          <w:sz w:val="24"/>
          <w:highlight w:val="none"/>
        </w:rPr>
        <w:t>时间：</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年</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月</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日               时间：</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年</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月</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hint="eastAsia" w:ascii="宋体" w:hAnsi="宋体"/>
          <w:bCs/>
          <w:sz w:val="24"/>
          <w:highlight w:val="none"/>
        </w:rPr>
        <w:t>日</w:t>
      </w:r>
    </w:p>
    <w:p w14:paraId="601192FE">
      <w:pPr>
        <w:widowControl/>
        <w:shd w:val="clear"/>
        <w:wordWrap w:val="0"/>
        <w:spacing w:line="440" w:lineRule="exact"/>
        <w:jc w:val="left"/>
        <w:rPr>
          <w:rFonts w:hint="eastAsia" w:ascii="宋体" w:hAnsi="宋体"/>
          <w:b/>
          <w:sz w:val="24"/>
          <w:highlight w:val="none"/>
        </w:rPr>
      </w:pPr>
      <w:r>
        <w:rPr>
          <w:rFonts w:ascii="宋体" w:hAnsi="宋体"/>
          <w:b/>
          <w:sz w:val="24"/>
          <w:highlight w:val="none"/>
        </w:rPr>
        <w:br w:type="page"/>
      </w:r>
    </w:p>
    <w:p w14:paraId="1D4112C3">
      <w:pPr>
        <w:shd w:val="clear"/>
        <w:wordWrap w:val="0"/>
        <w:spacing w:line="440" w:lineRule="exact"/>
        <w:jc w:val="center"/>
        <w:outlineLvl w:val="2"/>
        <w:rPr>
          <w:rFonts w:hint="eastAsia" w:ascii="宋体" w:hAnsi="宋体"/>
          <w:b/>
          <w:sz w:val="28"/>
          <w:szCs w:val="28"/>
          <w:highlight w:val="none"/>
        </w:rPr>
      </w:pPr>
      <w:r>
        <w:rPr>
          <w:rFonts w:hint="eastAsia" w:ascii="宋体" w:hAnsi="宋体"/>
          <w:b/>
          <w:sz w:val="28"/>
          <w:szCs w:val="28"/>
          <w:highlight w:val="none"/>
        </w:rPr>
        <w:t>第二部分</w:t>
      </w:r>
      <w:r>
        <w:rPr>
          <w:rFonts w:ascii="宋体" w:hAnsi="宋体"/>
          <w:b/>
          <w:sz w:val="28"/>
          <w:szCs w:val="28"/>
          <w:highlight w:val="none"/>
        </w:rPr>
        <w:t xml:space="preserve"> </w:t>
      </w:r>
      <w:r>
        <w:rPr>
          <w:rFonts w:hint="eastAsia" w:ascii="宋体" w:hAnsi="宋体"/>
          <w:b/>
          <w:sz w:val="28"/>
          <w:szCs w:val="28"/>
          <w:highlight w:val="none"/>
        </w:rPr>
        <w:t>合同一般条款</w:t>
      </w:r>
      <w:bookmarkEnd w:id="143"/>
    </w:p>
    <w:p w14:paraId="64797950">
      <w:pPr>
        <w:shd w:val="clear"/>
        <w:wordWrap w:val="0"/>
        <w:spacing w:line="440" w:lineRule="exact"/>
        <w:ind w:firstLine="437"/>
        <w:jc w:val="left"/>
        <w:outlineLvl w:val="3"/>
        <w:rPr>
          <w:rFonts w:hint="eastAsia" w:ascii="宋体" w:hAnsi="宋体"/>
          <w:b/>
          <w:bCs/>
          <w:sz w:val="24"/>
          <w:highlight w:val="none"/>
          <w:lang w:val="zh-CN"/>
        </w:rPr>
      </w:pPr>
      <w:bookmarkStart w:id="144" w:name="_Toc487900349"/>
      <w:bookmarkStart w:id="145" w:name="_Ref467379205"/>
      <w:bookmarkStart w:id="146" w:name="_Toc16917"/>
      <w:bookmarkStart w:id="147" w:name="_Ref467379109"/>
      <w:bookmarkStart w:id="148" w:name="_Toc259093669"/>
      <w:bookmarkStart w:id="149" w:name="_Toc28763"/>
      <w:bookmarkStart w:id="150" w:name="_Ref467378499"/>
      <w:bookmarkStart w:id="151" w:name="_Ref467379094"/>
      <w:bookmarkStart w:id="152" w:name="_Ref467379101"/>
      <w:bookmarkStart w:id="153" w:name="_Ref467379195"/>
      <w:bookmarkStart w:id="154" w:name="_Ref467378463"/>
      <w:bookmarkStart w:id="155" w:name="_Ref467378404"/>
      <w:bookmarkStart w:id="156" w:name="_Toc19614"/>
      <w:bookmarkStart w:id="157" w:name="_Toc279701240"/>
      <w:bookmarkStart w:id="158" w:name="_Ref467379225"/>
      <w:bookmarkStart w:id="159" w:name="_Ref467379214"/>
      <w:r>
        <w:rPr>
          <w:rFonts w:hint="eastAsia" w:ascii="宋体" w:hAnsi="宋体"/>
          <w:b/>
          <w:bCs/>
          <w:sz w:val="24"/>
          <w:highlight w:val="none"/>
          <w:lang w:val="zh-CN"/>
        </w:rPr>
        <w:t>2.1</w:t>
      </w:r>
      <w:r>
        <w:rPr>
          <w:rFonts w:ascii="宋体" w:hAnsi="宋体"/>
          <w:b/>
          <w:bCs/>
          <w:sz w:val="24"/>
          <w:highlight w:val="none"/>
          <w:lang w:val="zh-CN"/>
        </w:rPr>
        <w:t xml:space="preserve"> 定义</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232FCDED">
      <w:pPr>
        <w:shd w:val="clear"/>
        <w:wordWrap w:val="0"/>
        <w:spacing w:line="440" w:lineRule="exact"/>
        <w:ind w:firstLine="435"/>
        <w:jc w:val="left"/>
        <w:rPr>
          <w:rFonts w:hint="eastAsia" w:ascii="宋体" w:hAnsi="宋体"/>
          <w:sz w:val="24"/>
          <w:highlight w:val="none"/>
        </w:rPr>
      </w:pPr>
      <w:r>
        <w:rPr>
          <w:rFonts w:ascii="宋体" w:hAnsi="宋体"/>
          <w:sz w:val="24"/>
          <w:highlight w:val="none"/>
        </w:rPr>
        <w:t>本合同中的下列</w:t>
      </w:r>
      <w:r>
        <w:rPr>
          <w:rFonts w:hint="eastAsia" w:ascii="宋体" w:hAnsi="宋体"/>
          <w:sz w:val="24"/>
          <w:highlight w:val="none"/>
        </w:rPr>
        <w:t>词</w:t>
      </w:r>
      <w:r>
        <w:rPr>
          <w:rFonts w:ascii="宋体" w:hAnsi="宋体"/>
          <w:sz w:val="24"/>
          <w:highlight w:val="none"/>
        </w:rPr>
        <w:t>语应</w:t>
      </w:r>
      <w:r>
        <w:rPr>
          <w:rFonts w:hint="eastAsia" w:ascii="宋体" w:hAnsi="宋体"/>
          <w:sz w:val="24"/>
          <w:highlight w:val="none"/>
        </w:rPr>
        <w:t>按以下内容进行</w:t>
      </w:r>
      <w:r>
        <w:rPr>
          <w:rFonts w:ascii="宋体" w:hAnsi="宋体"/>
          <w:sz w:val="24"/>
          <w:highlight w:val="none"/>
        </w:rPr>
        <w:t>解释：</w:t>
      </w:r>
    </w:p>
    <w:p w14:paraId="7BFBCB18">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w:t>
      </w:r>
      <w:r>
        <w:rPr>
          <w:rFonts w:hint="eastAsia" w:ascii="宋体" w:hAnsi="宋体"/>
          <w:sz w:val="24"/>
          <w:highlight w:val="none"/>
        </w:rPr>
        <w:t>.1</w:t>
      </w:r>
      <w:r>
        <w:rPr>
          <w:rFonts w:ascii="宋体" w:hAnsi="宋体"/>
          <w:sz w:val="24"/>
          <w:highlight w:val="none"/>
        </w:rPr>
        <w:t>“合同”系指</w:t>
      </w:r>
      <w:r>
        <w:rPr>
          <w:rFonts w:hint="eastAsia" w:ascii="宋体" w:hAnsi="宋体"/>
          <w:sz w:val="24"/>
          <w:highlight w:val="none"/>
        </w:rPr>
        <w:t>询比人</w:t>
      </w:r>
      <w:r>
        <w:rPr>
          <w:rFonts w:ascii="宋体" w:hAnsi="宋体"/>
          <w:sz w:val="24"/>
          <w:highlight w:val="none"/>
        </w:rPr>
        <w:t>和</w:t>
      </w:r>
      <w:r>
        <w:rPr>
          <w:rFonts w:hint="eastAsia" w:ascii="宋体" w:hAnsi="宋体"/>
          <w:sz w:val="24"/>
          <w:highlight w:val="none"/>
        </w:rPr>
        <w:t>成交供应商</w:t>
      </w:r>
      <w:r>
        <w:rPr>
          <w:rFonts w:ascii="宋体" w:hAnsi="宋体"/>
          <w:sz w:val="24"/>
          <w:highlight w:val="none"/>
        </w:rPr>
        <w:t>签订的载明双方当事人所达成的协议，并包括所有的附件、附录和构成合同的其他文件。</w:t>
      </w:r>
    </w:p>
    <w:p w14:paraId="05AB5B4C">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1.2“合同价”系指根据合同约定，</w:t>
      </w:r>
      <w:r>
        <w:rPr>
          <w:rFonts w:hint="eastAsia" w:ascii="宋体" w:hAnsi="宋体"/>
          <w:sz w:val="24"/>
          <w:highlight w:val="none"/>
        </w:rPr>
        <w:t>成交供应商</w:t>
      </w:r>
      <w:r>
        <w:rPr>
          <w:rFonts w:ascii="宋体" w:hAnsi="宋体"/>
          <w:sz w:val="24"/>
          <w:highlight w:val="none"/>
        </w:rPr>
        <w:t>在完全履行合同义务后</w:t>
      </w:r>
      <w:r>
        <w:rPr>
          <w:rFonts w:hint="eastAsia" w:ascii="宋体" w:hAnsi="宋体"/>
          <w:sz w:val="24"/>
          <w:highlight w:val="none"/>
        </w:rPr>
        <w:t>，询比人</w:t>
      </w:r>
      <w:r>
        <w:rPr>
          <w:rFonts w:ascii="宋体" w:hAnsi="宋体"/>
          <w:sz w:val="24"/>
          <w:highlight w:val="none"/>
        </w:rPr>
        <w:t>应支付给</w:t>
      </w:r>
      <w:r>
        <w:rPr>
          <w:rFonts w:hint="eastAsia" w:ascii="宋体" w:hAnsi="宋体"/>
          <w:sz w:val="24"/>
          <w:highlight w:val="none"/>
        </w:rPr>
        <w:t>成交供应商</w:t>
      </w:r>
      <w:r>
        <w:rPr>
          <w:rFonts w:ascii="宋体" w:hAnsi="宋体"/>
          <w:sz w:val="24"/>
          <w:highlight w:val="none"/>
        </w:rPr>
        <w:t>的价格。</w:t>
      </w:r>
    </w:p>
    <w:p w14:paraId="19DA2497">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1.3“</w:t>
      </w:r>
      <w:r>
        <w:rPr>
          <w:rFonts w:hint="eastAsia" w:ascii="宋体" w:hAnsi="宋体"/>
          <w:sz w:val="24"/>
          <w:highlight w:val="none"/>
        </w:rPr>
        <w:t>服务</w:t>
      </w:r>
      <w:r>
        <w:rPr>
          <w:rFonts w:ascii="宋体" w:hAnsi="宋体"/>
          <w:sz w:val="24"/>
          <w:highlight w:val="none"/>
        </w:rPr>
        <w:t>”系指</w:t>
      </w:r>
      <w:r>
        <w:rPr>
          <w:rFonts w:hint="eastAsia" w:ascii="宋体" w:hAnsi="宋体"/>
          <w:sz w:val="24"/>
          <w:highlight w:val="none"/>
        </w:rPr>
        <w:t>成交供应商</w:t>
      </w:r>
      <w:r>
        <w:rPr>
          <w:rFonts w:ascii="宋体" w:hAnsi="宋体"/>
          <w:sz w:val="24"/>
          <w:highlight w:val="none"/>
        </w:rPr>
        <w:t>根据合同约定应向</w:t>
      </w:r>
      <w:r>
        <w:rPr>
          <w:rFonts w:hint="eastAsia" w:ascii="宋体" w:hAnsi="宋体"/>
          <w:sz w:val="24"/>
          <w:highlight w:val="none"/>
        </w:rPr>
        <w:t>询比人履行</w:t>
      </w:r>
      <w:r>
        <w:rPr>
          <w:rFonts w:ascii="宋体" w:hAnsi="宋体"/>
          <w:sz w:val="24"/>
          <w:highlight w:val="none"/>
        </w:rPr>
        <w:t>的</w:t>
      </w:r>
      <w:r>
        <w:rPr>
          <w:rFonts w:hint="eastAsia" w:ascii="宋体" w:hAnsi="宋体"/>
          <w:sz w:val="24"/>
          <w:highlight w:val="none"/>
        </w:rPr>
        <w:t>除货物和工程以外的其他采购对象，包括询比人自身需要的服务和向社会公众提供的公共服务。</w:t>
      </w:r>
    </w:p>
    <w:p w14:paraId="60BA6E40">
      <w:pPr>
        <w:shd w:val="clear"/>
        <w:wordWrap w:val="0"/>
        <w:spacing w:line="440" w:lineRule="exact"/>
        <w:ind w:firstLine="435"/>
        <w:jc w:val="left"/>
        <w:rPr>
          <w:rFonts w:hint="eastAsia" w:ascii="宋体" w:hAnsi="宋体"/>
          <w:sz w:val="24"/>
          <w:highlight w:val="none"/>
        </w:rPr>
      </w:pPr>
      <w:bookmarkStart w:id="160" w:name="_Ref467378840"/>
      <w:r>
        <w:rPr>
          <w:rFonts w:hint="eastAsia" w:ascii="宋体" w:hAnsi="宋体"/>
          <w:sz w:val="24"/>
          <w:highlight w:val="none"/>
        </w:rPr>
        <w:t>2.</w:t>
      </w:r>
      <w:r>
        <w:rPr>
          <w:rFonts w:ascii="宋体" w:hAnsi="宋体"/>
          <w:sz w:val="24"/>
          <w:highlight w:val="none"/>
        </w:rPr>
        <w:t>1.</w:t>
      </w:r>
      <w:r>
        <w:rPr>
          <w:rFonts w:hint="eastAsia" w:ascii="宋体" w:hAnsi="宋体"/>
          <w:sz w:val="24"/>
          <w:highlight w:val="none"/>
        </w:rPr>
        <w:t>4</w:t>
      </w:r>
      <w:r>
        <w:rPr>
          <w:rFonts w:ascii="宋体" w:hAnsi="宋体"/>
          <w:sz w:val="24"/>
          <w:highlight w:val="none"/>
        </w:rPr>
        <w:t>“</w:t>
      </w:r>
      <w:r>
        <w:rPr>
          <w:rFonts w:hint="eastAsia" w:ascii="宋体" w:hAnsi="宋体"/>
          <w:sz w:val="24"/>
          <w:highlight w:val="none"/>
        </w:rPr>
        <w:t>甲方</w:t>
      </w:r>
      <w:r>
        <w:rPr>
          <w:rFonts w:ascii="宋体" w:hAnsi="宋体"/>
          <w:sz w:val="24"/>
          <w:highlight w:val="none"/>
        </w:rPr>
        <w:t>”系指与</w:t>
      </w:r>
      <w:r>
        <w:rPr>
          <w:rFonts w:hint="eastAsia" w:ascii="宋体" w:hAnsi="宋体"/>
          <w:sz w:val="24"/>
          <w:highlight w:val="none"/>
        </w:rPr>
        <w:t>成交供应商</w:t>
      </w:r>
      <w:r>
        <w:rPr>
          <w:rFonts w:ascii="宋体" w:hAnsi="宋体"/>
          <w:sz w:val="24"/>
          <w:highlight w:val="none"/>
        </w:rPr>
        <w:t>签署合同的</w:t>
      </w:r>
      <w:bookmarkEnd w:id="160"/>
      <w:r>
        <w:rPr>
          <w:rFonts w:hint="eastAsia" w:ascii="宋体" w:hAnsi="宋体"/>
          <w:sz w:val="24"/>
          <w:highlight w:val="none"/>
        </w:rPr>
        <w:t>询比人；询比人委托采购代理机构代表其与乙方签订合同的，询比人的授权委托书作为合同附件。</w:t>
      </w:r>
    </w:p>
    <w:p w14:paraId="6B246C55">
      <w:pPr>
        <w:shd w:val="clear"/>
        <w:wordWrap w:val="0"/>
        <w:spacing w:line="440" w:lineRule="exact"/>
        <w:ind w:firstLine="435"/>
        <w:jc w:val="left"/>
        <w:rPr>
          <w:rFonts w:hint="eastAsia" w:ascii="宋体" w:hAnsi="宋体"/>
          <w:sz w:val="24"/>
          <w:highlight w:val="none"/>
        </w:rPr>
      </w:pPr>
      <w:bookmarkStart w:id="161" w:name="_Ref467379400"/>
      <w:r>
        <w:rPr>
          <w:rFonts w:hint="eastAsia" w:ascii="宋体" w:hAnsi="宋体"/>
          <w:sz w:val="24"/>
          <w:highlight w:val="none"/>
        </w:rPr>
        <w:t>2.</w:t>
      </w:r>
      <w:r>
        <w:rPr>
          <w:rFonts w:ascii="宋体" w:hAnsi="宋体"/>
          <w:sz w:val="24"/>
          <w:highlight w:val="none"/>
        </w:rPr>
        <w:t>1.</w:t>
      </w:r>
      <w:r>
        <w:rPr>
          <w:rFonts w:hint="eastAsia" w:ascii="宋体" w:hAnsi="宋体"/>
          <w:sz w:val="24"/>
          <w:highlight w:val="none"/>
        </w:rPr>
        <w:t>5</w:t>
      </w:r>
      <w:r>
        <w:rPr>
          <w:rFonts w:ascii="宋体" w:hAnsi="宋体"/>
          <w:sz w:val="24"/>
          <w:highlight w:val="none"/>
        </w:rPr>
        <w:t>“乙方”系指根据合同约定</w:t>
      </w:r>
      <w:r>
        <w:rPr>
          <w:rFonts w:hint="eastAsia" w:ascii="宋体" w:hAnsi="宋体"/>
          <w:sz w:val="24"/>
          <w:highlight w:val="none"/>
        </w:rPr>
        <w:t>提供服务</w:t>
      </w:r>
      <w:r>
        <w:rPr>
          <w:rFonts w:ascii="宋体" w:hAnsi="宋体"/>
          <w:sz w:val="24"/>
          <w:highlight w:val="none"/>
        </w:rPr>
        <w:t>的</w:t>
      </w:r>
      <w:bookmarkEnd w:id="161"/>
      <w:r>
        <w:rPr>
          <w:rFonts w:hint="eastAsia" w:ascii="宋体" w:hAnsi="宋体"/>
          <w:sz w:val="24"/>
          <w:highlight w:val="none"/>
        </w:rPr>
        <w:t>成交供应商；两个以上的自然人、法人或者其他组织组成一个联合体，以一个供应商的身份共同参加采购的，联合体各方均应为乙方或者与乙方相同地位的合同当事人，并就合同约定的事项对甲方承担连带责任。</w:t>
      </w:r>
    </w:p>
    <w:p w14:paraId="6F5CE5F9">
      <w:pPr>
        <w:shd w:val="clear"/>
        <w:wordWrap w:val="0"/>
        <w:spacing w:line="440" w:lineRule="exact"/>
        <w:ind w:firstLine="435"/>
        <w:jc w:val="left"/>
        <w:rPr>
          <w:rFonts w:hint="eastAsia" w:ascii="宋体" w:hAnsi="宋体"/>
          <w:sz w:val="24"/>
          <w:highlight w:val="none"/>
        </w:rPr>
      </w:pPr>
      <w:bookmarkStart w:id="162" w:name="_Ref467379436"/>
      <w:r>
        <w:rPr>
          <w:rFonts w:hint="eastAsia" w:ascii="宋体" w:hAnsi="宋体"/>
          <w:sz w:val="24"/>
          <w:highlight w:val="none"/>
        </w:rPr>
        <w:t>2.</w:t>
      </w:r>
      <w:r>
        <w:rPr>
          <w:rFonts w:ascii="宋体" w:hAnsi="宋体"/>
          <w:sz w:val="24"/>
          <w:highlight w:val="none"/>
        </w:rPr>
        <w:t>1.</w:t>
      </w:r>
      <w:r>
        <w:rPr>
          <w:rFonts w:hint="eastAsia" w:ascii="宋体" w:hAnsi="宋体"/>
          <w:sz w:val="24"/>
          <w:highlight w:val="none"/>
        </w:rPr>
        <w:t>6</w:t>
      </w:r>
      <w:r>
        <w:rPr>
          <w:rFonts w:ascii="宋体" w:hAnsi="宋体"/>
          <w:sz w:val="24"/>
          <w:highlight w:val="none"/>
        </w:rPr>
        <w:t>“现场”系指合同约定</w:t>
      </w:r>
      <w:r>
        <w:rPr>
          <w:rFonts w:hint="eastAsia" w:ascii="宋体" w:hAnsi="宋体"/>
          <w:sz w:val="24"/>
          <w:highlight w:val="none"/>
        </w:rPr>
        <w:t>提供服务</w:t>
      </w:r>
      <w:r>
        <w:rPr>
          <w:rFonts w:ascii="宋体" w:hAnsi="宋体"/>
          <w:sz w:val="24"/>
          <w:highlight w:val="none"/>
        </w:rPr>
        <w:t>的地点。</w:t>
      </w:r>
      <w:bookmarkEnd w:id="162"/>
    </w:p>
    <w:p w14:paraId="59EF6D47">
      <w:pPr>
        <w:shd w:val="clear"/>
        <w:wordWrap w:val="0"/>
        <w:spacing w:line="440" w:lineRule="exact"/>
        <w:ind w:firstLine="437"/>
        <w:jc w:val="left"/>
        <w:outlineLvl w:val="3"/>
        <w:rPr>
          <w:rFonts w:hint="eastAsia" w:ascii="宋体" w:hAnsi="宋体"/>
          <w:b/>
          <w:bCs/>
          <w:sz w:val="24"/>
          <w:highlight w:val="none"/>
          <w:lang w:val="zh-CN"/>
        </w:rPr>
      </w:pPr>
      <w:bookmarkStart w:id="163" w:name="_Toc13336"/>
      <w:bookmarkStart w:id="164" w:name="_Toc279701241"/>
      <w:bookmarkStart w:id="165" w:name="_Toc32504"/>
      <w:bookmarkStart w:id="166" w:name="_Toc259093670"/>
      <w:bookmarkStart w:id="167" w:name="_Toc487900350"/>
      <w:bookmarkStart w:id="168" w:name="_Toc27635"/>
      <w:r>
        <w:rPr>
          <w:rFonts w:hint="eastAsia" w:ascii="宋体" w:hAnsi="宋体"/>
          <w:b/>
          <w:bCs/>
          <w:sz w:val="24"/>
          <w:highlight w:val="none"/>
          <w:lang w:val="zh-CN"/>
        </w:rPr>
        <w:t>2.</w:t>
      </w:r>
      <w:r>
        <w:rPr>
          <w:rFonts w:ascii="宋体" w:hAnsi="宋体"/>
          <w:b/>
          <w:bCs/>
          <w:sz w:val="24"/>
          <w:highlight w:val="none"/>
          <w:lang w:val="zh-CN"/>
        </w:rPr>
        <w:t>2 技术规范</w:t>
      </w:r>
      <w:bookmarkEnd w:id="163"/>
      <w:bookmarkEnd w:id="164"/>
      <w:bookmarkEnd w:id="165"/>
      <w:bookmarkEnd w:id="166"/>
      <w:bookmarkEnd w:id="167"/>
      <w:bookmarkEnd w:id="168"/>
    </w:p>
    <w:p w14:paraId="51402551">
      <w:pPr>
        <w:shd w:val="clear"/>
        <w:wordWrap w:val="0"/>
        <w:spacing w:line="440" w:lineRule="exact"/>
        <w:ind w:firstLine="435"/>
        <w:jc w:val="left"/>
        <w:rPr>
          <w:rFonts w:hint="eastAsia" w:ascii="宋体" w:hAnsi="宋体"/>
          <w:sz w:val="24"/>
          <w:highlight w:val="none"/>
        </w:rPr>
      </w:pPr>
      <w:r>
        <w:rPr>
          <w:rFonts w:ascii="宋体" w:hAnsi="宋体"/>
          <w:sz w:val="24"/>
          <w:highlight w:val="none"/>
        </w:rPr>
        <w:t>货物所应遵守的技术规范应与</w:t>
      </w:r>
      <w:r>
        <w:rPr>
          <w:rFonts w:hint="eastAsia" w:ascii="宋体" w:hAnsi="宋体"/>
          <w:sz w:val="24"/>
          <w:highlight w:val="none"/>
        </w:rPr>
        <w:t>询比文件</w:t>
      </w:r>
      <w:r>
        <w:rPr>
          <w:rFonts w:ascii="宋体" w:hAnsi="宋体"/>
          <w:sz w:val="24"/>
          <w:highlight w:val="none"/>
        </w:rPr>
        <w:t>规定的技术规范和技术规范附件(如果有的话)及其技术规范偏差表(如果被甲方接受的话)相一致</w:t>
      </w:r>
      <w:r>
        <w:rPr>
          <w:rFonts w:hint="eastAsia" w:ascii="宋体" w:hAnsi="宋体"/>
          <w:sz w:val="24"/>
          <w:highlight w:val="none"/>
        </w:rPr>
        <w:t>；</w:t>
      </w:r>
      <w:r>
        <w:rPr>
          <w:rFonts w:ascii="宋体" w:hAnsi="宋体"/>
          <w:sz w:val="24"/>
          <w:highlight w:val="none"/>
        </w:rPr>
        <w:t>如果</w:t>
      </w:r>
      <w:r>
        <w:rPr>
          <w:rFonts w:hint="eastAsia" w:ascii="宋体" w:hAnsi="宋体"/>
          <w:sz w:val="24"/>
          <w:highlight w:val="none"/>
        </w:rPr>
        <w:t>询比文件</w:t>
      </w:r>
      <w:r>
        <w:rPr>
          <w:rFonts w:ascii="宋体" w:hAnsi="宋体"/>
          <w:sz w:val="24"/>
          <w:highlight w:val="none"/>
        </w:rPr>
        <w:t>中没有技术规范的相应说明，那么应以国家有关部门最新颁布的相应标准</w:t>
      </w:r>
      <w:r>
        <w:rPr>
          <w:rFonts w:hint="eastAsia" w:ascii="宋体" w:hAnsi="宋体"/>
          <w:sz w:val="24"/>
          <w:highlight w:val="none"/>
        </w:rPr>
        <w:t>和</w:t>
      </w:r>
      <w:r>
        <w:rPr>
          <w:rFonts w:ascii="宋体" w:hAnsi="宋体"/>
          <w:sz w:val="24"/>
          <w:highlight w:val="none"/>
        </w:rPr>
        <w:t>规范为准。</w:t>
      </w:r>
    </w:p>
    <w:p w14:paraId="24E47D2D">
      <w:pPr>
        <w:shd w:val="clear"/>
        <w:wordWrap w:val="0"/>
        <w:spacing w:line="440" w:lineRule="exact"/>
        <w:ind w:firstLine="437"/>
        <w:jc w:val="left"/>
        <w:outlineLvl w:val="3"/>
        <w:rPr>
          <w:rFonts w:hint="eastAsia" w:ascii="宋体" w:hAnsi="宋体"/>
          <w:b/>
          <w:bCs/>
          <w:sz w:val="24"/>
          <w:highlight w:val="none"/>
          <w:lang w:val="zh-CN"/>
        </w:rPr>
      </w:pPr>
      <w:bookmarkStart w:id="169" w:name="_Toc487900351"/>
      <w:bookmarkStart w:id="170" w:name="_Toc259093671"/>
      <w:bookmarkStart w:id="171" w:name="_Toc279701242"/>
      <w:bookmarkStart w:id="172" w:name="_Toc27853"/>
      <w:bookmarkStart w:id="173" w:name="_Toc31634"/>
      <w:bookmarkStart w:id="174" w:name="_Toc9829"/>
      <w:r>
        <w:rPr>
          <w:rFonts w:hint="eastAsia" w:ascii="宋体" w:hAnsi="宋体"/>
          <w:b/>
          <w:bCs/>
          <w:sz w:val="24"/>
          <w:highlight w:val="none"/>
          <w:lang w:val="zh-CN"/>
        </w:rPr>
        <w:t>2.</w:t>
      </w:r>
      <w:r>
        <w:rPr>
          <w:rFonts w:ascii="宋体" w:hAnsi="宋体"/>
          <w:b/>
          <w:bCs/>
          <w:sz w:val="24"/>
          <w:highlight w:val="none"/>
          <w:lang w:val="zh-CN"/>
        </w:rPr>
        <w:t>3 知识产权</w:t>
      </w:r>
      <w:bookmarkEnd w:id="169"/>
      <w:bookmarkEnd w:id="170"/>
      <w:bookmarkEnd w:id="171"/>
      <w:bookmarkEnd w:id="172"/>
      <w:bookmarkEnd w:id="173"/>
      <w:bookmarkEnd w:id="174"/>
    </w:p>
    <w:p w14:paraId="6CA2FEA3">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2.3.1乙</w:t>
      </w:r>
      <w:r>
        <w:rPr>
          <w:rFonts w:ascii="宋体" w:hAnsi="宋体"/>
          <w:sz w:val="24"/>
          <w:highlight w:val="none"/>
        </w:rPr>
        <w:t>方应保证</w:t>
      </w:r>
      <w:r>
        <w:rPr>
          <w:rFonts w:hint="eastAsia" w:ascii="宋体" w:hAnsi="宋体"/>
          <w:sz w:val="24"/>
          <w:highlight w:val="none"/>
        </w:rPr>
        <w:t>其提供的服务</w:t>
      </w:r>
      <w:r>
        <w:rPr>
          <w:rFonts w:ascii="宋体" w:hAnsi="宋体"/>
          <w:sz w:val="24"/>
          <w:highlight w:val="none"/>
        </w:rPr>
        <w:t>不受任何第三方提出的侵犯其著作权、商标权、专利权等知识产权方面的起诉</w:t>
      </w:r>
      <w:r>
        <w:rPr>
          <w:rFonts w:hint="eastAsia" w:ascii="宋体" w:hAnsi="宋体"/>
          <w:sz w:val="24"/>
          <w:highlight w:val="none"/>
        </w:rPr>
        <w:t>；</w:t>
      </w:r>
      <w:r>
        <w:rPr>
          <w:rFonts w:ascii="宋体" w:hAnsi="宋体"/>
          <w:sz w:val="24"/>
          <w:highlight w:val="none"/>
        </w:rPr>
        <w:t>如果任何第三方提出侵权</w:t>
      </w:r>
      <w:r>
        <w:rPr>
          <w:rFonts w:hint="eastAsia" w:ascii="宋体" w:hAnsi="宋体"/>
          <w:sz w:val="24"/>
          <w:highlight w:val="none"/>
        </w:rPr>
        <w:t>指控</w:t>
      </w:r>
      <w:r>
        <w:rPr>
          <w:rFonts w:ascii="宋体" w:hAnsi="宋体"/>
          <w:sz w:val="24"/>
          <w:highlight w:val="none"/>
        </w:rPr>
        <w:t>，那么乙方须与该第三方交涉并承担由此发生的一切责任、费用和赔偿</w:t>
      </w:r>
      <w:r>
        <w:rPr>
          <w:rFonts w:hint="eastAsia" w:ascii="宋体" w:hAnsi="宋体"/>
          <w:sz w:val="24"/>
          <w:highlight w:val="none"/>
        </w:rPr>
        <w:t>；</w:t>
      </w:r>
    </w:p>
    <w:p w14:paraId="440FA482">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2.3.2具有知识产权的计算机软件等货物的知识产权归属，</w:t>
      </w:r>
      <w:r>
        <w:rPr>
          <w:rFonts w:ascii="宋体" w:hAnsi="宋体"/>
          <w:sz w:val="24"/>
          <w:highlight w:val="none"/>
        </w:rPr>
        <w:t>详见</w:t>
      </w:r>
      <w:r>
        <w:rPr>
          <w:rFonts w:ascii="宋体" w:hAnsi="宋体"/>
          <w:b/>
          <w:i/>
          <w:sz w:val="24"/>
          <w:highlight w:val="none"/>
          <w:u w:val="single"/>
        </w:rPr>
        <w:t>合同专用条款</w:t>
      </w:r>
      <w:r>
        <w:rPr>
          <w:rFonts w:ascii="宋体" w:hAnsi="宋体"/>
          <w:sz w:val="24"/>
          <w:highlight w:val="none"/>
        </w:rPr>
        <w:t>。</w:t>
      </w:r>
    </w:p>
    <w:p w14:paraId="2726DB48">
      <w:pPr>
        <w:shd w:val="clear"/>
        <w:wordWrap w:val="0"/>
        <w:spacing w:line="440" w:lineRule="exact"/>
        <w:ind w:firstLine="437"/>
        <w:jc w:val="left"/>
        <w:outlineLvl w:val="3"/>
        <w:rPr>
          <w:rFonts w:hint="eastAsia" w:ascii="宋体" w:hAnsi="宋体"/>
          <w:b/>
          <w:bCs/>
          <w:sz w:val="24"/>
          <w:highlight w:val="none"/>
          <w:lang w:val="zh-CN"/>
        </w:rPr>
      </w:pPr>
      <w:bookmarkStart w:id="175" w:name="_Toc487900354"/>
      <w:bookmarkStart w:id="176" w:name="_Ref467378541"/>
      <w:bookmarkStart w:id="177" w:name="_Toc259093674"/>
      <w:bookmarkStart w:id="178" w:name="_Ref467379542"/>
      <w:bookmarkStart w:id="179" w:name="_Ref467379527"/>
      <w:bookmarkStart w:id="180" w:name="_Ref467379536"/>
      <w:bookmarkStart w:id="181" w:name="_Toc279701245"/>
      <w:bookmarkStart w:id="182" w:name="_Ref467378591"/>
      <w:bookmarkStart w:id="183" w:name="_Toc19074"/>
      <w:bookmarkStart w:id="184" w:name="_Toc26182"/>
      <w:bookmarkStart w:id="185" w:name="_Toc30272"/>
      <w:r>
        <w:rPr>
          <w:rFonts w:hint="eastAsia" w:ascii="宋体" w:hAnsi="宋体"/>
          <w:b/>
          <w:bCs/>
          <w:sz w:val="24"/>
          <w:highlight w:val="none"/>
          <w:lang w:val="zh-CN"/>
        </w:rPr>
        <w:t>2.</w:t>
      </w:r>
      <w:bookmarkEnd w:id="175"/>
      <w:bookmarkEnd w:id="176"/>
      <w:bookmarkEnd w:id="177"/>
      <w:bookmarkEnd w:id="178"/>
      <w:bookmarkEnd w:id="179"/>
      <w:bookmarkEnd w:id="180"/>
      <w:bookmarkEnd w:id="181"/>
      <w:bookmarkEnd w:id="182"/>
      <w:r>
        <w:rPr>
          <w:rFonts w:ascii="宋体" w:hAnsi="宋体"/>
          <w:b/>
          <w:bCs/>
          <w:sz w:val="24"/>
          <w:highlight w:val="none"/>
          <w:lang w:val="zh-CN"/>
        </w:rPr>
        <w:t xml:space="preserve">4 </w:t>
      </w:r>
      <w:r>
        <w:rPr>
          <w:rFonts w:hint="eastAsia" w:ascii="宋体" w:hAnsi="宋体"/>
          <w:b/>
          <w:bCs/>
          <w:sz w:val="24"/>
          <w:highlight w:val="none"/>
          <w:lang w:val="zh-CN"/>
        </w:rPr>
        <w:t>履约检查和问题反馈</w:t>
      </w:r>
      <w:bookmarkEnd w:id="183"/>
      <w:bookmarkEnd w:id="184"/>
      <w:bookmarkEnd w:id="185"/>
    </w:p>
    <w:p w14:paraId="18B71AA5">
      <w:pPr>
        <w:shd w:val="clear"/>
        <w:wordWrap w:val="0"/>
        <w:spacing w:line="440" w:lineRule="exact"/>
        <w:ind w:firstLine="435"/>
        <w:jc w:val="left"/>
        <w:rPr>
          <w:rFonts w:hint="eastAsia" w:ascii="宋体" w:hAnsi="宋体"/>
          <w:sz w:val="24"/>
          <w:highlight w:val="none"/>
        </w:rPr>
      </w:pPr>
      <w:bookmarkStart w:id="186" w:name="_Toc186431854"/>
      <w:bookmarkStart w:id="187" w:name="_Ref467379807"/>
      <w:bookmarkStart w:id="188" w:name="_Toc279701247"/>
      <w:bookmarkStart w:id="189" w:name="_Ref467379793"/>
      <w:bookmarkStart w:id="190" w:name="_Toc487900357"/>
      <w:bookmarkStart w:id="191" w:name="_Toc259093676"/>
      <w:r>
        <w:rPr>
          <w:rFonts w:hint="eastAsia" w:ascii="宋体" w:hAnsi="宋体"/>
          <w:sz w:val="24"/>
          <w:highlight w:val="none"/>
        </w:rPr>
        <w:t>2.4</w:t>
      </w:r>
      <w:r>
        <w:rPr>
          <w:rFonts w:ascii="宋体" w:hAnsi="宋体"/>
          <w:sz w:val="24"/>
          <w:highlight w:val="none"/>
        </w:rPr>
        <w:t>.1甲方</w:t>
      </w:r>
      <w:r>
        <w:rPr>
          <w:rFonts w:hint="eastAsia" w:ascii="宋体" w:hAnsi="宋体"/>
          <w:sz w:val="24"/>
          <w:highlight w:val="none"/>
        </w:rPr>
        <w:t>有权</w:t>
      </w:r>
      <w:r>
        <w:rPr>
          <w:rFonts w:ascii="宋体" w:hAnsi="宋体"/>
          <w:sz w:val="24"/>
          <w:highlight w:val="none"/>
        </w:rPr>
        <w:t>在其认为必要时</w:t>
      </w:r>
      <w:r>
        <w:rPr>
          <w:rFonts w:hint="eastAsia" w:ascii="宋体" w:hAnsi="宋体"/>
          <w:sz w:val="24"/>
          <w:highlight w:val="none"/>
        </w:rPr>
        <w:t>，对乙方是否能够按照合同约定提供服务进行履约检查，以确保乙方所提供的服务能够依约满足甲方项目需求，但不得因履约检查妨碍乙方的正常工作，乙方应予积极配合；</w:t>
      </w:r>
    </w:p>
    <w:p w14:paraId="4385FC57">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4</w:t>
      </w:r>
      <w:r>
        <w:rPr>
          <w:rFonts w:hint="eastAsia" w:ascii="宋体" w:hAnsi="宋体"/>
          <w:sz w:val="24"/>
          <w:highlight w:val="none"/>
        </w:rPr>
        <w:t>.2合同履行期间，甲方有权将履行过程中出现的问题反馈给乙方，双方当事人应以书面形式约定需要完善和改进的内容</w:t>
      </w:r>
      <w:bookmarkEnd w:id="186"/>
      <w:bookmarkStart w:id="192" w:name="_Toc186431855"/>
      <w:r>
        <w:rPr>
          <w:rFonts w:hint="eastAsia" w:ascii="宋体" w:hAnsi="宋体"/>
          <w:sz w:val="24"/>
          <w:highlight w:val="none"/>
        </w:rPr>
        <w:t>。</w:t>
      </w:r>
    </w:p>
    <w:bookmarkEnd w:id="192"/>
    <w:p w14:paraId="062E6BA1">
      <w:pPr>
        <w:shd w:val="clear"/>
        <w:wordWrap w:val="0"/>
        <w:spacing w:line="440" w:lineRule="exact"/>
        <w:ind w:firstLine="437"/>
        <w:jc w:val="left"/>
        <w:outlineLvl w:val="3"/>
        <w:rPr>
          <w:rFonts w:hint="eastAsia" w:ascii="宋体" w:hAnsi="宋体"/>
          <w:b/>
          <w:bCs/>
          <w:sz w:val="24"/>
          <w:highlight w:val="none"/>
          <w:lang w:val="zh-CN"/>
        </w:rPr>
      </w:pPr>
      <w:bookmarkStart w:id="193" w:name="_Toc19219"/>
      <w:bookmarkStart w:id="194" w:name="_Toc7836"/>
      <w:bookmarkStart w:id="195" w:name="_Toc28451"/>
      <w:r>
        <w:rPr>
          <w:rFonts w:hint="eastAsia" w:ascii="宋体" w:hAnsi="宋体"/>
          <w:b/>
          <w:bCs/>
          <w:sz w:val="24"/>
          <w:highlight w:val="none"/>
          <w:lang w:val="zh-CN"/>
        </w:rPr>
        <w:t>2.</w:t>
      </w:r>
      <w:r>
        <w:rPr>
          <w:rFonts w:ascii="宋体" w:hAnsi="宋体"/>
          <w:b/>
          <w:bCs/>
          <w:sz w:val="24"/>
          <w:highlight w:val="none"/>
          <w:lang w:val="zh-CN"/>
        </w:rPr>
        <w:t>5</w:t>
      </w:r>
      <w:r>
        <w:rPr>
          <w:rFonts w:hint="eastAsia" w:ascii="宋体" w:hAnsi="宋体"/>
          <w:b/>
          <w:bCs/>
          <w:sz w:val="24"/>
          <w:highlight w:val="none"/>
          <w:lang w:val="zh-CN"/>
        </w:rPr>
        <w:t xml:space="preserve"> </w:t>
      </w:r>
      <w:r>
        <w:rPr>
          <w:rFonts w:ascii="宋体" w:hAnsi="宋体"/>
          <w:b/>
          <w:bCs/>
          <w:sz w:val="24"/>
          <w:highlight w:val="none"/>
          <w:lang w:val="zh-CN"/>
        </w:rPr>
        <w:t>结算方式和付款条件</w:t>
      </w:r>
      <w:bookmarkEnd w:id="187"/>
      <w:bookmarkEnd w:id="188"/>
      <w:bookmarkEnd w:id="189"/>
      <w:bookmarkEnd w:id="190"/>
      <w:bookmarkEnd w:id="191"/>
      <w:bookmarkEnd w:id="193"/>
      <w:bookmarkEnd w:id="194"/>
      <w:bookmarkEnd w:id="195"/>
    </w:p>
    <w:p w14:paraId="3DE3A0AF">
      <w:pPr>
        <w:shd w:val="clear"/>
        <w:wordWrap w:val="0"/>
        <w:spacing w:line="440" w:lineRule="exact"/>
        <w:ind w:firstLine="435"/>
        <w:jc w:val="left"/>
        <w:rPr>
          <w:rFonts w:hint="eastAsia" w:ascii="宋体" w:hAnsi="宋体"/>
          <w:sz w:val="24"/>
          <w:highlight w:val="none"/>
        </w:rPr>
      </w:pPr>
      <w:r>
        <w:rPr>
          <w:rFonts w:ascii="宋体" w:hAnsi="宋体"/>
          <w:sz w:val="24"/>
          <w:highlight w:val="none"/>
        </w:rPr>
        <w:t>详见</w:t>
      </w:r>
      <w:r>
        <w:rPr>
          <w:rFonts w:ascii="宋体" w:hAnsi="宋体"/>
          <w:b/>
          <w:i/>
          <w:sz w:val="24"/>
          <w:highlight w:val="none"/>
          <w:u w:val="single"/>
        </w:rPr>
        <w:t>合同专用条款</w:t>
      </w:r>
      <w:r>
        <w:rPr>
          <w:rFonts w:ascii="宋体" w:hAnsi="宋体"/>
          <w:sz w:val="24"/>
          <w:highlight w:val="none"/>
        </w:rPr>
        <w:t>。</w:t>
      </w:r>
    </w:p>
    <w:p w14:paraId="60981EF5">
      <w:pPr>
        <w:shd w:val="clear"/>
        <w:wordWrap w:val="0"/>
        <w:spacing w:line="440" w:lineRule="exact"/>
        <w:ind w:firstLine="437"/>
        <w:jc w:val="left"/>
        <w:outlineLvl w:val="3"/>
        <w:rPr>
          <w:rFonts w:hint="eastAsia" w:ascii="宋体" w:hAnsi="宋体"/>
          <w:b/>
          <w:bCs/>
          <w:sz w:val="24"/>
          <w:highlight w:val="none"/>
          <w:lang w:val="zh-CN"/>
        </w:rPr>
      </w:pPr>
      <w:bookmarkStart w:id="196" w:name="_Toc279701248"/>
      <w:bookmarkStart w:id="197" w:name="_Toc259093677"/>
      <w:bookmarkStart w:id="198" w:name="_Ref467379863"/>
      <w:bookmarkStart w:id="199" w:name="_Ref467379923"/>
      <w:bookmarkStart w:id="200" w:name="_Toc487900358"/>
      <w:bookmarkStart w:id="201" w:name="_Ref467379852"/>
      <w:bookmarkStart w:id="202" w:name="_Toc16110"/>
      <w:bookmarkStart w:id="203" w:name="_Toc774"/>
      <w:bookmarkStart w:id="204" w:name="_Toc3225"/>
      <w:r>
        <w:rPr>
          <w:rFonts w:hint="eastAsia" w:ascii="宋体" w:hAnsi="宋体"/>
          <w:b/>
          <w:bCs/>
          <w:sz w:val="24"/>
          <w:highlight w:val="none"/>
          <w:lang w:val="zh-CN"/>
        </w:rPr>
        <w:t>2.</w:t>
      </w:r>
      <w:r>
        <w:rPr>
          <w:rFonts w:ascii="宋体" w:hAnsi="宋体"/>
          <w:b/>
          <w:bCs/>
          <w:sz w:val="24"/>
          <w:highlight w:val="none"/>
          <w:lang w:val="zh-CN"/>
        </w:rPr>
        <w:t>6</w:t>
      </w:r>
      <w:r>
        <w:rPr>
          <w:rFonts w:hint="eastAsia" w:ascii="宋体" w:hAnsi="宋体"/>
          <w:b/>
          <w:bCs/>
          <w:sz w:val="24"/>
          <w:highlight w:val="none"/>
          <w:lang w:val="zh-CN"/>
        </w:rPr>
        <w:t xml:space="preserve"> </w:t>
      </w:r>
      <w:r>
        <w:rPr>
          <w:rFonts w:ascii="宋体" w:hAnsi="宋体"/>
          <w:b/>
          <w:bCs/>
          <w:sz w:val="24"/>
          <w:highlight w:val="none"/>
          <w:lang w:val="zh-CN"/>
        </w:rPr>
        <w:t>技术资料</w:t>
      </w:r>
      <w:bookmarkEnd w:id="196"/>
      <w:bookmarkEnd w:id="197"/>
      <w:bookmarkEnd w:id="198"/>
      <w:bookmarkEnd w:id="199"/>
      <w:bookmarkEnd w:id="200"/>
      <w:bookmarkEnd w:id="201"/>
      <w:r>
        <w:rPr>
          <w:rFonts w:ascii="宋体" w:hAnsi="宋体"/>
          <w:b/>
          <w:bCs/>
          <w:sz w:val="24"/>
          <w:highlight w:val="none"/>
          <w:lang w:val="zh-CN"/>
        </w:rPr>
        <w:t>和保密义务</w:t>
      </w:r>
      <w:bookmarkEnd w:id="202"/>
      <w:bookmarkEnd w:id="203"/>
      <w:bookmarkEnd w:id="204"/>
    </w:p>
    <w:p w14:paraId="46E87E7C">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6.1</w:t>
      </w:r>
      <w:r>
        <w:rPr>
          <w:rFonts w:hint="eastAsia" w:ascii="宋体" w:hAnsi="宋体"/>
          <w:sz w:val="24"/>
          <w:highlight w:val="none"/>
        </w:rPr>
        <w:t>乙方有权依据合同约定和项目需要，向甲方了解有关情况，调阅有关资料等，甲方应予积极配合；</w:t>
      </w:r>
    </w:p>
    <w:p w14:paraId="604940F3">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6</w:t>
      </w:r>
      <w:r>
        <w:rPr>
          <w:rFonts w:hint="eastAsia" w:ascii="宋体" w:hAnsi="宋体"/>
          <w:sz w:val="24"/>
          <w:highlight w:val="none"/>
        </w:rPr>
        <w:t>.2乙方有义务妥善保管和保护由甲方提供的前款信息和资料等；</w:t>
      </w:r>
    </w:p>
    <w:p w14:paraId="754D8550">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6.</w:t>
      </w:r>
      <w:r>
        <w:rPr>
          <w:rFonts w:hint="eastAsia" w:ascii="宋体" w:hAnsi="宋体"/>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sz w:val="24"/>
          <w:highlight w:val="none"/>
        </w:rPr>
        <w:t>技术情报</w:t>
      </w:r>
      <w:r>
        <w:rPr>
          <w:rFonts w:hint="eastAsia" w:ascii="宋体" w:hAnsi="宋体"/>
          <w:sz w:val="24"/>
          <w:highlight w:val="none"/>
        </w:rPr>
        <w:t>、</w:t>
      </w:r>
      <w:r>
        <w:rPr>
          <w:rFonts w:ascii="宋体" w:hAnsi="宋体"/>
          <w:sz w:val="24"/>
          <w:highlight w:val="none"/>
        </w:rPr>
        <w:t>技术资料</w:t>
      </w:r>
      <w:r>
        <w:rPr>
          <w:rFonts w:hint="eastAsia" w:ascii="宋体" w:hAnsi="宋体"/>
          <w:sz w:val="24"/>
          <w:highlight w:val="none"/>
        </w:rPr>
        <w:t>、商业秘密和商业信息等，并采取一切合理和必要措施和方式防止任何第三方接触到对方当事人的上述保密信息和资料。</w:t>
      </w:r>
    </w:p>
    <w:p w14:paraId="3A004280">
      <w:pPr>
        <w:shd w:val="clear"/>
        <w:wordWrap w:val="0"/>
        <w:spacing w:line="440" w:lineRule="exact"/>
        <w:ind w:firstLine="437"/>
        <w:jc w:val="left"/>
        <w:outlineLvl w:val="3"/>
        <w:rPr>
          <w:rFonts w:hint="eastAsia" w:ascii="宋体" w:hAnsi="宋体"/>
          <w:b/>
          <w:bCs/>
          <w:sz w:val="24"/>
          <w:highlight w:val="none"/>
          <w:lang w:val="zh-CN"/>
        </w:rPr>
      </w:pPr>
      <w:bookmarkStart w:id="205" w:name="_Toc7860"/>
      <w:r>
        <w:rPr>
          <w:rFonts w:ascii="宋体" w:hAnsi="宋体"/>
          <w:b/>
          <w:bCs/>
          <w:sz w:val="24"/>
          <w:highlight w:val="none"/>
          <w:lang w:val="zh-CN"/>
        </w:rPr>
        <w:t>2.7 质量保证</w:t>
      </w:r>
      <w:bookmarkEnd w:id="205"/>
    </w:p>
    <w:p w14:paraId="37040CD4">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7</w:t>
      </w:r>
      <w:r>
        <w:rPr>
          <w:rFonts w:hint="eastAsia" w:ascii="宋体" w:hAnsi="宋体"/>
          <w:sz w:val="24"/>
          <w:highlight w:val="none"/>
        </w:rPr>
        <w:t>.1乙方应建立和完善履行合同的内部质量保证体系，并提供相关内部规章制度给甲方，以便甲方进行监督检查；</w:t>
      </w:r>
    </w:p>
    <w:p w14:paraId="316D032C">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7</w:t>
      </w:r>
      <w:r>
        <w:rPr>
          <w:rFonts w:hint="eastAsia" w:ascii="宋体" w:hAnsi="宋体"/>
          <w:sz w:val="24"/>
          <w:highlight w:val="none"/>
        </w:rPr>
        <w:t>.2乙方应保证履行合同的人员数量和素质、软件和硬件设备的配置、场地、环境和设施等满足全面履行合同的要求，并应接受甲方的监督检查。</w:t>
      </w:r>
    </w:p>
    <w:p w14:paraId="3E1F86E0">
      <w:pPr>
        <w:shd w:val="clear"/>
        <w:wordWrap w:val="0"/>
        <w:spacing w:line="440" w:lineRule="exact"/>
        <w:ind w:firstLine="437"/>
        <w:jc w:val="left"/>
        <w:outlineLvl w:val="3"/>
        <w:rPr>
          <w:rFonts w:hint="eastAsia" w:ascii="宋体" w:hAnsi="宋体"/>
          <w:b/>
          <w:sz w:val="24"/>
          <w:highlight w:val="none"/>
        </w:rPr>
      </w:pPr>
      <w:bookmarkStart w:id="206" w:name="_Toc22267"/>
      <w:r>
        <w:rPr>
          <w:rFonts w:hint="eastAsia" w:ascii="宋体" w:hAnsi="宋体"/>
          <w:b/>
          <w:sz w:val="24"/>
          <w:highlight w:val="none"/>
        </w:rPr>
        <w:t>2.8 延迟履行</w:t>
      </w:r>
      <w:bookmarkEnd w:id="206"/>
    </w:p>
    <w:p w14:paraId="5A861BAF">
      <w:pPr>
        <w:shd w:val="clear"/>
        <w:wordWrap w:val="0"/>
        <w:spacing w:line="440" w:lineRule="exact"/>
        <w:ind w:firstLine="435"/>
        <w:jc w:val="left"/>
        <w:rPr>
          <w:rFonts w:hint="eastAsia" w:ascii="宋体" w:hAnsi="宋体"/>
          <w:sz w:val="24"/>
          <w:highlight w:val="none"/>
        </w:rPr>
      </w:pPr>
      <w:r>
        <w:rPr>
          <w:rFonts w:ascii="宋体" w:hAnsi="宋体"/>
          <w:sz w:val="24"/>
          <w:highlight w:val="none"/>
        </w:rPr>
        <w:t>在合同履行过程中，如果乙方遇到不能按时</w:t>
      </w:r>
      <w:r>
        <w:rPr>
          <w:rFonts w:hint="eastAsia" w:ascii="宋体" w:hAnsi="宋体"/>
          <w:sz w:val="24"/>
          <w:highlight w:val="none"/>
        </w:rPr>
        <w:t>提供服务</w:t>
      </w:r>
      <w:r>
        <w:rPr>
          <w:rFonts w:ascii="宋体" w:hAnsi="宋体"/>
          <w:sz w:val="24"/>
          <w:highlight w:val="none"/>
        </w:rPr>
        <w:t>的情况，应及时以书面形式将不能按时</w:t>
      </w:r>
      <w:r>
        <w:rPr>
          <w:rFonts w:hint="eastAsia" w:ascii="宋体" w:hAnsi="宋体"/>
          <w:sz w:val="24"/>
          <w:highlight w:val="none"/>
        </w:rPr>
        <w:t>提供服务</w:t>
      </w:r>
      <w:r>
        <w:rPr>
          <w:rFonts w:ascii="宋体" w:hAnsi="宋体"/>
          <w:sz w:val="24"/>
          <w:highlight w:val="none"/>
        </w:rPr>
        <w:t>的理由、预期延误时间通知甲方</w:t>
      </w:r>
      <w:r>
        <w:rPr>
          <w:rFonts w:hint="eastAsia" w:ascii="宋体" w:hAnsi="宋体"/>
          <w:sz w:val="24"/>
          <w:highlight w:val="none"/>
        </w:rPr>
        <w:t>；甲</w:t>
      </w:r>
      <w:r>
        <w:rPr>
          <w:rFonts w:ascii="宋体" w:hAnsi="宋体"/>
          <w:sz w:val="24"/>
          <w:highlight w:val="none"/>
        </w:rPr>
        <w:t>方收到乙方通知后，认为其理由正当的，可以书面形式酌情同意乙方可以延长</w:t>
      </w:r>
      <w:r>
        <w:rPr>
          <w:rFonts w:hint="eastAsia" w:ascii="宋体" w:hAnsi="宋体"/>
          <w:sz w:val="24"/>
          <w:highlight w:val="none"/>
        </w:rPr>
        <w:t>履行</w:t>
      </w:r>
      <w:r>
        <w:rPr>
          <w:rFonts w:ascii="宋体" w:hAnsi="宋体"/>
          <w:sz w:val="24"/>
          <w:highlight w:val="none"/>
        </w:rPr>
        <w:t>的具体时间。</w:t>
      </w:r>
    </w:p>
    <w:p w14:paraId="65E10062">
      <w:pPr>
        <w:shd w:val="clear"/>
        <w:wordWrap w:val="0"/>
        <w:spacing w:line="440" w:lineRule="exact"/>
        <w:ind w:firstLine="437"/>
        <w:jc w:val="left"/>
        <w:outlineLvl w:val="3"/>
        <w:rPr>
          <w:rFonts w:hint="eastAsia" w:ascii="宋体" w:hAnsi="宋体"/>
          <w:b/>
          <w:bCs/>
          <w:sz w:val="24"/>
          <w:highlight w:val="none"/>
          <w:lang w:val="zh-CN"/>
        </w:rPr>
      </w:pPr>
      <w:bookmarkStart w:id="207" w:name="_Toc7502"/>
      <w:bookmarkStart w:id="208" w:name="_Toc487900364"/>
      <w:bookmarkStart w:id="209" w:name="_Toc279701254"/>
      <w:bookmarkStart w:id="210" w:name="_Toc259093683"/>
      <w:bookmarkStart w:id="211" w:name="_Ref467378121"/>
      <w:r>
        <w:rPr>
          <w:rFonts w:ascii="宋体" w:hAnsi="宋体"/>
          <w:b/>
          <w:bCs/>
          <w:sz w:val="24"/>
          <w:highlight w:val="none"/>
          <w:lang w:val="zh-CN"/>
        </w:rPr>
        <w:t>2.9 合同变更</w:t>
      </w:r>
      <w:bookmarkEnd w:id="207"/>
    </w:p>
    <w:p w14:paraId="03D89A74">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9</w:t>
      </w:r>
      <w:r>
        <w:rPr>
          <w:rFonts w:hint="eastAsia" w:ascii="宋体" w:hAnsi="宋体"/>
          <w:sz w:val="24"/>
          <w:highlight w:val="none"/>
        </w:rPr>
        <w:t>.1双方当事人协商一致，可以签订书面补充合同的形式变更合同，但不得违背询比文件确定的事项；</w:t>
      </w:r>
    </w:p>
    <w:p w14:paraId="27AA085E">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9</w:t>
      </w:r>
      <w:r>
        <w:rPr>
          <w:rFonts w:hint="eastAsia" w:ascii="宋体" w:hAnsi="宋体"/>
          <w:sz w:val="24"/>
          <w:highlight w:val="none"/>
        </w:rPr>
        <w:t>.2合同继续履行将损害国家利益和社会公共利益的，双方当事人应当以书面形式变更合同。有过错的一方应当承担赔偿责任，双方当事人都有过错的，各自承担相应的责任。</w:t>
      </w:r>
      <w:bookmarkStart w:id="212" w:name="_Toc487900369"/>
      <w:bookmarkStart w:id="213" w:name="_Toc279701259"/>
      <w:bookmarkStart w:id="214" w:name="_Toc259093688"/>
    </w:p>
    <w:p w14:paraId="410FC8C7">
      <w:pPr>
        <w:shd w:val="clear"/>
        <w:wordWrap w:val="0"/>
        <w:spacing w:line="440" w:lineRule="exact"/>
        <w:ind w:firstLine="437"/>
        <w:jc w:val="left"/>
        <w:outlineLvl w:val="3"/>
        <w:rPr>
          <w:rFonts w:hint="eastAsia" w:ascii="宋体" w:hAnsi="宋体"/>
          <w:b/>
          <w:bCs/>
          <w:sz w:val="24"/>
          <w:highlight w:val="none"/>
          <w:lang w:val="zh-CN"/>
        </w:rPr>
      </w:pPr>
      <w:bookmarkStart w:id="215" w:name="_Toc22955"/>
      <w:bookmarkStart w:id="216" w:name="_Toc10366"/>
      <w:bookmarkStart w:id="217" w:name="_Toc15237"/>
      <w:r>
        <w:rPr>
          <w:rFonts w:hint="eastAsia" w:ascii="宋体" w:hAnsi="宋体"/>
          <w:b/>
          <w:bCs/>
          <w:sz w:val="24"/>
          <w:highlight w:val="none"/>
          <w:lang w:val="zh-CN"/>
        </w:rPr>
        <w:t>2.1</w:t>
      </w:r>
      <w:r>
        <w:rPr>
          <w:rFonts w:ascii="宋体" w:hAnsi="宋体"/>
          <w:b/>
          <w:bCs/>
          <w:sz w:val="24"/>
          <w:highlight w:val="none"/>
          <w:lang w:val="zh-CN"/>
        </w:rPr>
        <w:t>0</w:t>
      </w:r>
      <w:r>
        <w:rPr>
          <w:rFonts w:hint="eastAsia" w:ascii="宋体" w:hAnsi="宋体"/>
          <w:b/>
          <w:bCs/>
          <w:sz w:val="24"/>
          <w:highlight w:val="none"/>
          <w:lang w:val="zh-CN"/>
        </w:rPr>
        <w:t xml:space="preserve"> </w:t>
      </w:r>
      <w:r>
        <w:rPr>
          <w:rFonts w:ascii="宋体" w:hAnsi="宋体"/>
          <w:b/>
          <w:bCs/>
          <w:sz w:val="24"/>
          <w:highlight w:val="none"/>
          <w:lang w:val="zh-CN"/>
        </w:rPr>
        <w:t>合同转让</w:t>
      </w:r>
      <w:bookmarkEnd w:id="212"/>
      <w:bookmarkEnd w:id="213"/>
      <w:bookmarkEnd w:id="214"/>
      <w:r>
        <w:rPr>
          <w:rFonts w:ascii="宋体" w:hAnsi="宋体"/>
          <w:b/>
          <w:bCs/>
          <w:sz w:val="24"/>
          <w:highlight w:val="none"/>
          <w:lang w:val="zh-CN"/>
        </w:rPr>
        <w:t>和分包</w:t>
      </w:r>
      <w:bookmarkEnd w:id="215"/>
      <w:bookmarkEnd w:id="216"/>
      <w:bookmarkEnd w:id="217"/>
    </w:p>
    <w:p w14:paraId="159650D7">
      <w:pPr>
        <w:shd w:val="clear"/>
        <w:wordWrap w:val="0"/>
        <w:spacing w:line="440" w:lineRule="exact"/>
        <w:ind w:firstLine="435"/>
        <w:jc w:val="left"/>
        <w:rPr>
          <w:rFonts w:hint="eastAsia" w:ascii="宋体" w:hAnsi="宋体"/>
          <w:sz w:val="24"/>
          <w:highlight w:val="none"/>
        </w:rPr>
      </w:pPr>
      <w:r>
        <w:rPr>
          <w:rFonts w:ascii="宋体" w:hAnsi="宋体"/>
          <w:sz w:val="24"/>
          <w:highlight w:val="none"/>
        </w:rPr>
        <w:t>合同的权利义务依法不</w:t>
      </w:r>
      <w:r>
        <w:rPr>
          <w:rFonts w:hint="eastAsia" w:ascii="宋体" w:hAnsi="宋体"/>
          <w:sz w:val="24"/>
          <w:highlight w:val="none"/>
        </w:rPr>
        <w:t>得</w:t>
      </w:r>
      <w:r>
        <w:rPr>
          <w:rFonts w:ascii="宋体" w:hAnsi="宋体"/>
          <w:sz w:val="24"/>
          <w:highlight w:val="none"/>
        </w:rPr>
        <w:t>转让</w:t>
      </w:r>
      <w:r>
        <w:rPr>
          <w:rFonts w:hint="eastAsia" w:ascii="宋体" w:hAnsi="宋体"/>
          <w:sz w:val="24"/>
          <w:highlight w:val="none"/>
        </w:rPr>
        <w:t>，</w:t>
      </w:r>
      <w:r>
        <w:rPr>
          <w:rFonts w:ascii="宋体" w:hAnsi="宋体"/>
          <w:sz w:val="24"/>
          <w:highlight w:val="none"/>
        </w:rPr>
        <w:t>但经甲方</w:t>
      </w:r>
      <w:r>
        <w:rPr>
          <w:rFonts w:hint="eastAsia" w:ascii="宋体" w:hAnsi="宋体"/>
          <w:sz w:val="24"/>
          <w:highlight w:val="none"/>
        </w:rPr>
        <w:t>同意，乙方可以依法采取分包方式履行合同，即：依法可以</w:t>
      </w:r>
      <w:r>
        <w:rPr>
          <w:rFonts w:ascii="宋体" w:hAnsi="宋体"/>
          <w:sz w:val="24"/>
          <w:highlight w:val="none"/>
        </w:rPr>
        <w:t>将合同项下的部分非主体、非关键性工作分包给他人完成</w:t>
      </w:r>
      <w:r>
        <w:rPr>
          <w:rFonts w:hint="eastAsia" w:ascii="宋体" w:hAnsi="宋体"/>
          <w:sz w:val="24"/>
          <w:highlight w:val="none"/>
        </w:rPr>
        <w:t>，</w:t>
      </w:r>
      <w:r>
        <w:rPr>
          <w:rFonts w:ascii="宋体" w:hAnsi="宋体"/>
          <w:sz w:val="24"/>
          <w:highlight w:val="none"/>
        </w:rPr>
        <w:t>接受分包的人应当具备相应的资格条件，并不得再次分包</w:t>
      </w:r>
      <w:r>
        <w:rPr>
          <w:rFonts w:hint="eastAsia" w:ascii="宋体" w:hAnsi="宋体"/>
          <w:sz w:val="24"/>
          <w:highlight w:val="none"/>
        </w:rPr>
        <w:t>，</w:t>
      </w:r>
      <w:r>
        <w:rPr>
          <w:rFonts w:ascii="宋体" w:hAnsi="宋体"/>
          <w:sz w:val="24"/>
          <w:highlight w:val="none"/>
        </w:rPr>
        <w:t>且乙方应就分包项目向甲方负责</w:t>
      </w:r>
      <w:r>
        <w:rPr>
          <w:rFonts w:hint="eastAsia" w:ascii="宋体" w:hAnsi="宋体"/>
          <w:sz w:val="24"/>
          <w:highlight w:val="none"/>
        </w:rPr>
        <w:t>，</w:t>
      </w:r>
      <w:r>
        <w:rPr>
          <w:rFonts w:ascii="宋体" w:hAnsi="宋体"/>
          <w:sz w:val="24"/>
          <w:highlight w:val="none"/>
        </w:rPr>
        <w:t>并</w:t>
      </w:r>
      <w:r>
        <w:rPr>
          <w:rFonts w:hint="eastAsia" w:ascii="宋体" w:hAnsi="宋体"/>
          <w:sz w:val="24"/>
          <w:highlight w:val="none"/>
        </w:rPr>
        <w:t>与分包供应商就分包项目向甲方承担连带责任。</w:t>
      </w:r>
    </w:p>
    <w:p w14:paraId="42A7F3B7">
      <w:pPr>
        <w:shd w:val="clear"/>
        <w:wordWrap w:val="0"/>
        <w:spacing w:line="440" w:lineRule="exact"/>
        <w:ind w:firstLine="437"/>
        <w:jc w:val="left"/>
        <w:outlineLvl w:val="3"/>
        <w:rPr>
          <w:rFonts w:hint="eastAsia" w:ascii="宋体" w:hAnsi="宋体"/>
          <w:b/>
          <w:bCs/>
          <w:sz w:val="24"/>
          <w:highlight w:val="none"/>
          <w:lang w:val="zh-CN"/>
        </w:rPr>
      </w:pPr>
      <w:bookmarkStart w:id="218" w:name="_Toc16508"/>
      <w:bookmarkStart w:id="219" w:name="_Toc14066"/>
      <w:bookmarkStart w:id="220" w:name="_Toc13566"/>
      <w:r>
        <w:rPr>
          <w:rFonts w:hint="eastAsia" w:ascii="宋体" w:hAnsi="宋体"/>
          <w:b/>
          <w:bCs/>
          <w:sz w:val="24"/>
          <w:highlight w:val="none"/>
          <w:lang w:val="zh-CN"/>
        </w:rPr>
        <w:t>2.1</w:t>
      </w:r>
      <w:r>
        <w:rPr>
          <w:rFonts w:ascii="宋体" w:hAnsi="宋体"/>
          <w:b/>
          <w:bCs/>
          <w:sz w:val="24"/>
          <w:highlight w:val="none"/>
          <w:lang w:val="zh-CN"/>
        </w:rPr>
        <w:t>1 不可抗力</w:t>
      </w:r>
      <w:bookmarkEnd w:id="218"/>
      <w:bookmarkEnd w:id="219"/>
      <w:bookmarkEnd w:id="220"/>
    </w:p>
    <w:p w14:paraId="403D8261">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1.1如果任何一方遭遇法律规定的不可抗力，致使合同履行受阻时，履行合同的期限应予延长，延长的期限应相当于不可抗力所影响的时间</w:t>
      </w:r>
      <w:r>
        <w:rPr>
          <w:rFonts w:hint="eastAsia" w:ascii="宋体" w:hAnsi="宋体"/>
          <w:sz w:val="24"/>
          <w:highlight w:val="none"/>
        </w:rPr>
        <w:t>；</w:t>
      </w:r>
    </w:p>
    <w:p w14:paraId="12BFA758">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1</w:t>
      </w:r>
      <w:r>
        <w:rPr>
          <w:rFonts w:hint="eastAsia" w:ascii="宋体" w:hAnsi="宋体"/>
          <w:sz w:val="24"/>
          <w:highlight w:val="none"/>
        </w:rPr>
        <w:t>.2因不可抗力致使不能实现合同目的的，当事人可以解除合同；</w:t>
      </w:r>
    </w:p>
    <w:p w14:paraId="5D83A838">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1</w:t>
      </w:r>
      <w:r>
        <w:rPr>
          <w:rFonts w:hint="eastAsia" w:ascii="宋体" w:hAnsi="宋体"/>
          <w:sz w:val="24"/>
          <w:highlight w:val="none"/>
        </w:rPr>
        <w:t>.3因</w:t>
      </w:r>
      <w:r>
        <w:rPr>
          <w:rFonts w:ascii="宋体" w:hAnsi="宋体"/>
          <w:sz w:val="24"/>
          <w:highlight w:val="none"/>
        </w:rPr>
        <w:t>不可抗力致使合同有变更必要的，双方当事人应在</w:t>
      </w:r>
      <w:r>
        <w:rPr>
          <w:rFonts w:ascii="宋体" w:hAnsi="宋体"/>
          <w:b/>
          <w:i/>
          <w:sz w:val="24"/>
          <w:highlight w:val="none"/>
          <w:u w:val="single"/>
        </w:rPr>
        <w:t>合同专用条款</w:t>
      </w:r>
      <w:r>
        <w:rPr>
          <w:rFonts w:ascii="宋体" w:hAnsi="宋体"/>
          <w:sz w:val="24"/>
          <w:highlight w:val="none"/>
        </w:rPr>
        <w:t>约定时间内以书面形式变更合同</w:t>
      </w:r>
      <w:r>
        <w:rPr>
          <w:rFonts w:hint="eastAsia" w:ascii="宋体" w:hAnsi="宋体"/>
          <w:sz w:val="24"/>
          <w:highlight w:val="none"/>
        </w:rPr>
        <w:t>；</w:t>
      </w:r>
    </w:p>
    <w:p w14:paraId="1ED9509A">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1.</w:t>
      </w:r>
      <w:r>
        <w:rPr>
          <w:rFonts w:hint="eastAsia" w:ascii="宋体" w:hAnsi="宋体"/>
          <w:sz w:val="24"/>
          <w:highlight w:val="none"/>
        </w:rPr>
        <w:t>4</w:t>
      </w:r>
      <w:r>
        <w:rPr>
          <w:rFonts w:ascii="宋体" w:hAnsi="宋体"/>
          <w:sz w:val="24"/>
          <w:highlight w:val="none"/>
        </w:rPr>
        <w:t>受</w:t>
      </w:r>
      <w:r>
        <w:rPr>
          <w:rFonts w:hint="eastAsia" w:ascii="宋体" w:hAnsi="宋体"/>
          <w:sz w:val="24"/>
          <w:highlight w:val="none"/>
        </w:rPr>
        <w:t>不可抗力</w:t>
      </w:r>
      <w:r>
        <w:rPr>
          <w:rFonts w:ascii="宋体" w:hAnsi="宋体"/>
          <w:sz w:val="24"/>
          <w:highlight w:val="none"/>
        </w:rPr>
        <w:t>影响的一方在不可抗力发生后</w:t>
      </w:r>
      <w:r>
        <w:rPr>
          <w:rFonts w:hint="eastAsia" w:ascii="宋体" w:hAnsi="宋体"/>
          <w:sz w:val="24"/>
          <w:highlight w:val="none"/>
        </w:rPr>
        <w:t>，</w:t>
      </w:r>
      <w:r>
        <w:rPr>
          <w:rFonts w:ascii="宋体" w:hAnsi="宋体"/>
          <w:sz w:val="24"/>
          <w:highlight w:val="none"/>
        </w:rPr>
        <w:t>应在</w:t>
      </w:r>
      <w:r>
        <w:rPr>
          <w:rFonts w:ascii="宋体" w:hAnsi="宋体"/>
          <w:b/>
          <w:i/>
          <w:sz w:val="24"/>
          <w:highlight w:val="none"/>
          <w:u w:val="single"/>
        </w:rPr>
        <w:t>合同专用条款</w:t>
      </w:r>
      <w:r>
        <w:rPr>
          <w:rFonts w:ascii="宋体" w:hAnsi="宋体"/>
          <w:sz w:val="24"/>
          <w:highlight w:val="none"/>
        </w:rPr>
        <w:t>约定时间内以书面形式通知</w:t>
      </w:r>
      <w:r>
        <w:rPr>
          <w:rFonts w:hint="eastAsia" w:ascii="宋体" w:hAnsi="宋体"/>
          <w:sz w:val="24"/>
          <w:highlight w:val="none"/>
        </w:rPr>
        <w:t>对</w:t>
      </w:r>
      <w:r>
        <w:rPr>
          <w:rFonts w:ascii="宋体" w:hAnsi="宋体"/>
          <w:sz w:val="24"/>
          <w:highlight w:val="none"/>
        </w:rPr>
        <w:t>方当事人，并在</w:t>
      </w:r>
      <w:r>
        <w:rPr>
          <w:rFonts w:ascii="宋体" w:hAnsi="宋体"/>
          <w:b/>
          <w:i/>
          <w:sz w:val="24"/>
          <w:highlight w:val="none"/>
          <w:u w:val="single"/>
        </w:rPr>
        <w:t>合同专用条款</w:t>
      </w:r>
      <w:r>
        <w:rPr>
          <w:rFonts w:ascii="宋体" w:hAnsi="宋体"/>
          <w:sz w:val="24"/>
          <w:highlight w:val="none"/>
        </w:rPr>
        <w:t>约定时间内，将有关部门出具的证明文件送达</w:t>
      </w:r>
      <w:r>
        <w:rPr>
          <w:rFonts w:hint="eastAsia" w:ascii="宋体" w:hAnsi="宋体"/>
          <w:sz w:val="24"/>
          <w:highlight w:val="none"/>
        </w:rPr>
        <w:t>对方当事人</w:t>
      </w:r>
      <w:r>
        <w:rPr>
          <w:rFonts w:ascii="宋体" w:hAnsi="宋体"/>
          <w:sz w:val="24"/>
          <w:highlight w:val="none"/>
        </w:rPr>
        <w:t>。</w:t>
      </w:r>
    </w:p>
    <w:p w14:paraId="11F5D8C6">
      <w:pPr>
        <w:shd w:val="clear"/>
        <w:wordWrap w:val="0"/>
        <w:spacing w:line="440" w:lineRule="exact"/>
        <w:ind w:firstLine="437"/>
        <w:jc w:val="left"/>
        <w:outlineLvl w:val="3"/>
        <w:rPr>
          <w:rFonts w:hint="eastAsia" w:ascii="宋体" w:hAnsi="宋体"/>
          <w:b/>
          <w:bCs/>
          <w:sz w:val="24"/>
          <w:highlight w:val="none"/>
          <w:lang w:val="zh-CN"/>
        </w:rPr>
      </w:pPr>
      <w:bookmarkStart w:id="221" w:name="_Toc30676"/>
      <w:bookmarkStart w:id="222" w:name="_Toc279701255"/>
      <w:bookmarkStart w:id="223" w:name="_Toc6969"/>
      <w:bookmarkStart w:id="224" w:name="_Toc689"/>
      <w:bookmarkStart w:id="225" w:name="_Toc259093684"/>
      <w:bookmarkStart w:id="226" w:name="_Toc487900365"/>
      <w:r>
        <w:rPr>
          <w:rFonts w:hint="eastAsia" w:ascii="宋体" w:hAnsi="宋体"/>
          <w:b/>
          <w:bCs/>
          <w:sz w:val="24"/>
          <w:highlight w:val="none"/>
          <w:lang w:val="zh-CN"/>
        </w:rPr>
        <w:t>2.</w:t>
      </w:r>
      <w:r>
        <w:rPr>
          <w:rFonts w:ascii="宋体" w:hAnsi="宋体"/>
          <w:b/>
          <w:bCs/>
          <w:sz w:val="24"/>
          <w:highlight w:val="none"/>
          <w:lang w:val="zh-CN"/>
        </w:rPr>
        <w:t>12</w:t>
      </w:r>
      <w:r>
        <w:rPr>
          <w:rFonts w:hint="eastAsia" w:ascii="宋体" w:hAnsi="宋体"/>
          <w:b/>
          <w:bCs/>
          <w:sz w:val="24"/>
          <w:highlight w:val="none"/>
          <w:lang w:val="zh-CN"/>
        </w:rPr>
        <w:t xml:space="preserve"> </w:t>
      </w:r>
      <w:r>
        <w:rPr>
          <w:rFonts w:ascii="宋体" w:hAnsi="宋体"/>
          <w:b/>
          <w:bCs/>
          <w:sz w:val="24"/>
          <w:highlight w:val="none"/>
          <w:lang w:val="zh-CN"/>
        </w:rPr>
        <w:t>税费</w:t>
      </w:r>
      <w:bookmarkEnd w:id="221"/>
      <w:bookmarkEnd w:id="222"/>
      <w:bookmarkEnd w:id="223"/>
      <w:bookmarkEnd w:id="224"/>
      <w:bookmarkEnd w:id="225"/>
      <w:bookmarkEnd w:id="226"/>
    </w:p>
    <w:p w14:paraId="1F89D995">
      <w:pPr>
        <w:shd w:val="clear"/>
        <w:wordWrap w:val="0"/>
        <w:spacing w:line="440" w:lineRule="exact"/>
        <w:ind w:firstLine="435"/>
        <w:jc w:val="left"/>
        <w:rPr>
          <w:rFonts w:hint="eastAsia" w:ascii="宋体" w:hAnsi="宋体"/>
          <w:sz w:val="24"/>
          <w:highlight w:val="none"/>
        </w:rPr>
      </w:pPr>
      <w:r>
        <w:rPr>
          <w:rFonts w:ascii="宋体" w:hAnsi="宋体"/>
          <w:sz w:val="24"/>
          <w:highlight w:val="none"/>
        </w:rPr>
        <w:t>与合同有关的一切税费</w:t>
      </w:r>
      <w:r>
        <w:rPr>
          <w:rFonts w:hint="eastAsia" w:ascii="宋体" w:hAnsi="宋体"/>
          <w:sz w:val="24"/>
          <w:highlight w:val="none"/>
        </w:rPr>
        <w:t>，</w:t>
      </w:r>
      <w:r>
        <w:rPr>
          <w:rFonts w:ascii="宋体" w:hAnsi="宋体"/>
          <w:sz w:val="24"/>
          <w:highlight w:val="none"/>
        </w:rPr>
        <w:t>均按照中华人民共和国法律的相关规定</w:t>
      </w:r>
      <w:r>
        <w:rPr>
          <w:rFonts w:hint="eastAsia" w:ascii="宋体" w:hAnsi="宋体"/>
          <w:sz w:val="24"/>
          <w:highlight w:val="none"/>
        </w:rPr>
        <w:t>缴纳</w:t>
      </w:r>
      <w:r>
        <w:rPr>
          <w:rFonts w:ascii="宋体" w:hAnsi="宋体"/>
          <w:sz w:val="24"/>
          <w:highlight w:val="none"/>
        </w:rPr>
        <w:t>。</w:t>
      </w:r>
    </w:p>
    <w:p w14:paraId="066CDEB5">
      <w:pPr>
        <w:shd w:val="clear"/>
        <w:wordWrap w:val="0"/>
        <w:spacing w:line="440" w:lineRule="exact"/>
        <w:ind w:firstLine="437"/>
        <w:jc w:val="left"/>
        <w:outlineLvl w:val="3"/>
        <w:rPr>
          <w:rFonts w:hint="eastAsia" w:ascii="宋体" w:hAnsi="宋体"/>
          <w:b/>
          <w:bCs/>
          <w:sz w:val="24"/>
          <w:highlight w:val="none"/>
          <w:lang w:val="zh-CN"/>
        </w:rPr>
      </w:pPr>
      <w:bookmarkStart w:id="227" w:name="_Toc16959"/>
      <w:bookmarkStart w:id="228" w:name="_Toc8298"/>
      <w:bookmarkStart w:id="229" w:name="_Toc7102"/>
      <w:bookmarkStart w:id="230" w:name="_Toc279701258"/>
      <w:bookmarkStart w:id="231" w:name="_Toc259093687"/>
      <w:bookmarkStart w:id="232" w:name="_Toc487900368"/>
      <w:r>
        <w:rPr>
          <w:rFonts w:hint="eastAsia" w:ascii="宋体" w:hAnsi="宋体"/>
          <w:b/>
          <w:bCs/>
          <w:sz w:val="24"/>
          <w:highlight w:val="none"/>
          <w:lang w:val="zh-CN"/>
        </w:rPr>
        <w:t>2.</w:t>
      </w:r>
      <w:r>
        <w:rPr>
          <w:rFonts w:ascii="宋体" w:hAnsi="宋体"/>
          <w:b/>
          <w:bCs/>
          <w:sz w:val="24"/>
          <w:highlight w:val="none"/>
          <w:lang w:val="zh-CN"/>
        </w:rPr>
        <w:t>13</w:t>
      </w:r>
      <w:r>
        <w:rPr>
          <w:rFonts w:hint="eastAsia" w:ascii="宋体" w:hAnsi="宋体"/>
          <w:b/>
          <w:bCs/>
          <w:sz w:val="24"/>
          <w:highlight w:val="none"/>
          <w:lang w:val="zh-CN"/>
        </w:rPr>
        <w:t xml:space="preserve"> </w:t>
      </w:r>
      <w:r>
        <w:rPr>
          <w:rFonts w:ascii="宋体" w:hAnsi="宋体"/>
          <w:b/>
          <w:bCs/>
          <w:sz w:val="24"/>
          <w:highlight w:val="none"/>
          <w:lang w:val="zh-CN"/>
        </w:rPr>
        <w:t>乙方破产</w:t>
      </w:r>
      <w:bookmarkEnd w:id="227"/>
      <w:bookmarkEnd w:id="228"/>
      <w:bookmarkEnd w:id="229"/>
      <w:bookmarkEnd w:id="230"/>
      <w:bookmarkEnd w:id="231"/>
      <w:bookmarkEnd w:id="232"/>
    </w:p>
    <w:p w14:paraId="19A8745D">
      <w:pPr>
        <w:shd w:val="clear"/>
        <w:wordWrap w:val="0"/>
        <w:spacing w:line="440" w:lineRule="exact"/>
        <w:ind w:firstLine="435"/>
        <w:jc w:val="left"/>
        <w:rPr>
          <w:rFonts w:hint="eastAsia" w:ascii="宋体" w:hAnsi="宋体"/>
          <w:sz w:val="24"/>
          <w:highlight w:val="none"/>
        </w:rPr>
      </w:pPr>
      <w:r>
        <w:rPr>
          <w:rFonts w:ascii="宋体" w:hAnsi="宋体"/>
          <w:sz w:val="24"/>
          <w:highlight w:val="none"/>
        </w:rPr>
        <w:t>如果乙方破产导致合同无法履行时，甲方可以书面形式通知乙方终止合同且不给予乙方任何补偿和赔偿</w:t>
      </w:r>
      <w:r>
        <w:rPr>
          <w:rFonts w:hint="eastAsia" w:ascii="宋体" w:hAnsi="宋体"/>
          <w:sz w:val="24"/>
          <w:highlight w:val="none"/>
        </w:rPr>
        <w:t>，但合同的</w:t>
      </w:r>
      <w:r>
        <w:rPr>
          <w:rFonts w:ascii="宋体" w:hAnsi="宋体"/>
          <w:sz w:val="24"/>
          <w:highlight w:val="none"/>
        </w:rPr>
        <w:t>终止不损害或不影响甲方已经采取或将要采取的任何要求乙方支付违约金</w:t>
      </w:r>
      <w:r>
        <w:rPr>
          <w:rFonts w:hint="eastAsia" w:ascii="宋体" w:hAnsi="宋体"/>
          <w:sz w:val="24"/>
          <w:highlight w:val="none"/>
        </w:rPr>
        <w:t>、</w:t>
      </w:r>
      <w:r>
        <w:rPr>
          <w:rFonts w:ascii="宋体" w:hAnsi="宋体"/>
          <w:sz w:val="24"/>
          <w:highlight w:val="none"/>
        </w:rPr>
        <w:t>赔偿损失等的行动或补救措施的权利</w:t>
      </w:r>
      <w:r>
        <w:rPr>
          <w:rFonts w:hint="eastAsia" w:ascii="宋体" w:hAnsi="宋体"/>
          <w:sz w:val="24"/>
          <w:highlight w:val="none"/>
        </w:rPr>
        <w:t>。</w:t>
      </w:r>
    </w:p>
    <w:p w14:paraId="6E84C682">
      <w:pPr>
        <w:shd w:val="clear"/>
        <w:wordWrap w:val="0"/>
        <w:spacing w:line="440" w:lineRule="exact"/>
        <w:ind w:firstLine="437"/>
        <w:jc w:val="left"/>
        <w:outlineLvl w:val="3"/>
        <w:rPr>
          <w:rFonts w:hint="eastAsia" w:ascii="宋体" w:hAnsi="宋体"/>
          <w:b/>
          <w:sz w:val="24"/>
          <w:highlight w:val="none"/>
        </w:rPr>
      </w:pPr>
      <w:bookmarkStart w:id="233" w:name="_Toc29333"/>
      <w:bookmarkStart w:id="234" w:name="_Toc6134"/>
      <w:bookmarkStart w:id="235" w:name="_Toc15387"/>
      <w:r>
        <w:rPr>
          <w:rFonts w:hint="eastAsia" w:ascii="宋体" w:hAnsi="宋体"/>
          <w:b/>
          <w:bCs/>
          <w:sz w:val="24"/>
          <w:highlight w:val="none"/>
          <w:lang w:val="zh-CN"/>
        </w:rPr>
        <w:t>2.1</w:t>
      </w:r>
      <w:r>
        <w:rPr>
          <w:rFonts w:ascii="宋体" w:hAnsi="宋体"/>
          <w:b/>
          <w:bCs/>
          <w:sz w:val="24"/>
          <w:highlight w:val="none"/>
          <w:lang w:val="zh-CN"/>
        </w:rPr>
        <w:t>4</w:t>
      </w:r>
      <w:r>
        <w:rPr>
          <w:rFonts w:hint="eastAsia" w:ascii="宋体" w:hAnsi="宋体"/>
          <w:b/>
          <w:bCs/>
          <w:sz w:val="24"/>
          <w:highlight w:val="none"/>
          <w:lang w:val="zh-CN"/>
        </w:rPr>
        <w:t xml:space="preserve"> 合同中止、终止</w:t>
      </w:r>
      <w:bookmarkEnd w:id="233"/>
      <w:bookmarkEnd w:id="234"/>
      <w:bookmarkEnd w:id="235"/>
    </w:p>
    <w:p w14:paraId="76C0684D">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4</w:t>
      </w:r>
      <w:r>
        <w:rPr>
          <w:rFonts w:hint="eastAsia" w:ascii="宋体" w:hAnsi="宋体"/>
          <w:sz w:val="24"/>
          <w:highlight w:val="none"/>
        </w:rPr>
        <w:t>.1双方当事人不得擅自中止或者终止合同；</w:t>
      </w:r>
    </w:p>
    <w:p w14:paraId="4E6E5492">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w:t>
      </w:r>
      <w:r>
        <w:rPr>
          <w:rFonts w:ascii="宋体" w:hAnsi="宋体"/>
          <w:sz w:val="24"/>
          <w:highlight w:val="none"/>
        </w:rPr>
        <w:t>4</w:t>
      </w:r>
      <w:r>
        <w:rPr>
          <w:rFonts w:hint="eastAsia" w:ascii="宋体" w:hAnsi="宋体"/>
          <w:sz w:val="24"/>
          <w:highlight w:val="none"/>
        </w:rPr>
        <w:t>.2合同继续履行将损害国家利益和社会公共利益的，双方当事人应当中止或者终止合同。有过错的一方应当承担赔偿责任，双方当事人都有过错的，各自承担相应的责任。</w:t>
      </w:r>
    </w:p>
    <w:p w14:paraId="79AF55F4">
      <w:pPr>
        <w:shd w:val="clear"/>
        <w:wordWrap w:val="0"/>
        <w:spacing w:line="440" w:lineRule="exact"/>
        <w:ind w:firstLine="437"/>
        <w:jc w:val="left"/>
        <w:outlineLvl w:val="3"/>
        <w:rPr>
          <w:rFonts w:hint="eastAsia" w:ascii="宋体" w:hAnsi="宋体"/>
          <w:b/>
          <w:bCs/>
          <w:sz w:val="24"/>
          <w:highlight w:val="none"/>
          <w:lang w:val="zh-CN"/>
        </w:rPr>
      </w:pPr>
      <w:bookmarkStart w:id="236" w:name="_Toc6596"/>
      <w:bookmarkStart w:id="237" w:name="_Toc1125"/>
      <w:bookmarkStart w:id="238" w:name="_Toc14563"/>
      <w:r>
        <w:rPr>
          <w:rFonts w:hint="eastAsia" w:ascii="宋体" w:hAnsi="宋体"/>
          <w:b/>
          <w:bCs/>
          <w:sz w:val="24"/>
          <w:highlight w:val="none"/>
          <w:lang w:val="zh-CN"/>
        </w:rPr>
        <w:t>2.1</w:t>
      </w:r>
      <w:r>
        <w:rPr>
          <w:rFonts w:ascii="宋体" w:hAnsi="宋体"/>
          <w:b/>
          <w:bCs/>
          <w:sz w:val="24"/>
          <w:highlight w:val="none"/>
          <w:lang w:val="zh-CN"/>
        </w:rPr>
        <w:t>5</w:t>
      </w:r>
      <w:r>
        <w:rPr>
          <w:rFonts w:hint="eastAsia" w:ascii="宋体" w:hAnsi="宋体"/>
          <w:b/>
          <w:bCs/>
          <w:sz w:val="24"/>
          <w:highlight w:val="none"/>
          <w:lang w:val="zh-CN"/>
        </w:rPr>
        <w:t xml:space="preserve"> 检验和验收</w:t>
      </w:r>
      <w:bookmarkEnd w:id="236"/>
      <w:bookmarkEnd w:id="237"/>
      <w:bookmarkEnd w:id="238"/>
    </w:p>
    <w:p w14:paraId="56816794">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w:t>
      </w: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1乙方按照</w:t>
      </w:r>
      <w:r>
        <w:rPr>
          <w:rFonts w:ascii="宋体" w:hAnsi="宋体"/>
          <w:b/>
          <w:i/>
          <w:sz w:val="24"/>
          <w:highlight w:val="none"/>
          <w:u w:val="single"/>
        </w:rPr>
        <w:t>合同专用条款</w:t>
      </w:r>
      <w:r>
        <w:rPr>
          <w:rFonts w:ascii="宋体" w:hAnsi="宋体"/>
          <w:sz w:val="24"/>
          <w:highlight w:val="none"/>
        </w:rPr>
        <w:t>的约定</w:t>
      </w:r>
      <w:r>
        <w:rPr>
          <w:rFonts w:hint="eastAsia" w:ascii="宋体" w:hAnsi="宋体"/>
          <w:sz w:val="24"/>
          <w:highlight w:val="none"/>
        </w:rPr>
        <w:t>，</w:t>
      </w:r>
      <w:r>
        <w:rPr>
          <w:rFonts w:ascii="宋体" w:hAnsi="宋体"/>
          <w:sz w:val="24"/>
          <w:highlight w:val="none"/>
        </w:rPr>
        <w:t>定期提交服务报告</w:t>
      </w:r>
      <w:r>
        <w:rPr>
          <w:rFonts w:hint="eastAsia" w:ascii="宋体" w:hAnsi="宋体"/>
          <w:sz w:val="24"/>
          <w:highlight w:val="none"/>
        </w:rPr>
        <w:t>，甲方按照</w:t>
      </w:r>
      <w:r>
        <w:rPr>
          <w:rFonts w:ascii="宋体" w:hAnsi="宋体"/>
          <w:b/>
          <w:i/>
          <w:sz w:val="24"/>
          <w:highlight w:val="none"/>
          <w:u w:val="single"/>
        </w:rPr>
        <w:t>合同专用条款</w:t>
      </w:r>
      <w:r>
        <w:rPr>
          <w:rFonts w:ascii="宋体" w:hAnsi="宋体"/>
          <w:sz w:val="24"/>
          <w:highlight w:val="none"/>
        </w:rPr>
        <w:t>的约定进行定期验收</w:t>
      </w:r>
      <w:r>
        <w:rPr>
          <w:rFonts w:hint="eastAsia" w:ascii="宋体" w:hAnsi="宋体"/>
          <w:sz w:val="24"/>
          <w:highlight w:val="none"/>
        </w:rPr>
        <w:t>；</w:t>
      </w:r>
    </w:p>
    <w:p w14:paraId="3D6F6F02">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7027C2F">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2.15.3检验和验收标准、程序等具体内容以及前述验收书的效力详见</w:t>
      </w:r>
      <w:r>
        <w:rPr>
          <w:rFonts w:ascii="宋体" w:hAnsi="宋体"/>
          <w:b/>
          <w:i/>
          <w:sz w:val="24"/>
          <w:highlight w:val="none"/>
          <w:u w:val="single"/>
        </w:rPr>
        <w:t>合同专用条款</w:t>
      </w:r>
      <w:r>
        <w:rPr>
          <w:rFonts w:hint="eastAsia" w:ascii="宋体" w:hAnsi="宋体"/>
          <w:i/>
          <w:sz w:val="24"/>
          <w:highlight w:val="none"/>
        </w:rPr>
        <w:t>。</w:t>
      </w:r>
    </w:p>
    <w:bookmarkEnd w:id="208"/>
    <w:bookmarkEnd w:id="209"/>
    <w:bookmarkEnd w:id="210"/>
    <w:bookmarkEnd w:id="211"/>
    <w:p w14:paraId="35631CD2">
      <w:pPr>
        <w:shd w:val="clear"/>
        <w:wordWrap w:val="0"/>
        <w:spacing w:line="440" w:lineRule="exact"/>
        <w:ind w:firstLine="437"/>
        <w:jc w:val="left"/>
        <w:outlineLvl w:val="3"/>
        <w:rPr>
          <w:rFonts w:hint="eastAsia" w:ascii="宋体" w:hAnsi="宋体"/>
          <w:b/>
          <w:bCs/>
          <w:sz w:val="24"/>
          <w:highlight w:val="none"/>
        </w:rPr>
      </w:pPr>
      <w:bookmarkStart w:id="239" w:name="_Toc10330"/>
      <w:bookmarkStart w:id="240" w:name="_Toc18567"/>
      <w:bookmarkStart w:id="241" w:name="_Toc279701263"/>
      <w:bookmarkStart w:id="242" w:name="_Toc487900373"/>
      <w:bookmarkStart w:id="243" w:name="_Toc259093692"/>
      <w:bookmarkStart w:id="244" w:name="_Toc12773"/>
      <w:r>
        <w:rPr>
          <w:rFonts w:hint="eastAsia" w:ascii="宋体" w:hAnsi="宋体"/>
          <w:b/>
          <w:bCs/>
          <w:sz w:val="24"/>
          <w:highlight w:val="none"/>
        </w:rPr>
        <w:t>2.</w:t>
      </w:r>
      <w:r>
        <w:rPr>
          <w:rFonts w:ascii="宋体" w:hAnsi="宋体"/>
          <w:b/>
          <w:bCs/>
          <w:sz w:val="24"/>
          <w:highlight w:val="none"/>
        </w:rPr>
        <w:t>16</w:t>
      </w:r>
      <w:r>
        <w:rPr>
          <w:rFonts w:hint="eastAsia" w:ascii="宋体" w:hAnsi="宋体"/>
          <w:b/>
          <w:bCs/>
          <w:sz w:val="24"/>
          <w:highlight w:val="none"/>
        </w:rPr>
        <w:t xml:space="preserve"> </w:t>
      </w:r>
      <w:r>
        <w:rPr>
          <w:rFonts w:hint="eastAsia" w:ascii="宋体" w:hAnsi="宋体"/>
          <w:b/>
          <w:bCs/>
          <w:sz w:val="24"/>
          <w:highlight w:val="none"/>
          <w:lang w:val="zh-CN"/>
        </w:rPr>
        <w:t>合同使用的文字和</w:t>
      </w:r>
      <w:r>
        <w:rPr>
          <w:rFonts w:ascii="宋体" w:hAnsi="宋体"/>
          <w:b/>
          <w:bCs/>
          <w:sz w:val="24"/>
          <w:highlight w:val="none"/>
          <w:lang w:val="zh-CN"/>
        </w:rPr>
        <w:t>适用的法律</w:t>
      </w:r>
      <w:bookmarkEnd w:id="239"/>
      <w:bookmarkEnd w:id="240"/>
      <w:bookmarkEnd w:id="241"/>
      <w:bookmarkEnd w:id="242"/>
      <w:bookmarkEnd w:id="243"/>
      <w:bookmarkEnd w:id="244"/>
    </w:p>
    <w:p w14:paraId="365586F8">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16.1合同使用汉语书就</w:t>
      </w:r>
      <w:r>
        <w:rPr>
          <w:rFonts w:hint="eastAsia" w:ascii="宋体" w:hAnsi="宋体"/>
          <w:sz w:val="24"/>
          <w:highlight w:val="none"/>
        </w:rPr>
        <w:t>、</w:t>
      </w:r>
      <w:r>
        <w:rPr>
          <w:rFonts w:ascii="宋体" w:hAnsi="宋体"/>
          <w:sz w:val="24"/>
          <w:highlight w:val="none"/>
        </w:rPr>
        <w:t>变更和解释</w:t>
      </w:r>
      <w:r>
        <w:rPr>
          <w:rFonts w:hint="eastAsia" w:ascii="宋体" w:hAnsi="宋体"/>
          <w:sz w:val="24"/>
          <w:highlight w:val="none"/>
        </w:rPr>
        <w:t>；</w:t>
      </w:r>
    </w:p>
    <w:p w14:paraId="0A27BA67">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2.</w:t>
      </w:r>
      <w:r>
        <w:rPr>
          <w:rFonts w:ascii="宋体" w:hAnsi="宋体"/>
          <w:sz w:val="24"/>
          <w:highlight w:val="none"/>
        </w:rPr>
        <w:t>16</w:t>
      </w:r>
      <w:r>
        <w:rPr>
          <w:rFonts w:hint="eastAsia" w:ascii="宋体" w:hAnsi="宋体"/>
          <w:sz w:val="24"/>
          <w:highlight w:val="none"/>
        </w:rPr>
        <w:t>.2合同适用</w:t>
      </w:r>
      <w:r>
        <w:rPr>
          <w:rFonts w:ascii="宋体" w:hAnsi="宋体"/>
          <w:sz w:val="24"/>
          <w:highlight w:val="none"/>
        </w:rPr>
        <w:t>中华人民共和国法律。</w:t>
      </w:r>
    </w:p>
    <w:p w14:paraId="3126C0E2">
      <w:pPr>
        <w:shd w:val="clear"/>
        <w:wordWrap w:val="0"/>
        <w:spacing w:line="440" w:lineRule="exact"/>
        <w:ind w:firstLine="437"/>
        <w:jc w:val="left"/>
        <w:outlineLvl w:val="3"/>
        <w:rPr>
          <w:rFonts w:hint="eastAsia" w:ascii="宋体" w:hAnsi="宋体"/>
          <w:b/>
          <w:sz w:val="24"/>
          <w:highlight w:val="none"/>
        </w:rPr>
      </w:pPr>
      <w:bookmarkStart w:id="245" w:name="_Toc6885"/>
      <w:bookmarkStart w:id="246" w:name="_Toc14001"/>
      <w:bookmarkStart w:id="247" w:name="_Toc19890"/>
      <w:r>
        <w:rPr>
          <w:rFonts w:hint="eastAsia" w:ascii="宋体" w:hAnsi="宋体"/>
          <w:b/>
          <w:bCs/>
          <w:sz w:val="24"/>
          <w:highlight w:val="none"/>
          <w:lang w:val="zh-CN"/>
        </w:rPr>
        <w:t>2.</w:t>
      </w:r>
      <w:r>
        <w:rPr>
          <w:rFonts w:ascii="宋体" w:hAnsi="宋体"/>
          <w:b/>
          <w:bCs/>
          <w:sz w:val="24"/>
          <w:highlight w:val="none"/>
          <w:lang w:val="zh-CN"/>
        </w:rPr>
        <w:t>1</w:t>
      </w:r>
      <w:r>
        <w:rPr>
          <w:rFonts w:hint="eastAsia" w:ascii="宋体" w:hAnsi="宋体"/>
          <w:b/>
          <w:bCs/>
          <w:sz w:val="24"/>
          <w:highlight w:val="none"/>
        </w:rPr>
        <w:t>7</w:t>
      </w:r>
      <w:r>
        <w:rPr>
          <w:rFonts w:hint="eastAsia" w:ascii="宋体" w:hAnsi="宋体"/>
          <w:b/>
          <w:bCs/>
          <w:sz w:val="24"/>
          <w:highlight w:val="none"/>
          <w:lang w:val="zh-CN"/>
        </w:rPr>
        <w:t xml:space="preserve"> 合同份数</w:t>
      </w:r>
      <w:bookmarkEnd w:id="245"/>
      <w:bookmarkEnd w:id="246"/>
      <w:bookmarkEnd w:id="247"/>
    </w:p>
    <w:p w14:paraId="36C2722C">
      <w:pPr>
        <w:shd w:val="clear"/>
        <w:wordWrap w:val="0"/>
        <w:spacing w:line="440" w:lineRule="exact"/>
        <w:ind w:firstLine="435"/>
        <w:jc w:val="left"/>
        <w:rPr>
          <w:rFonts w:hint="eastAsia" w:ascii="宋体" w:hAnsi="宋体"/>
          <w:sz w:val="24"/>
          <w:highlight w:val="none"/>
        </w:rPr>
      </w:pPr>
      <w:r>
        <w:rPr>
          <w:rFonts w:ascii="宋体" w:hAnsi="宋体"/>
          <w:sz w:val="24"/>
          <w:highlight w:val="none"/>
        </w:rPr>
        <w:t>合同份数按</w:t>
      </w:r>
      <w:r>
        <w:rPr>
          <w:rFonts w:ascii="宋体" w:hAnsi="宋体"/>
          <w:b/>
          <w:i/>
          <w:sz w:val="24"/>
          <w:highlight w:val="none"/>
          <w:u w:val="single"/>
        </w:rPr>
        <w:t>合同专用条款</w:t>
      </w:r>
      <w:r>
        <w:rPr>
          <w:rFonts w:ascii="宋体" w:hAnsi="宋体"/>
          <w:sz w:val="24"/>
          <w:highlight w:val="none"/>
        </w:rPr>
        <w:t>规定</w:t>
      </w:r>
      <w:r>
        <w:rPr>
          <w:rFonts w:hint="eastAsia" w:ascii="宋体" w:hAnsi="宋体"/>
          <w:sz w:val="24"/>
          <w:highlight w:val="none"/>
        </w:rPr>
        <w:t>，</w:t>
      </w:r>
      <w:r>
        <w:rPr>
          <w:rFonts w:ascii="宋体" w:hAnsi="宋体"/>
          <w:sz w:val="24"/>
          <w:highlight w:val="none"/>
        </w:rPr>
        <w:t>每份均具有同等法律效力</w:t>
      </w:r>
      <w:r>
        <w:rPr>
          <w:rFonts w:hint="eastAsia" w:ascii="宋体" w:hAnsi="宋体"/>
          <w:sz w:val="24"/>
          <w:highlight w:val="none"/>
        </w:rPr>
        <w:t>。</w:t>
      </w:r>
    </w:p>
    <w:p w14:paraId="5CA2D42E">
      <w:pPr>
        <w:shd w:val="clear"/>
        <w:wordWrap w:val="0"/>
        <w:spacing w:line="440" w:lineRule="exact"/>
        <w:jc w:val="center"/>
        <w:outlineLvl w:val="2"/>
        <w:rPr>
          <w:rFonts w:hint="eastAsia" w:ascii="宋体" w:hAnsi="宋体"/>
          <w:b/>
          <w:sz w:val="28"/>
          <w:szCs w:val="28"/>
          <w:highlight w:val="none"/>
        </w:rPr>
      </w:pPr>
      <w:r>
        <w:rPr>
          <w:rFonts w:ascii="宋体" w:hAnsi="宋体"/>
          <w:sz w:val="24"/>
          <w:highlight w:val="none"/>
        </w:rPr>
        <w:br w:type="page"/>
      </w:r>
      <w:bookmarkStart w:id="248" w:name="_Toc331685784"/>
      <w:r>
        <w:rPr>
          <w:rFonts w:hint="eastAsia" w:ascii="宋体" w:hAnsi="宋体"/>
          <w:b/>
          <w:sz w:val="28"/>
          <w:szCs w:val="28"/>
          <w:highlight w:val="none"/>
        </w:rPr>
        <w:t>第三部分</w:t>
      </w:r>
      <w:r>
        <w:rPr>
          <w:rFonts w:ascii="宋体" w:hAnsi="宋体"/>
          <w:b/>
          <w:sz w:val="28"/>
          <w:szCs w:val="28"/>
          <w:highlight w:val="none"/>
        </w:rPr>
        <w:t xml:space="preserve"> </w:t>
      </w:r>
      <w:r>
        <w:rPr>
          <w:rFonts w:hint="eastAsia" w:ascii="宋体" w:hAnsi="宋体"/>
          <w:b/>
          <w:sz w:val="28"/>
          <w:szCs w:val="28"/>
          <w:highlight w:val="none"/>
        </w:rPr>
        <w:t>合同专用条款</w:t>
      </w:r>
      <w:bookmarkEnd w:id="248"/>
    </w:p>
    <w:p w14:paraId="6DB2CC83">
      <w:pPr>
        <w:shd w:val="clear"/>
        <w:wordWrap w:val="0"/>
        <w:spacing w:line="440" w:lineRule="exact"/>
        <w:ind w:firstLine="435"/>
        <w:jc w:val="left"/>
        <w:rPr>
          <w:rFonts w:hint="eastAsia" w:ascii="宋体" w:hAnsi="宋体"/>
          <w:sz w:val="24"/>
          <w:highlight w:val="none"/>
        </w:rPr>
      </w:pPr>
      <w:r>
        <w:rPr>
          <w:rFonts w:hint="eastAsia" w:ascii="宋体" w:hAnsi="宋体"/>
          <w:sz w:val="24"/>
          <w:highlight w:val="none"/>
        </w:rPr>
        <w:t>本部分</w:t>
      </w:r>
      <w:r>
        <w:rPr>
          <w:rFonts w:ascii="宋体" w:hAnsi="宋体"/>
          <w:sz w:val="24"/>
          <w:highlight w:val="none"/>
        </w:rPr>
        <w:t>是对</w:t>
      </w:r>
      <w:r>
        <w:rPr>
          <w:rFonts w:hint="eastAsia" w:ascii="宋体" w:hAnsi="宋体"/>
          <w:sz w:val="24"/>
          <w:highlight w:val="none"/>
        </w:rPr>
        <w:t>前两</w:t>
      </w:r>
      <w:r>
        <w:rPr>
          <w:rFonts w:ascii="宋体" w:hAnsi="宋体"/>
          <w:sz w:val="24"/>
          <w:highlight w:val="none"/>
        </w:rPr>
        <w:t>部分的补充和修改</w:t>
      </w:r>
      <w:r>
        <w:rPr>
          <w:rFonts w:hint="eastAsia" w:ascii="宋体" w:hAnsi="宋体"/>
          <w:sz w:val="24"/>
          <w:highlight w:val="none"/>
        </w:rPr>
        <w:t>，</w:t>
      </w:r>
      <w:r>
        <w:rPr>
          <w:rFonts w:ascii="宋体" w:hAnsi="宋体"/>
          <w:sz w:val="24"/>
          <w:highlight w:val="none"/>
        </w:rPr>
        <w:t>如果</w:t>
      </w:r>
      <w:r>
        <w:rPr>
          <w:rFonts w:hint="eastAsia" w:ascii="宋体" w:hAnsi="宋体"/>
          <w:sz w:val="24"/>
          <w:highlight w:val="none"/>
        </w:rPr>
        <w:t>前两</w:t>
      </w:r>
      <w:r>
        <w:rPr>
          <w:rFonts w:ascii="宋体" w:hAnsi="宋体"/>
          <w:sz w:val="24"/>
          <w:highlight w:val="none"/>
        </w:rPr>
        <w:t>部分和本部分的约定不一致</w:t>
      </w:r>
      <w:r>
        <w:rPr>
          <w:rFonts w:hint="eastAsia" w:ascii="宋体" w:hAnsi="宋体"/>
          <w:sz w:val="24"/>
          <w:highlight w:val="none"/>
        </w:rPr>
        <w:t>，</w:t>
      </w:r>
      <w:r>
        <w:rPr>
          <w:rFonts w:ascii="宋体" w:hAnsi="宋体"/>
          <w:sz w:val="24"/>
          <w:highlight w:val="none"/>
        </w:rPr>
        <w:t>应以本部分的约定为准</w:t>
      </w:r>
      <w:r>
        <w:rPr>
          <w:rFonts w:hint="eastAsia" w:ascii="宋体" w:hAnsi="宋体"/>
          <w:sz w:val="24"/>
          <w:highlight w:val="none"/>
        </w:rPr>
        <w:t>。</w:t>
      </w:r>
      <w:r>
        <w:rPr>
          <w:rFonts w:ascii="宋体" w:hAnsi="宋体"/>
          <w:sz w:val="24"/>
          <w:highlight w:val="none"/>
        </w:rPr>
        <w:t>本部分的条款号应与</w:t>
      </w:r>
      <w:r>
        <w:rPr>
          <w:rFonts w:hint="eastAsia" w:ascii="宋体" w:hAnsi="宋体"/>
          <w:sz w:val="24"/>
          <w:highlight w:val="none"/>
        </w:rPr>
        <w:t>前两部分</w:t>
      </w:r>
      <w:r>
        <w:rPr>
          <w:rFonts w:ascii="宋体" w:hAnsi="宋体"/>
          <w:sz w:val="24"/>
          <w:highlight w:val="none"/>
        </w:rPr>
        <w:t>的条款号保持对应</w:t>
      </w:r>
      <w:r>
        <w:rPr>
          <w:rFonts w:hint="eastAsia" w:ascii="宋体" w:hAnsi="宋体"/>
          <w:sz w:val="24"/>
          <w:highlight w:val="none"/>
        </w:rPr>
        <w:t>；与前两部分</w:t>
      </w:r>
      <w:r>
        <w:rPr>
          <w:rFonts w:ascii="宋体" w:hAnsi="宋体"/>
          <w:sz w:val="24"/>
          <w:highlight w:val="none"/>
        </w:rPr>
        <w:t>无对应关系的内容可另行编制条款号</w:t>
      </w:r>
      <w:r>
        <w:rPr>
          <w:rFonts w:hint="eastAsia" w:ascii="宋体" w:hAnsi="宋体"/>
          <w:sz w:val="24"/>
          <w:highlight w:val="none"/>
        </w:rPr>
        <w:t>。</w:t>
      </w:r>
    </w:p>
    <w:tbl>
      <w:tblPr>
        <w:tblStyle w:val="2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3"/>
        <w:gridCol w:w="7653"/>
      </w:tblGrid>
      <w:tr w14:paraId="4F88B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03" w:type="dxa"/>
            <w:tcBorders>
              <w:left w:val="single" w:color="auto" w:sz="4" w:space="0"/>
            </w:tcBorders>
            <w:vAlign w:val="center"/>
          </w:tcPr>
          <w:p w14:paraId="7F5CBBB1">
            <w:pPr>
              <w:shd w:val="clear"/>
              <w:wordWrap w:val="0"/>
              <w:spacing w:line="440" w:lineRule="exact"/>
              <w:jc w:val="center"/>
              <w:rPr>
                <w:rFonts w:hint="eastAsia" w:ascii="宋体" w:hAnsi="宋体"/>
                <w:b/>
                <w:sz w:val="24"/>
                <w:highlight w:val="none"/>
              </w:rPr>
            </w:pPr>
            <w:r>
              <w:rPr>
                <w:rFonts w:ascii="宋体" w:hAnsi="宋体"/>
                <w:b/>
                <w:sz w:val="24"/>
                <w:highlight w:val="none"/>
              </w:rPr>
              <w:t>条款号</w:t>
            </w:r>
          </w:p>
        </w:tc>
        <w:tc>
          <w:tcPr>
            <w:tcW w:w="7653" w:type="dxa"/>
            <w:vAlign w:val="center"/>
          </w:tcPr>
          <w:p w14:paraId="23996A1E">
            <w:pPr>
              <w:shd w:val="clear"/>
              <w:wordWrap w:val="0"/>
              <w:spacing w:line="440" w:lineRule="exact"/>
              <w:jc w:val="center"/>
              <w:rPr>
                <w:rFonts w:hint="eastAsia" w:ascii="宋体" w:hAnsi="宋体"/>
                <w:b/>
                <w:sz w:val="24"/>
                <w:highlight w:val="none"/>
              </w:rPr>
            </w:pPr>
            <w:r>
              <w:rPr>
                <w:rFonts w:ascii="宋体" w:hAnsi="宋体"/>
                <w:b/>
                <w:sz w:val="24"/>
                <w:highlight w:val="none"/>
              </w:rPr>
              <w:t>约定内容</w:t>
            </w:r>
          </w:p>
        </w:tc>
      </w:tr>
      <w:tr w14:paraId="0B509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03" w:type="dxa"/>
            <w:tcBorders>
              <w:left w:val="single" w:color="auto" w:sz="4" w:space="0"/>
            </w:tcBorders>
            <w:vAlign w:val="center"/>
          </w:tcPr>
          <w:p w14:paraId="4B850CA6">
            <w:pPr>
              <w:shd w:val="clear"/>
              <w:wordWrap w:val="0"/>
              <w:spacing w:line="440" w:lineRule="exact"/>
              <w:jc w:val="center"/>
              <w:rPr>
                <w:rFonts w:hint="eastAsia" w:ascii="宋体" w:hAnsi="宋体"/>
                <w:sz w:val="24"/>
                <w:highlight w:val="none"/>
              </w:rPr>
            </w:pPr>
            <w:r>
              <w:rPr>
                <w:rFonts w:hint="eastAsia" w:ascii="宋体" w:hAnsi="宋体"/>
                <w:sz w:val="24"/>
                <w:highlight w:val="none"/>
              </w:rPr>
              <w:t>1</w:t>
            </w:r>
          </w:p>
        </w:tc>
        <w:tc>
          <w:tcPr>
            <w:tcW w:w="7653" w:type="dxa"/>
            <w:vAlign w:val="center"/>
          </w:tcPr>
          <w:p w14:paraId="4A431A31">
            <w:pPr>
              <w:shd w:val="clear"/>
              <w:wordWrap w:val="0"/>
              <w:spacing w:line="440" w:lineRule="exact"/>
              <w:rPr>
                <w:rFonts w:hint="eastAsia" w:ascii="宋体" w:hAnsi="宋体"/>
                <w:sz w:val="24"/>
                <w:highlight w:val="none"/>
              </w:rPr>
            </w:pPr>
            <w:r>
              <w:rPr>
                <w:rFonts w:hint="eastAsia" w:ascii="宋体" w:hAnsi="宋体"/>
                <w:sz w:val="24"/>
                <w:highlight w:val="none"/>
              </w:rPr>
              <w:t>乙方须按照询比文件要求以及乙方参选文件承诺提供服务。</w:t>
            </w:r>
          </w:p>
        </w:tc>
      </w:tr>
      <w:tr w14:paraId="740FB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left w:val="single" w:color="auto" w:sz="4" w:space="0"/>
            </w:tcBorders>
            <w:vAlign w:val="center"/>
          </w:tcPr>
          <w:p w14:paraId="2D4F9706">
            <w:pPr>
              <w:shd w:val="clear"/>
              <w:wordWrap w:val="0"/>
              <w:spacing w:line="440" w:lineRule="exact"/>
              <w:jc w:val="center"/>
              <w:rPr>
                <w:rFonts w:hint="eastAsia" w:ascii="宋体" w:hAnsi="宋体"/>
                <w:sz w:val="24"/>
                <w:highlight w:val="none"/>
              </w:rPr>
            </w:pPr>
            <w:r>
              <w:rPr>
                <w:rFonts w:hint="eastAsia" w:ascii="宋体" w:hAnsi="宋体"/>
                <w:sz w:val="24"/>
                <w:highlight w:val="none"/>
              </w:rPr>
              <w:t>2</w:t>
            </w:r>
          </w:p>
        </w:tc>
        <w:tc>
          <w:tcPr>
            <w:tcW w:w="7653" w:type="dxa"/>
            <w:vAlign w:val="center"/>
          </w:tcPr>
          <w:p w14:paraId="61617D45">
            <w:pPr>
              <w:shd w:val="clear"/>
              <w:wordWrap w:val="0"/>
              <w:spacing w:line="440" w:lineRule="exact"/>
              <w:rPr>
                <w:rFonts w:hint="eastAsia" w:ascii="宋体" w:hAnsi="宋体"/>
                <w:sz w:val="24"/>
                <w:highlight w:val="none"/>
              </w:rPr>
            </w:pPr>
            <w:r>
              <w:rPr>
                <w:rFonts w:hint="eastAsia" w:ascii="宋体" w:hAnsi="宋体"/>
                <w:sz w:val="24"/>
                <w:highlight w:val="none"/>
              </w:rPr>
              <w:t>乙方须指定专人：姓名</w:t>
            </w:r>
            <w:r>
              <w:rPr>
                <w:rFonts w:hint="eastAsia" w:ascii="宋体" w:hAnsi="宋体"/>
                <w:sz w:val="24"/>
                <w:highlight w:val="none"/>
                <w:u w:val="single"/>
              </w:rPr>
              <w:t xml:space="preserve">           </w:t>
            </w:r>
            <w:r>
              <w:rPr>
                <w:rFonts w:hint="eastAsia" w:ascii="宋体" w:hAnsi="宋体"/>
                <w:sz w:val="24"/>
                <w:highlight w:val="none"/>
              </w:rPr>
              <w:t>、身份证号</w:t>
            </w:r>
            <w:r>
              <w:rPr>
                <w:rFonts w:hint="eastAsia" w:ascii="宋体" w:hAnsi="宋体"/>
                <w:sz w:val="24"/>
                <w:highlight w:val="none"/>
                <w:u w:val="single"/>
              </w:rPr>
              <w:t xml:space="preserve">         </w:t>
            </w:r>
            <w:r>
              <w:rPr>
                <w:rFonts w:hint="eastAsia" w:ascii="宋体" w:hAnsi="宋体"/>
                <w:sz w:val="24"/>
                <w:highlight w:val="none"/>
              </w:rPr>
              <w:t xml:space="preserve">与甲方联系。 </w:t>
            </w:r>
          </w:p>
        </w:tc>
      </w:tr>
      <w:tr w14:paraId="7A14E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left w:val="single" w:color="auto" w:sz="4" w:space="0"/>
            </w:tcBorders>
            <w:vAlign w:val="center"/>
          </w:tcPr>
          <w:p w14:paraId="1972BE36">
            <w:pPr>
              <w:shd w:val="clear"/>
              <w:wordWrap w:val="0"/>
              <w:spacing w:line="440" w:lineRule="exact"/>
              <w:jc w:val="center"/>
              <w:rPr>
                <w:rFonts w:hint="eastAsia" w:ascii="宋体" w:hAnsi="宋体"/>
                <w:sz w:val="24"/>
                <w:highlight w:val="none"/>
              </w:rPr>
            </w:pPr>
            <w:r>
              <w:rPr>
                <w:rFonts w:hint="eastAsia" w:ascii="宋体" w:hAnsi="宋体"/>
                <w:sz w:val="24"/>
                <w:highlight w:val="none"/>
              </w:rPr>
              <w:t>3</w:t>
            </w:r>
          </w:p>
        </w:tc>
        <w:tc>
          <w:tcPr>
            <w:tcW w:w="7653" w:type="dxa"/>
            <w:vAlign w:val="center"/>
          </w:tcPr>
          <w:p w14:paraId="61F7CA33">
            <w:pPr>
              <w:shd w:val="clear"/>
              <w:wordWrap w:val="0"/>
              <w:spacing w:line="440" w:lineRule="exact"/>
              <w:rPr>
                <w:rFonts w:hint="eastAsia" w:ascii="宋体" w:hAnsi="宋体"/>
                <w:sz w:val="24"/>
                <w:highlight w:val="none"/>
              </w:rPr>
            </w:pPr>
          </w:p>
        </w:tc>
      </w:tr>
      <w:tr w14:paraId="5DFC2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left w:val="single" w:color="auto" w:sz="4" w:space="0"/>
            </w:tcBorders>
            <w:vAlign w:val="center"/>
          </w:tcPr>
          <w:p w14:paraId="0E6062C8">
            <w:pPr>
              <w:shd w:val="clear"/>
              <w:wordWrap w:val="0"/>
              <w:spacing w:line="440" w:lineRule="exact"/>
              <w:jc w:val="center"/>
              <w:rPr>
                <w:rFonts w:hint="eastAsia" w:ascii="宋体" w:hAnsi="宋体"/>
                <w:sz w:val="24"/>
                <w:highlight w:val="none"/>
              </w:rPr>
            </w:pPr>
            <w:r>
              <w:rPr>
                <w:rFonts w:hint="eastAsia" w:ascii="宋体" w:hAnsi="宋体"/>
                <w:sz w:val="24"/>
                <w:highlight w:val="none"/>
              </w:rPr>
              <w:t>4</w:t>
            </w:r>
          </w:p>
        </w:tc>
        <w:tc>
          <w:tcPr>
            <w:tcW w:w="7653" w:type="dxa"/>
            <w:vAlign w:val="center"/>
          </w:tcPr>
          <w:p w14:paraId="22BA3E7E">
            <w:pPr>
              <w:shd w:val="clear"/>
              <w:wordWrap w:val="0"/>
              <w:spacing w:line="440" w:lineRule="exact"/>
              <w:ind w:firstLine="420" w:firstLineChars="200"/>
              <w:rPr>
                <w:highlight w:val="none"/>
              </w:rPr>
            </w:pPr>
          </w:p>
        </w:tc>
      </w:tr>
      <w:tr w14:paraId="4DC96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left w:val="single" w:color="auto" w:sz="4" w:space="0"/>
            </w:tcBorders>
            <w:vAlign w:val="center"/>
          </w:tcPr>
          <w:p w14:paraId="2D2C86B9">
            <w:pPr>
              <w:shd w:val="clear"/>
              <w:wordWrap w:val="0"/>
              <w:spacing w:line="440" w:lineRule="exact"/>
              <w:jc w:val="center"/>
              <w:rPr>
                <w:rFonts w:hint="eastAsia" w:ascii="宋体" w:hAnsi="宋体"/>
                <w:sz w:val="24"/>
                <w:highlight w:val="none"/>
              </w:rPr>
            </w:pPr>
          </w:p>
        </w:tc>
        <w:tc>
          <w:tcPr>
            <w:tcW w:w="7653" w:type="dxa"/>
            <w:vAlign w:val="center"/>
          </w:tcPr>
          <w:p w14:paraId="20393596">
            <w:pPr>
              <w:shd w:val="clear"/>
              <w:wordWrap w:val="0"/>
              <w:spacing w:line="440" w:lineRule="exact"/>
              <w:rPr>
                <w:rFonts w:hint="eastAsia" w:ascii="宋体" w:hAnsi="宋体"/>
                <w:sz w:val="24"/>
                <w:highlight w:val="none"/>
                <w:u w:val="single"/>
              </w:rPr>
            </w:pPr>
          </w:p>
        </w:tc>
      </w:tr>
      <w:tr w14:paraId="499D8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left w:val="single" w:color="auto" w:sz="4" w:space="0"/>
            </w:tcBorders>
            <w:vAlign w:val="center"/>
          </w:tcPr>
          <w:p w14:paraId="43AD3206">
            <w:pPr>
              <w:shd w:val="clear"/>
              <w:wordWrap w:val="0"/>
              <w:spacing w:line="440" w:lineRule="exact"/>
              <w:jc w:val="center"/>
              <w:rPr>
                <w:rFonts w:hint="eastAsia" w:ascii="宋体" w:hAnsi="宋体"/>
                <w:sz w:val="24"/>
                <w:highlight w:val="none"/>
              </w:rPr>
            </w:pPr>
          </w:p>
        </w:tc>
        <w:tc>
          <w:tcPr>
            <w:tcW w:w="7653" w:type="dxa"/>
            <w:vAlign w:val="center"/>
          </w:tcPr>
          <w:p w14:paraId="6664F1CF">
            <w:pPr>
              <w:shd w:val="clear"/>
              <w:wordWrap w:val="0"/>
              <w:spacing w:line="440" w:lineRule="exact"/>
              <w:rPr>
                <w:rFonts w:hint="eastAsia" w:ascii="宋体" w:hAnsi="宋体"/>
                <w:sz w:val="24"/>
                <w:highlight w:val="none"/>
              </w:rPr>
            </w:pPr>
          </w:p>
        </w:tc>
      </w:tr>
      <w:tr w14:paraId="3F56D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left w:val="single" w:color="auto" w:sz="4" w:space="0"/>
            </w:tcBorders>
            <w:vAlign w:val="center"/>
          </w:tcPr>
          <w:p w14:paraId="3B2C006E">
            <w:pPr>
              <w:shd w:val="clear"/>
              <w:wordWrap w:val="0"/>
              <w:spacing w:line="440" w:lineRule="exact"/>
              <w:jc w:val="center"/>
              <w:rPr>
                <w:rFonts w:hint="eastAsia" w:ascii="宋体" w:hAnsi="宋体"/>
                <w:sz w:val="24"/>
                <w:highlight w:val="none"/>
              </w:rPr>
            </w:pPr>
          </w:p>
        </w:tc>
        <w:tc>
          <w:tcPr>
            <w:tcW w:w="7653" w:type="dxa"/>
            <w:vAlign w:val="center"/>
          </w:tcPr>
          <w:p w14:paraId="22194ACA">
            <w:pPr>
              <w:shd w:val="clear"/>
              <w:wordWrap w:val="0"/>
              <w:spacing w:line="440" w:lineRule="exact"/>
              <w:rPr>
                <w:rFonts w:hint="eastAsia" w:ascii="宋体" w:hAnsi="宋体"/>
                <w:sz w:val="24"/>
                <w:highlight w:val="none"/>
                <w:u w:val="single"/>
              </w:rPr>
            </w:pPr>
          </w:p>
        </w:tc>
      </w:tr>
      <w:tr w14:paraId="324D2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left w:val="single" w:color="auto" w:sz="4" w:space="0"/>
            </w:tcBorders>
            <w:vAlign w:val="center"/>
          </w:tcPr>
          <w:p w14:paraId="029575E8">
            <w:pPr>
              <w:shd w:val="clear"/>
              <w:wordWrap w:val="0"/>
              <w:spacing w:line="440" w:lineRule="exact"/>
              <w:jc w:val="center"/>
              <w:rPr>
                <w:rFonts w:hint="eastAsia" w:ascii="宋体" w:hAnsi="宋体"/>
                <w:sz w:val="24"/>
                <w:highlight w:val="none"/>
              </w:rPr>
            </w:pPr>
          </w:p>
        </w:tc>
        <w:tc>
          <w:tcPr>
            <w:tcW w:w="7653" w:type="dxa"/>
            <w:vAlign w:val="center"/>
          </w:tcPr>
          <w:p w14:paraId="3AD902CC">
            <w:pPr>
              <w:shd w:val="clear"/>
              <w:wordWrap w:val="0"/>
              <w:spacing w:line="440" w:lineRule="exact"/>
              <w:rPr>
                <w:rFonts w:hint="eastAsia" w:ascii="宋体" w:hAnsi="宋体"/>
                <w:sz w:val="24"/>
                <w:highlight w:val="none"/>
              </w:rPr>
            </w:pPr>
          </w:p>
        </w:tc>
      </w:tr>
      <w:tr w14:paraId="576F2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left w:val="single" w:color="auto" w:sz="4" w:space="0"/>
            </w:tcBorders>
            <w:vAlign w:val="center"/>
          </w:tcPr>
          <w:p w14:paraId="55709B8C">
            <w:pPr>
              <w:shd w:val="clear"/>
              <w:wordWrap w:val="0"/>
              <w:spacing w:line="440" w:lineRule="exact"/>
              <w:jc w:val="center"/>
              <w:rPr>
                <w:rFonts w:hint="eastAsia" w:ascii="宋体" w:hAnsi="宋体"/>
                <w:sz w:val="24"/>
                <w:highlight w:val="none"/>
              </w:rPr>
            </w:pPr>
          </w:p>
        </w:tc>
        <w:tc>
          <w:tcPr>
            <w:tcW w:w="7653" w:type="dxa"/>
            <w:vAlign w:val="center"/>
          </w:tcPr>
          <w:p w14:paraId="5C0C1ADB">
            <w:pPr>
              <w:shd w:val="clear"/>
              <w:wordWrap w:val="0"/>
              <w:spacing w:line="440" w:lineRule="exact"/>
              <w:rPr>
                <w:rFonts w:hint="eastAsia" w:ascii="宋体" w:hAnsi="宋体"/>
                <w:sz w:val="24"/>
                <w:highlight w:val="none"/>
              </w:rPr>
            </w:pPr>
          </w:p>
        </w:tc>
      </w:tr>
      <w:tr w14:paraId="32573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left w:val="single" w:color="auto" w:sz="4" w:space="0"/>
            </w:tcBorders>
            <w:vAlign w:val="center"/>
          </w:tcPr>
          <w:p w14:paraId="5ECFEC51">
            <w:pPr>
              <w:shd w:val="clear"/>
              <w:wordWrap w:val="0"/>
              <w:spacing w:line="440" w:lineRule="exact"/>
              <w:jc w:val="center"/>
              <w:rPr>
                <w:rFonts w:hint="eastAsia" w:ascii="宋体" w:hAnsi="宋体"/>
                <w:sz w:val="24"/>
                <w:highlight w:val="none"/>
              </w:rPr>
            </w:pPr>
          </w:p>
        </w:tc>
        <w:tc>
          <w:tcPr>
            <w:tcW w:w="7653" w:type="dxa"/>
            <w:vAlign w:val="center"/>
          </w:tcPr>
          <w:p w14:paraId="69A9CE2B">
            <w:pPr>
              <w:shd w:val="clear"/>
              <w:wordWrap w:val="0"/>
              <w:spacing w:line="440" w:lineRule="exact"/>
              <w:rPr>
                <w:rFonts w:hint="eastAsia" w:ascii="宋体" w:hAnsi="宋体"/>
                <w:sz w:val="24"/>
                <w:highlight w:val="none"/>
              </w:rPr>
            </w:pPr>
          </w:p>
        </w:tc>
      </w:tr>
      <w:tr w14:paraId="1139A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56579EC2">
            <w:pPr>
              <w:shd w:val="clear"/>
              <w:wordWrap w:val="0"/>
              <w:spacing w:line="440" w:lineRule="exact"/>
              <w:jc w:val="center"/>
              <w:rPr>
                <w:rFonts w:hint="eastAsia" w:ascii="宋体" w:hAnsi="宋体"/>
                <w:sz w:val="24"/>
                <w:highlight w:val="none"/>
              </w:rPr>
            </w:pPr>
          </w:p>
        </w:tc>
        <w:tc>
          <w:tcPr>
            <w:tcW w:w="7653" w:type="dxa"/>
            <w:tcBorders>
              <w:top w:val="single" w:color="auto" w:sz="6" w:space="0"/>
              <w:left w:val="single" w:color="auto" w:sz="6" w:space="0"/>
              <w:bottom w:val="single" w:color="auto" w:sz="6" w:space="0"/>
              <w:right w:val="single" w:color="auto" w:sz="6" w:space="0"/>
            </w:tcBorders>
            <w:vAlign w:val="center"/>
          </w:tcPr>
          <w:p w14:paraId="7A72627F">
            <w:pPr>
              <w:shd w:val="clear"/>
              <w:wordWrap w:val="0"/>
              <w:spacing w:line="440" w:lineRule="exact"/>
              <w:rPr>
                <w:rFonts w:hint="eastAsia" w:ascii="宋体" w:hAnsi="宋体"/>
                <w:sz w:val="24"/>
                <w:highlight w:val="none"/>
              </w:rPr>
            </w:pPr>
          </w:p>
        </w:tc>
      </w:tr>
      <w:tr w14:paraId="15AAA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6B355401">
            <w:pPr>
              <w:shd w:val="clear"/>
              <w:wordWrap w:val="0"/>
              <w:spacing w:line="440" w:lineRule="exact"/>
              <w:jc w:val="center"/>
              <w:rPr>
                <w:rFonts w:hint="eastAsia" w:ascii="宋体" w:hAnsi="宋体"/>
                <w:sz w:val="24"/>
                <w:highlight w:val="none"/>
              </w:rPr>
            </w:pPr>
          </w:p>
        </w:tc>
        <w:tc>
          <w:tcPr>
            <w:tcW w:w="7653" w:type="dxa"/>
            <w:tcBorders>
              <w:top w:val="single" w:color="auto" w:sz="6" w:space="0"/>
              <w:left w:val="single" w:color="auto" w:sz="6" w:space="0"/>
              <w:bottom w:val="single" w:color="auto" w:sz="6" w:space="0"/>
              <w:right w:val="single" w:color="auto" w:sz="6" w:space="0"/>
            </w:tcBorders>
            <w:vAlign w:val="center"/>
          </w:tcPr>
          <w:p w14:paraId="77E48AB8">
            <w:pPr>
              <w:shd w:val="clear"/>
              <w:wordWrap w:val="0"/>
              <w:spacing w:line="440" w:lineRule="exact"/>
              <w:rPr>
                <w:rFonts w:hint="eastAsia" w:ascii="宋体" w:hAnsi="宋体"/>
                <w:sz w:val="24"/>
                <w:highlight w:val="none"/>
              </w:rPr>
            </w:pPr>
          </w:p>
        </w:tc>
      </w:tr>
    </w:tbl>
    <w:p w14:paraId="4E9A7A01">
      <w:pPr>
        <w:widowControl/>
        <w:shd w:val="clear"/>
        <w:wordWrap w:val="0"/>
        <w:spacing w:line="440" w:lineRule="exact"/>
        <w:jc w:val="left"/>
        <w:rPr>
          <w:rFonts w:hint="eastAsia" w:ascii="宋体" w:hAnsi="宋体"/>
          <w:sz w:val="24"/>
          <w:highlight w:val="none"/>
        </w:rPr>
        <w:sectPr>
          <w:footerReference r:id="rId3" w:type="default"/>
          <w:pgSz w:w="11906" w:h="16838"/>
          <w:pgMar w:top="1440" w:right="1706" w:bottom="1440" w:left="1800" w:header="851" w:footer="992" w:gutter="0"/>
          <w:cols w:space="720" w:num="1"/>
          <w:docGrid w:type="lines" w:linePitch="312" w:charSpace="0"/>
        </w:sectPr>
      </w:pPr>
    </w:p>
    <w:p w14:paraId="174765E9">
      <w:pPr>
        <w:shd w:val="clear"/>
        <w:spacing w:line="592" w:lineRule="exact"/>
        <w:jc w:val="left"/>
        <w:rPr>
          <w:rFonts w:hint="eastAsia" w:ascii="宋体" w:hAnsi="宋体" w:cs="宋体"/>
          <w:b/>
          <w:kern w:val="0"/>
          <w:sz w:val="28"/>
          <w:szCs w:val="24"/>
          <w:highlight w:val="none"/>
          <w:shd w:val="clear" w:color="auto" w:fill="FFFFFF"/>
          <w:lang w:bidi="ar"/>
        </w:rPr>
      </w:pPr>
      <w:r>
        <w:rPr>
          <w:rFonts w:hint="eastAsia" w:ascii="宋体" w:hAnsi="宋体" w:cs="宋体"/>
          <w:b/>
          <w:kern w:val="0"/>
          <w:sz w:val="28"/>
          <w:szCs w:val="24"/>
          <w:highlight w:val="none"/>
          <w:shd w:val="clear" w:color="auto" w:fill="FFFFFF"/>
          <w:lang w:bidi="ar"/>
        </w:rPr>
        <w:t>附件：</w:t>
      </w:r>
    </w:p>
    <w:p w14:paraId="291D648D">
      <w:pPr>
        <w:shd w:val="clear"/>
        <w:jc w:val="center"/>
        <w:rPr>
          <w:rFonts w:hint="eastAsia" w:ascii="宋体" w:hAnsi="宋体" w:cs="宋体"/>
          <w:b/>
          <w:sz w:val="28"/>
          <w:szCs w:val="44"/>
          <w:highlight w:val="none"/>
        </w:rPr>
      </w:pPr>
      <w:r>
        <w:rPr>
          <w:rFonts w:hint="eastAsia" w:ascii="宋体" w:hAnsi="宋体" w:cs="宋体"/>
          <w:b/>
          <w:sz w:val="28"/>
          <w:szCs w:val="44"/>
          <w:highlight w:val="none"/>
        </w:rPr>
        <w:t>履约评价表</w:t>
      </w:r>
    </w:p>
    <w:tbl>
      <w:tblPr>
        <w:tblStyle w:val="27"/>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1"/>
        <w:gridCol w:w="312"/>
        <w:gridCol w:w="3578"/>
        <w:gridCol w:w="1960"/>
        <w:gridCol w:w="2158"/>
      </w:tblGrid>
      <w:tr w14:paraId="7BE9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992" w:type="pct"/>
            <w:vAlign w:val="center"/>
          </w:tcPr>
          <w:p w14:paraId="67A744F2">
            <w:pPr>
              <w:shd w:val="clear"/>
              <w:jc w:val="center"/>
              <w:rPr>
                <w:rFonts w:hint="eastAsia" w:ascii="宋体" w:hAnsi="宋体" w:cs="宋体"/>
                <w:sz w:val="24"/>
                <w:highlight w:val="none"/>
              </w:rPr>
            </w:pPr>
            <w:r>
              <w:rPr>
                <w:rFonts w:hint="eastAsia" w:ascii="宋体" w:hAnsi="宋体" w:cs="宋体"/>
                <w:sz w:val="24"/>
                <w:highlight w:val="none"/>
              </w:rPr>
              <w:t>采购项目名称</w:t>
            </w:r>
          </w:p>
        </w:tc>
        <w:tc>
          <w:tcPr>
            <w:tcW w:w="1947" w:type="pct"/>
            <w:gridSpan w:val="2"/>
            <w:vAlign w:val="center"/>
          </w:tcPr>
          <w:p w14:paraId="170CDBF2">
            <w:pPr>
              <w:shd w:val="clear"/>
              <w:jc w:val="center"/>
              <w:rPr>
                <w:rFonts w:hint="eastAsia" w:ascii="宋体" w:hAnsi="宋体" w:cs="宋体"/>
                <w:sz w:val="24"/>
                <w:highlight w:val="none"/>
              </w:rPr>
            </w:pPr>
          </w:p>
        </w:tc>
        <w:tc>
          <w:tcPr>
            <w:tcW w:w="981" w:type="pct"/>
            <w:vAlign w:val="center"/>
          </w:tcPr>
          <w:p w14:paraId="635E9932">
            <w:pPr>
              <w:shd w:val="clear"/>
              <w:jc w:val="center"/>
              <w:rPr>
                <w:rFonts w:hint="eastAsia" w:ascii="宋体" w:hAnsi="宋体" w:cs="宋体"/>
                <w:sz w:val="24"/>
                <w:highlight w:val="none"/>
              </w:rPr>
            </w:pPr>
            <w:r>
              <w:rPr>
                <w:rFonts w:hint="eastAsia" w:ascii="宋体" w:hAnsi="宋体" w:cs="宋体"/>
                <w:sz w:val="24"/>
                <w:highlight w:val="none"/>
              </w:rPr>
              <w:t>项目编号</w:t>
            </w:r>
          </w:p>
        </w:tc>
        <w:tc>
          <w:tcPr>
            <w:tcW w:w="1078" w:type="pct"/>
            <w:vAlign w:val="center"/>
          </w:tcPr>
          <w:p w14:paraId="3F27FB8A">
            <w:pPr>
              <w:shd w:val="clear"/>
              <w:spacing w:after="200"/>
              <w:ind w:firstLine="480"/>
              <w:rPr>
                <w:rFonts w:hint="eastAsia" w:ascii="宋体" w:hAnsi="宋体" w:cs="宋体"/>
                <w:sz w:val="24"/>
                <w:highlight w:val="none"/>
              </w:rPr>
            </w:pPr>
          </w:p>
        </w:tc>
      </w:tr>
      <w:tr w14:paraId="7DD4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992" w:type="pct"/>
            <w:vAlign w:val="center"/>
          </w:tcPr>
          <w:p w14:paraId="50429E72">
            <w:pPr>
              <w:shd w:val="clear"/>
              <w:jc w:val="center"/>
              <w:rPr>
                <w:rFonts w:hint="eastAsia" w:ascii="宋体" w:hAnsi="宋体" w:cs="宋体"/>
                <w:sz w:val="24"/>
                <w:highlight w:val="none"/>
              </w:rPr>
            </w:pPr>
            <w:r>
              <w:rPr>
                <w:rFonts w:hint="eastAsia" w:ascii="宋体" w:hAnsi="宋体" w:cs="宋体"/>
                <w:sz w:val="24"/>
                <w:highlight w:val="none"/>
              </w:rPr>
              <w:t>供应商名称</w:t>
            </w:r>
          </w:p>
        </w:tc>
        <w:tc>
          <w:tcPr>
            <w:tcW w:w="1947" w:type="pct"/>
            <w:gridSpan w:val="2"/>
            <w:vAlign w:val="center"/>
          </w:tcPr>
          <w:p w14:paraId="26C56C08">
            <w:pPr>
              <w:shd w:val="clear"/>
              <w:jc w:val="center"/>
              <w:rPr>
                <w:rFonts w:hint="eastAsia" w:ascii="宋体" w:hAnsi="宋体" w:cs="宋体"/>
                <w:sz w:val="24"/>
                <w:highlight w:val="none"/>
              </w:rPr>
            </w:pPr>
          </w:p>
        </w:tc>
        <w:tc>
          <w:tcPr>
            <w:tcW w:w="981" w:type="pct"/>
            <w:vAlign w:val="center"/>
          </w:tcPr>
          <w:p w14:paraId="7ECE48F7">
            <w:pPr>
              <w:shd w:val="clear"/>
              <w:jc w:val="center"/>
              <w:rPr>
                <w:rFonts w:hint="eastAsia" w:ascii="宋体" w:hAnsi="宋体" w:cs="宋体"/>
                <w:sz w:val="24"/>
                <w:highlight w:val="none"/>
              </w:rPr>
            </w:pPr>
            <w:r>
              <w:rPr>
                <w:rFonts w:hint="eastAsia" w:ascii="宋体" w:hAnsi="宋体" w:cs="宋体"/>
                <w:sz w:val="24"/>
                <w:highlight w:val="none"/>
              </w:rPr>
              <w:t>供应商联系人</w:t>
            </w:r>
          </w:p>
        </w:tc>
        <w:tc>
          <w:tcPr>
            <w:tcW w:w="1078" w:type="pct"/>
            <w:vAlign w:val="center"/>
          </w:tcPr>
          <w:p w14:paraId="4AD238AC">
            <w:pPr>
              <w:shd w:val="clear"/>
              <w:spacing w:after="200"/>
              <w:ind w:firstLine="480"/>
              <w:rPr>
                <w:rFonts w:hint="eastAsia" w:ascii="宋体" w:hAnsi="宋体" w:cs="宋体"/>
                <w:sz w:val="24"/>
                <w:highlight w:val="none"/>
              </w:rPr>
            </w:pPr>
          </w:p>
        </w:tc>
      </w:tr>
      <w:tr w14:paraId="77AA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992" w:type="pct"/>
            <w:vAlign w:val="center"/>
          </w:tcPr>
          <w:p w14:paraId="6C5EAFCF">
            <w:pPr>
              <w:shd w:val="clear"/>
              <w:jc w:val="center"/>
              <w:rPr>
                <w:rFonts w:hint="eastAsia" w:ascii="宋体" w:hAnsi="宋体" w:cs="宋体"/>
                <w:sz w:val="24"/>
                <w:highlight w:val="none"/>
              </w:rPr>
            </w:pPr>
            <w:r>
              <w:rPr>
                <w:rFonts w:hint="eastAsia" w:ascii="宋体" w:hAnsi="宋体" w:cs="宋体"/>
                <w:sz w:val="24"/>
                <w:highlight w:val="none"/>
              </w:rPr>
              <w:t>合同金额</w:t>
            </w:r>
          </w:p>
        </w:tc>
        <w:tc>
          <w:tcPr>
            <w:tcW w:w="1947" w:type="pct"/>
            <w:gridSpan w:val="2"/>
            <w:vAlign w:val="center"/>
          </w:tcPr>
          <w:p w14:paraId="078B7BA2">
            <w:pPr>
              <w:shd w:val="clear"/>
              <w:jc w:val="center"/>
              <w:rPr>
                <w:rFonts w:hint="eastAsia" w:ascii="宋体" w:hAnsi="宋体" w:cs="宋体"/>
                <w:sz w:val="24"/>
                <w:highlight w:val="none"/>
              </w:rPr>
            </w:pPr>
          </w:p>
        </w:tc>
        <w:tc>
          <w:tcPr>
            <w:tcW w:w="981" w:type="pct"/>
            <w:vAlign w:val="center"/>
          </w:tcPr>
          <w:p w14:paraId="0D12AAD4">
            <w:pPr>
              <w:shd w:val="clear"/>
              <w:jc w:val="center"/>
              <w:rPr>
                <w:rFonts w:hint="eastAsia" w:ascii="宋体" w:hAnsi="宋体" w:cs="宋体"/>
                <w:sz w:val="24"/>
                <w:highlight w:val="none"/>
              </w:rPr>
            </w:pPr>
            <w:r>
              <w:rPr>
                <w:rFonts w:hint="eastAsia" w:ascii="宋体" w:hAnsi="宋体" w:cs="宋体"/>
                <w:sz w:val="24"/>
                <w:highlight w:val="none"/>
              </w:rPr>
              <w:t>合同履约时间</w:t>
            </w:r>
          </w:p>
        </w:tc>
        <w:tc>
          <w:tcPr>
            <w:tcW w:w="1078" w:type="pct"/>
            <w:vAlign w:val="center"/>
          </w:tcPr>
          <w:p w14:paraId="20304A9A">
            <w:pPr>
              <w:shd w:val="clear"/>
              <w:spacing w:after="200"/>
              <w:ind w:firstLine="480"/>
              <w:rPr>
                <w:rFonts w:hint="eastAsia" w:ascii="宋体" w:hAnsi="宋体" w:cs="宋体"/>
                <w:sz w:val="24"/>
                <w:highlight w:val="none"/>
              </w:rPr>
            </w:pPr>
          </w:p>
        </w:tc>
      </w:tr>
      <w:tr w14:paraId="0BF5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5000" w:type="pct"/>
            <w:gridSpan w:val="5"/>
            <w:vAlign w:val="center"/>
          </w:tcPr>
          <w:p w14:paraId="6E066E4B">
            <w:pPr>
              <w:shd w:val="clear"/>
              <w:spacing w:after="200"/>
              <w:rPr>
                <w:rFonts w:hint="eastAsia" w:ascii="宋体" w:hAnsi="宋体" w:cs="宋体"/>
                <w:b/>
                <w:bCs/>
                <w:sz w:val="24"/>
                <w:highlight w:val="none"/>
              </w:rPr>
            </w:pPr>
            <w:r>
              <w:rPr>
                <w:rFonts w:hint="eastAsia" w:ascii="宋体" w:hAnsi="宋体" w:cs="宋体"/>
                <w:b/>
                <w:sz w:val="24"/>
                <w:highlight w:val="none"/>
              </w:rPr>
              <w:t>履约评价：（</w:t>
            </w:r>
            <w:r>
              <w:rPr>
                <w:rFonts w:hint="eastAsia" w:ascii="宋体" w:hAnsi="宋体" w:cs="宋体"/>
                <w:bCs/>
                <w:sz w:val="24"/>
                <w:highlight w:val="none"/>
              </w:rPr>
              <w:t>请在所选项的</w:t>
            </w:r>
            <w:r>
              <w:rPr>
                <w:rFonts w:hint="eastAsia" w:ascii="宋体" w:hAnsi="宋体" w:cs="宋体"/>
                <w:sz w:val="24"/>
                <w:highlight w:val="none"/>
              </w:rPr>
              <w:t>□</w:t>
            </w:r>
            <w:r>
              <w:rPr>
                <w:rFonts w:hint="eastAsia" w:ascii="宋体" w:hAnsi="宋体" w:cs="宋体"/>
                <w:bCs/>
                <w:sz w:val="24"/>
                <w:highlight w:val="none"/>
              </w:rPr>
              <w:t>内打√)</w:t>
            </w:r>
          </w:p>
          <w:p w14:paraId="07C22BA9">
            <w:pPr>
              <w:shd w:val="clear"/>
              <w:spacing w:after="200"/>
              <w:ind w:firstLine="240" w:firstLineChars="100"/>
              <w:rPr>
                <w:rFonts w:hint="eastAsia" w:ascii="宋体" w:hAnsi="宋体" w:cs="宋体"/>
                <w:sz w:val="24"/>
                <w:highlight w:val="none"/>
              </w:rPr>
            </w:pPr>
            <w:r>
              <w:rPr>
                <w:rFonts w:hint="eastAsia" w:ascii="宋体" w:hAnsi="宋体" w:cs="宋体"/>
                <w:sz w:val="24"/>
                <w:highlight w:val="none"/>
              </w:rPr>
              <w:t>1．产品质量： 满意 □   基本满意 □   不满意□   很不满意□</w:t>
            </w:r>
          </w:p>
          <w:p w14:paraId="3F11A1F9">
            <w:pPr>
              <w:shd w:val="clear"/>
              <w:spacing w:after="200"/>
              <w:ind w:firstLine="240" w:firstLineChars="100"/>
              <w:rPr>
                <w:rFonts w:hint="eastAsia" w:ascii="宋体" w:hAnsi="宋体" w:cs="宋体"/>
                <w:sz w:val="24"/>
                <w:highlight w:val="none"/>
              </w:rPr>
            </w:pPr>
            <w:r>
              <w:rPr>
                <w:rFonts w:hint="eastAsia" w:ascii="宋体" w:hAnsi="宋体" w:cs="宋体"/>
                <w:sz w:val="24"/>
                <w:highlight w:val="none"/>
              </w:rPr>
              <w:t>2．服务期限： 满意 □   基本满意 □   不满意□   很不满</w:t>
            </w:r>
            <w:r>
              <w:rPr>
                <w:rFonts w:hint="eastAsia" w:ascii="宋体" w:hAnsi="宋体" w:cs="宋体"/>
                <w:bCs/>
                <w:sz w:val="24"/>
                <w:highlight w:val="none"/>
              </w:rPr>
              <w:t>意</w:t>
            </w:r>
            <w:r>
              <w:rPr>
                <w:rFonts w:hint="eastAsia" w:ascii="宋体" w:hAnsi="宋体" w:cs="宋体"/>
                <w:sz w:val="24"/>
                <w:highlight w:val="none"/>
              </w:rPr>
              <w:t xml:space="preserve">□   </w:t>
            </w:r>
          </w:p>
          <w:p w14:paraId="227FB469">
            <w:pPr>
              <w:shd w:val="clear"/>
              <w:spacing w:after="200"/>
              <w:ind w:firstLine="240" w:firstLineChars="100"/>
              <w:rPr>
                <w:rFonts w:hint="eastAsia" w:ascii="宋体" w:hAnsi="宋体" w:cs="宋体"/>
                <w:sz w:val="24"/>
                <w:highlight w:val="none"/>
              </w:rPr>
            </w:pPr>
            <w:r>
              <w:rPr>
                <w:rFonts w:hint="eastAsia" w:ascii="宋体" w:hAnsi="宋体" w:cs="宋体"/>
                <w:sz w:val="24"/>
                <w:highlight w:val="none"/>
              </w:rPr>
              <w:t>3．服务态度： 满意 □   基本满意 □</w:t>
            </w:r>
            <w:r>
              <w:rPr>
                <w:rFonts w:hint="eastAsia" w:ascii="宋体" w:hAnsi="宋体" w:cs="宋体"/>
                <w:bCs/>
                <w:sz w:val="24"/>
                <w:highlight w:val="none"/>
              </w:rPr>
              <w:t xml:space="preserve">   不满意</w:t>
            </w:r>
            <w:r>
              <w:rPr>
                <w:rFonts w:hint="eastAsia" w:ascii="宋体" w:hAnsi="宋体" w:cs="宋体"/>
                <w:sz w:val="24"/>
                <w:highlight w:val="none"/>
              </w:rPr>
              <w:t>□</w:t>
            </w:r>
            <w:r>
              <w:rPr>
                <w:rFonts w:hint="eastAsia" w:ascii="宋体" w:hAnsi="宋体" w:cs="宋体"/>
                <w:bCs/>
                <w:sz w:val="24"/>
                <w:highlight w:val="none"/>
              </w:rPr>
              <w:t xml:space="preserve">   很不满意</w:t>
            </w:r>
            <w:r>
              <w:rPr>
                <w:rFonts w:hint="eastAsia" w:ascii="宋体" w:hAnsi="宋体" w:cs="宋体"/>
                <w:sz w:val="24"/>
                <w:highlight w:val="none"/>
              </w:rPr>
              <w:t xml:space="preserve">□  </w:t>
            </w:r>
          </w:p>
          <w:p w14:paraId="1838E9A7">
            <w:pPr>
              <w:shd w:val="clear"/>
              <w:spacing w:after="200"/>
              <w:ind w:firstLine="240" w:firstLineChars="100"/>
              <w:rPr>
                <w:rFonts w:hint="eastAsia" w:ascii="宋体" w:hAnsi="宋体" w:cs="宋体"/>
                <w:sz w:val="24"/>
                <w:highlight w:val="none"/>
              </w:rPr>
            </w:pPr>
            <w:r>
              <w:rPr>
                <w:rFonts w:hint="eastAsia" w:ascii="宋体" w:hAnsi="宋体" w:cs="宋体"/>
                <w:sz w:val="24"/>
                <w:highlight w:val="none"/>
              </w:rPr>
              <w:t>4．服务水平： 满意 □   基本满意 □   不满意□   很不满意□</w:t>
            </w:r>
          </w:p>
          <w:p w14:paraId="5A686669">
            <w:pPr>
              <w:shd w:val="clear"/>
              <w:spacing w:after="200"/>
              <w:ind w:firstLine="240" w:firstLineChars="100"/>
              <w:rPr>
                <w:rFonts w:hint="eastAsia" w:ascii="宋体" w:hAnsi="宋体" w:cs="宋体"/>
                <w:sz w:val="24"/>
                <w:highlight w:val="none"/>
              </w:rPr>
            </w:pPr>
            <w:r>
              <w:rPr>
                <w:rFonts w:hint="eastAsia" w:ascii="宋体" w:hAnsi="宋体" w:cs="宋体"/>
                <w:sz w:val="24"/>
                <w:highlight w:val="none"/>
              </w:rPr>
              <w:t>5．售后保障： 满意 □   基本满意 □   不满意□   很不满意□</w:t>
            </w:r>
          </w:p>
          <w:p w14:paraId="722DB391">
            <w:pPr>
              <w:pStyle w:val="25"/>
              <w:shd w:val="clear"/>
              <w:ind w:firstLine="210"/>
              <w:rPr>
                <w:rFonts w:hint="eastAsia"/>
                <w:highlight w:val="none"/>
                <w:lang w:eastAsia="zh-CN"/>
              </w:rPr>
            </w:pPr>
          </w:p>
          <w:p w14:paraId="5E4EB151">
            <w:pPr>
              <w:shd w:val="clear"/>
              <w:spacing w:after="200" w:line="360" w:lineRule="auto"/>
              <w:ind w:firstLine="480"/>
              <w:rPr>
                <w:rFonts w:hint="eastAsia" w:ascii="宋体" w:hAnsi="宋体" w:cs="宋体"/>
                <w:sz w:val="24"/>
                <w:highlight w:val="none"/>
              </w:rPr>
            </w:pPr>
            <w:r>
              <w:rPr>
                <w:rFonts w:hint="eastAsia" w:ascii="宋体" w:hAnsi="宋体" w:cs="宋体"/>
                <w:sz w:val="24"/>
                <w:highlight w:val="none"/>
              </w:rPr>
              <w:t>注：每个评价指标20分，满意得20分，基本满意15分，不满意，10分，很不满意5分。（勾选“不满意”或“很不满意”的须填写“存在问题和改进建议”）</w:t>
            </w:r>
          </w:p>
        </w:tc>
      </w:tr>
      <w:tr w14:paraId="6100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148" w:type="pct"/>
            <w:gridSpan w:val="2"/>
            <w:vAlign w:val="center"/>
          </w:tcPr>
          <w:p w14:paraId="5FE93970">
            <w:pPr>
              <w:shd w:val="clear"/>
              <w:spacing w:after="200"/>
              <w:rPr>
                <w:rFonts w:hint="eastAsia" w:ascii="宋体" w:hAnsi="宋体" w:cs="宋体"/>
                <w:sz w:val="24"/>
                <w:highlight w:val="none"/>
              </w:rPr>
            </w:pPr>
            <w:r>
              <w:rPr>
                <w:rFonts w:hint="eastAsia" w:ascii="宋体" w:hAnsi="宋体" w:cs="宋体"/>
                <w:sz w:val="24"/>
                <w:highlight w:val="none"/>
              </w:rPr>
              <w:t>本项目（或年度）考评得分</w:t>
            </w:r>
          </w:p>
        </w:tc>
        <w:tc>
          <w:tcPr>
            <w:tcW w:w="3851" w:type="pct"/>
            <w:gridSpan w:val="3"/>
            <w:vAlign w:val="center"/>
          </w:tcPr>
          <w:p w14:paraId="114D63F8">
            <w:pPr>
              <w:shd w:val="clear"/>
              <w:spacing w:after="200"/>
              <w:ind w:firstLine="480"/>
              <w:rPr>
                <w:rFonts w:hint="eastAsia" w:ascii="宋体" w:hAnsi="宋体" w:cs="宋体"/>
                <w:sz w:val="24"/>
                <w:highlight w:val="none"/>
              </w:rPr>
            </w:pPr>
          </w:p>
        </w:tc>
      </w:tr>
      <w:tr w14:paraId="31F6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8" w:hRule="atLeast"/>
          <w:jc w:val="center"/>
        </w:trPr>
        <w:tc>
          <w:tcPr>
            <w:tcW w:w="5000" w:type="pct"/>
            <w:gridSpan w:val="5"/>
            <w:vAlign w:val="center"/>
          </w:tcPr>
          <w:p w14:paraId="778E9AB8">
            <w:pPr>
              <w:shd w:val="clear"/>
              <w:spacing w:after="200"/>
              <w:rPr>
                <w:rFonts w:hint="eastAsia" w:ascii="宋体" w:hAnsi="宋体" w:cs="宋体"/>
                <w:sz w:val="24"/>
                <w:highlight w:val="none"/>
              </w:rPr>
            </w:pPr>
            <w:r>
              <w:rPr>
                <w:rFonts w:hint="eastAsia" w:ascii="宋体" w:hAnsi="宋体" w:cs="宋体"/>
                <w:sz w:val="24"/>
                <w:highlight w:val="none"/>
              </w:rPr>
              <w:t>存在主要问题及改进建议：</w:t>
            </w:r>
          </w:p>
          <w:p w14:paraId="34D26AE6">
            <w:pPr>
              <w:pStyle w:val="25"/>
              <w:shd w:val="clear"/>
              <w:ind w:firstLine="210"/>
              <w:rPr>
                <w:rFonts w:hint="eastAsia"/>
                <w:highlight w:val="none"/>
                <w:lang w:eastAsia="zh-CN"/>
              </w:rPr>
            </w:pPr>
          </w:p>
          <w:p w14:paraId="075BBC52">
            <w:pPr>
              <w:pStyle w:val="25"/>
              <w:shd w:val="clear"/>
              <w:ind w:firstLine="210"/>
              <w:rPr>
                <w:rFonts w:hint="eastAsia"/>
                <w:highlight w:val="none"/>
                <w:lang w:eastAsia="zh-CN"/>
              </w:rPr>
            </w:pPr>
          </w:p>
          <w:p w14:paraId="65544332">
            <w:pPr>
              <w:shd w:val="clear"/>
              <w:spacing w:after="200"/>
              <w:ind w:firstLine="480"/>
              <w:rPr>
                <w:rFonts w:hint="eastAsia" w:ascii="宋体" w:hAnsi="宋体" w:cs="宋体"/>
                <w:sz w:val="24"/>
                <w:highlight w:val="none"/>
              </w:rPr>
            </w:pPr>
            <w:r>
              <w:rPr>
                <w:rFonts w:hint="eastAsia" w:ascii="宋体" w:hAnsi="宋体" w:cs="宋体"/>
                <w:sz w:val="24"/>
                <w:highlight w:val="none"/>
              </w:rPr>
              <w:t xml:space="preserve">                                         评价单位：</w:t>
            </w:r>
          </w:p>
          <w:p w14:paraId="6CA2B1D9">
            <w:pPr>
              <w:shd w:val="clear"/>
              <w:spacing w:after="200"/>
              <w:ind w:firstLine="480"/>
              <w:rPr>
                <w:rFonts w:hint="eastAsia" w:ascii="宋体" w:hAnsi="宋体" w:cs="宋体"/>
                <w:sz w:val="24"/>
                <w:highlight w:val="none"/>
              </w:rPr>
            </w:pPr>
            <w:r>
              <w:rPr>
                <w:rFonts w:hint="eastAsia" w:ascii="宋体" w:hAnsi="宋体" w:cs="宋体"/>
                <w:sz w:val="24"/>
                <w:highlight w:val="none"/>
              </w:rPr>
              <w:t xml:space="preserve">                                         评价人：</w:t>
            </w:r>
          </w:p>
          <w:p w14:paraId="388DC61F">
            <w:pPr>
              <w:shd w:val="clear"/>
              <w:spacing w:after="200"/>
              <w:ind w:firstLine="480"/>
              <w:jc w:val="center"/>
              <w:rPr>
                <w:rFonts w:hint="eastAsia" w:ascii="宋体" w:hAnsi="宋体" w:cs="宋体"/>
                <w:sz w:val="24"/>
                <w:highlight w:val="none"/>
              </w:rPr>
            </w:pPr>
            <w:r>
              <w:rPr>
                <w:rFonts w:hint="eastAsia" w:ascii="宋体" w:hAnsi="宋体" w:cs="宋体"/>
                <w:sz w:val="24"/>
                <w:highlight w:val="none"/>
              </w:rPr>
              <w:t xml:space="preserve">                      评价日期：     </w:t>
            </w:r>
          </w:p>
        </w:tc>
      </w:tr>
    </w:tbl>
    <w:p w14:paraId="553A5653">
      <w:pPr>
        <w:shd w:val="clear"/>
        <w:spacing w:line="360" w:lineRule="auto"/>
        <w:jc w:val="center"/>
        <w:rPr>
          <w:rFonts w:hint="eastAsia" w:ascii="宋体" w:hAnsi="宋体" w:cs="宋体"/>
          <w:b/>
          <w:sz w:val="48"/>
          <w:szCs w:val="48"/>
          <w:highlight w:val="none"/>
        </w:rPr>
      </w:pPr>
      <w:r>
        <w:rPr>
          <w:rFonts w:hint="eastAsia" w:ascii="宋体" w:hAnsi="宋体" w:cs="宋体"/>
          <w:b/>
          <w:sz w:val="28"/>
          <w:szCs w:val="28"/>
          <w:highlight w:val="none"/>
        </w:rPr>
        <w:br w:type="page"/>
      </w:r>
    </w:p>
    <w:p w14:paraId="3A0E8D89">
      <w:pPr>
        <w:shd w:val="clear"/>
        <w:jc w:val="center"/>
        <w:rPr>
          <w:rFonts w:hint="eastAsia" w:ascii="宋体" w:hAnsi="宋体" w:cs="宋体"/>
          <w:b/>
          <w:sz w:val="48"/>
          <w:szCs w:val="48"/>
          <w:highlight w:val="none"/>
        </w:rPr>
      </w:pPr>
    </w:p>
    <w:p w14:paraId="5B58A360">
      <w:pPr>
        <w:shd w:val="clear"/>
        <w:jc w:val="center"/>
        <w:rPr>
          <w:rFonts w:hint="eastAsia" w:ascii="宋体" w:hAnsi="宋体" w:cs="宋体"/>
          <w:b/>
          <w:sz w:val="48"/>
          <w:szCs w:val="48"/>
          <w:highlight w:val="none"/>
        </w:rPr>
      </w:pPr>
    </w:p>
    <w:p w14:paraId="72807536">
      <w:pPr>
        <w:shd w:val="clear"/>
        <w:jc w:val="center"/>
        <w:rPr>
          <w:rFonts w:hint="eastAsia" w:ascii="宋体" w:hAnsi="宋体" w:cs="宋体"/>
          <w:b/>
          <w:sz w:val="48"/>
          <w:szCs w:val="48"/>
          <w:highlight w:val="none"/>
        </w:rPr>
      </w:pPr>
    </w:p>
    <w:p w14:paraId="451D8291">
      <w:pPr>
        <w:shd w:val="clear"/>
        <w:jc w:val="center"/>
        <w:rPr>
          <w:rFonts w:hint="eastAsia" w:ascii="宋体" w:hAnsi="宋体" w:cs="宋体"/>
          <w:b/>
          <w:sz w:val="48"/>
          <w:szCs w:val="48"/>
          <w:highlight w:val="none"/>
        </w:rPr>
      </w:pPr>
    </w:p>
    <w:p w14:paraId="1826C886">
      <w:pPr>
        <w:shd w:val="clear"/>
        <w:jc w:val="center"/>
        <w:rPr>
          <w:rFonts w:hint="eastAsia" w:ascii="宋体" w:hAnsi="宋体" w:cs="宋体"/>
          <w:b/>
          <w:sz w:val="48"/>
          <w:szCs w:val="48"/>
          <w:highlight w:val="none"/>
        </w:rPr>
      </w:pPr>
    </w:p>
    <w:p w14:paraId="22E779F9">
      <w:pPr>
        <w:shd w:val="clear"/>
        <w:jc w:val="center"/>
        <w:rPr>
          <w:rFonts w:hint="eastAsia" w:ascii="宋体" w:hAnsi="宋体" w:cs="宋体"/>
          <w:b/>
          <w:sz w:val="48"/>
          <w:szCs w:val="48"/>
          <w:highlight w:val="none"/>
        </w:rPr>
      </w:pPr>
    </w:p>
    <w:p w14:paraId="253F0F43">
      <w:pPr>
        <w:pStyle w:val="2"/>
        <w:shd w:val="clear"/>
        <w:spacing w:before="0" w:after="0" w:line="360" w:lineRule="auto"/>
        <w:rPr>
          <w:rFonts w:hint="eastAsia" w:hAnsi="黑体" w:eastAsia="黑体" w:cs="黑体"/>
          <w:b w:val="0"/>
          <w:bCs/>
          <w:sz w:val="52"/>
          <w:szCs w:val="52"/>
          <w:highlight w:val="none"/>
        </w:rPr>
      </w:pPr>
      <w:bookmarkStart w:id="249" w:name="_Toc28446"/>
      <w:r>
        <w:rPr>
          <w:rFonts w:hint="eastAsia" w:hAnsi="黑体" w:eastAsia="黑体" w:cs="黑体"/>
          <w:b w:val="0"/>
          <w:bCs/>
          <w:sz w:val="52"/>
          <w:szCs w:val="52"/>
          <w:highlight w:val="none"/>
        </w:rPr>
        <w:t>第四章 响应文件格式</w:t>
      </w:r>
      <w:bookmarkEnd w:id="249"/>
    </w:p>
    <w:p w14:paraId="7F3953F4">
      <w:pPr>
        <w:pStyle w:val="3"/>
        <w:shd w:val="clear"/>
        <w:rPr>
          <w:rFonts w:hint="eastAsia" w:ascii="宋体" w:hAnsi="宋体" w:eastAsia="宋体" w:cs="宋体"/>
          <w:highlight w:val="none"/>
        </w:rPr>
      </w:pPr>
    </w:p>
    <w:p w14:paraId="5556B6F1">
      <w:pPr>
        <w:pStyle w:val="3"/>
        <w:shd w:val="clear"/>
        <w:rPr>
          <w:rFonts w:hint="eastAsia" w:ascii="宋体" w:hAnsi="宋体" w:eastAsia="宋体" w:cs="宋体"/>
          <w:highlight w:val="none"/>
        </w:rPr>
      </w:pPr>
    </w:p>
    <w:p w14:paraId="7AB52CC4">
      <w:pPr>
        <w:shd w:val="clear"/>
        <w:rPr>
          <w:highlight w:val="none"/>
        </w:rPr>
      </w:pPr>
      <w:r>
        <w:rPr>
          <w:rFonts w:hint="eastAsia"/>
          <w:highlight w:val="none"/>
        </w:rPr>
        <w:br w:type="page"/>
      </w:r>
    </w:p>
    <w:p w14:paraId="138346A7">
      <w:pPr>
        <w:shd w:val="clear"/>
        <w:tabs>
          <w:tab w:val="left" w:pos="2999"/>
        </w:tabs>
        <w:spacing w:before="15"/>
        <w:rPr>
          <w:rFonts w:hint="eastAsia" w:ascii="宋体" w:hAnsi="宋体" w:cs="宋体"/>
          <w:sz w:val="28"/>
          <w:highlight w:val="none"/>
          <w:u w:val="single"/>
        </w:rPr>
      </w:pPr>
    </w:p>
    <w:p w14:paraId="2E3A3A6D">
      <w:pPr>
        <w:shd w:val="clear"/>
        <w:tabs>
          <w:tab w:val="left" w:pos="2999"/>
        </w:tabs>
        <w:spacing w:before="15"/>
        <w:jc w:val="center"/>
        <w:rPr>
          <w:rFonts w:hint="eastAsia" w:ascii="宋体" w:hAnsi="宋体" w:cs="宋体"/>
          <w:sz w:val="28"/>
          <w:highlight w:val="none"/>
          <w:u w:val="single"/>
        </w:rPr>
      </w:pPr>
    </w:p>
    <w:p w14:paraId="0AE04590">
      <w:pPr>
        <w:shd w:val="clear"/>
        <w:spacing w:line="360" w:lineRule="auto"/>
        <w:jc w:val="center"/>
        <w:rPr>
          <w:rFonts w:hint="eastAsia" w:ascii="宋体" w:hAnsi="宋体" w:cs="宋体"/>
          <w:b/>
          <w:sz w:val="44"/>
          <w:szCs w:val="44"/>
          <w:highlight w:val="none"/>
        </w:rPr>
      </w:pPr>
      <w:r>
        <w:rPr>
          <w:rFonts w:hint="eastAsia" w:ascii="宋体" w:hAnsi="宋体" w:cs="宋体"/>
          <w:b/>
          <w:sz w:val="44"/>
          <w:szCs w:val="44"/>
          <w:highlight w:val="none"/>
        </w:rPr>
        <w:t>鼎信数智技术集团股份有限公司2026-2028年职工体检服务项目</w:t>
      </w:r>
    </w:p>
    <w:p w14:paraId="58D9503F">
      <w:pPr>
        <w:shd w:val="clear"/>
        <w:tabs>
          <w:tab w:val="left" w:pos="2999"/>
        </w:tabs>
        <w:spacing w:before="15"/>
        <w:jc w:val="center"/>
        <w:rPr>
          <w:rFonts w:hint="eastAsia" w:ascii="宋体" w:hAnsi="宋体" w:cs="宋体"/>
          <w:sz w:val="28"/>
          <w:highlight w:val="none"/>
          <w:u w:val="single"/>
        </w:rPr>
      </w:pPr>
      <w:r>
        <w:rPr>
          <w:rFonts w:hint="eastAsia" w:ascii="宋体" w:hAnsi="宋体" w:cs="宋体"/>
          <w:sz w:val="28"/>
          <w:highlight w:val="none"/>
        </w:rPr>
        <w:t xml:space="preserve">  </w:t>
      </w:r>
    </w:p>
    <w:p w14:paraId="23E85DCD">
      <w:pPr>
        <w:pStyle w:val="9"/>
        <w:shd w:val="clear"/>
        <w:rPr>
          <w:rFonts w:hint="eastAsia"/>
          <w:highlight w:val="none"/>
          <w:lang w:eastAsia="zh-CN"/>
        </w:rPr>
      </w:pPr>
    </w:p>
    <w:p w14:paraId="24633DF1">
      <w:pPr>
        <w:pStyle w:val="9"/>
        <w:shd w:val="clear"/>
        <w:spacing w:before="9"/>
        <w:rPr>
          <w:rFonts w:hint="eastAsia"/>
          <w:sz w:val="15"/>
          <w:highlight w:val="none"/>
          <w:lang w:eastAsia="zh-CN"/>
        </w:rPr>
      </w:pPr>
    </w:p>
    <w:p w14:paraId="0E4C106F">
      <w:pPr>
        <w:shd w:val="clear"/>
        <w:spacing w:line="900" w:lineRule="exact"/>
        <w:jc w:val="center"/>
        <w:rPr>
          <w:rFonts w:hint="eastAsia" w:ascii="宋体" w:hAnsi="宋体" w:cs="宋体"/>
          <w:b/>
          <w:sz w:val="72"/>
          <w:highlight w:val="none"/>
        </w:rPr>
      </w:pPr>
      <w:r>
        <w:rPr>
          <w:rFonts w:hint="eastAsia" w:ascii="宋体" w:hAnsi="宋体" w:cs="宋体"/>
          <w:b/>
          <w:sz w:val="72"/>
          <w:highlight w:val="none"/>
        </w:rPr>
        <w:t>响</w:t>
      </w:r>
    </w:p>
    <w:p w14:paraId="171F298D">
      <w:pPr>
        <w:shd w:val="clear"/>
        <w:spacing w:line="900" w:lineRule="exact"/>
        <w:jc w:val="center"/>
        <w:rPr>
          <w:rFonts w:hint="eastAsia" w:ascii="宋体" w:hAnsi="宋体" w:cs="宋体"/>
          <w:b/>
          <w:sz w:val="72"/>
          <w:highlight w:val="none"/>
        </w:rPr>
      </w:pPr>
    </w:p>
    <w:p w14:paraId="2189B4AE">
      <w:pPr>
        <w:shd w:val="clear"/>
        <w:spacing w:line="900" w:lineRule="exact"/>
        <w:jc w:val="center"/>
        <w:rPr>
          <w:rFonts w:hint="eastAsia" w:ascii="宋体" w:hAnsi="宋体" w:cs="宋体"/>
          <w:b/>
          <w:sz w:val="72"/>
          <w:highlight w:val="none"/>
        </w:rPr>
      </w:pPr>
      <w:r>
        <w:rPr>
          <w:rFonts w:hint="eastAsia" w:ascii="宋体" w:hAnsi="宋体" w:cs="宋体"/>
          <w:b/>
          <w:sz w:val="72"/>
          <w:highlight w:val="none"/>
        </w:rPr>
        <w:t>应</w:t>
      </w:r>
    </w:p>
    <w:p w14:paraId="3AE5425D">
      <w:pPr>
        <w:shd w:val="clear"/>
        <w:spacing w:line="900" w:lineRule="exact"/>
        <w:jc w:val="center"/>
        <w:rPr>
          <w:rFonts w:hint="eastAsia" w:ascii="宋体" w:hAnsi="宋体" w:cs="宋体"/>
          <w:b/>
          <w:sz w:val="72"/>
          <w:highlight w:val="none"/>
        </w:rPr>
      </w:pPr>
    </w:p>
    <w:p w14:paraId="082FCABF">
      <w:pPr>
        <w:shd w:val="clear"/>
        <w:spacing w:line="900" w:lineRule="exact"/>
        <w:jc w:val="center"/>
        <w:rPr>
          <w:rFonts w:hint="eastAsia" w:ascii="宋体" w:hAnsi="宋体" w:cs="宋体"/>
          <w:b/>
          <w:sz w:val="72"/>
          <w:highlight w:val="none"/>
        </w:rPr>
      </w:pPr>
      <w:r>
        <w:rPr>
          <w:rFonts w:hint="eastAsia" w:ascii="宋体" w:hAnsi="宋体" w:cs="宋体"/>
          <w:b/>
          <w:sz w:val="72"/>
          <w:highlight w:val="none"/>
        </w:rPr>
        <w:t>文</w:t>
      </w:r>
    </w:p>
    <w:p w14:paraId="2C81B683">
      <w:pPr>
        <w:shd w:val="clear"/>
        <w:spacing w:line="900" w:lineRule="exact"/>
        <w:jc w:val="center"/>
        <w:rPr>
          <w:rFonts w:hint="eastAsia" w:ascii="宋体" w:hAnsi="宋体" w:cs="宋体"/>
          <w:b/>
          <w:sz w:val="72"/>
          <w:highlight w:val="none"/>
        </w:rPr>
      </w:pPr>
    </w:p>
    <w:p w14:paraId="0743911E">
      <w:pPr>
        <w:shd w:val="clear"/>
        <w:jc w:val="center"/>
        <w:rPr>
          <w:rFonts w:hint="eastAsia" w:ascii="宋体" w:hAnsi="宋体" w:cs="宋体"/>
          <w:b/>
          <w:sz w:val="72"/>
          <w:highlight w:val="none"/>
        </w:rPr>
      </w:pPr>
      <w:r>
        <w:rPr>
          <w:rFonts w:hint="eastAsia" w:ascii="宋体" w:hAnsi="宋体" w:cs="宋体"/>
          <w:b/>
          <w:sz w:val="72"/>
          <w:highlight w:val="none"/>
        </w:rPr>
        <w:t>件</w:t>
      </w:r>
    </w:p>
    <w:p w14:paraId="4622D0FD">
      <w:pPr>
        <w:pStyle w:val="3"/>
        <w:shd w:val="clear"/>
        <w:rPr>
          <w:rFonts w:hint="eastAsia" w:ascii="宋体" w:hAnsi="宋体" w:eastAsia="宋体" w:cs="宋体"/>
          <w:highlight w:val="none"/>
        </w:rPr>
      </w:pPr>
    </w:p>
    <w:p w14:paraId="40B85061">
      <w:pPr>
        <w:pStyle w:val="3"/>
        <w:shd w:val="clear"/>
        <w:rPr>
          <w:rFonts w:hint="eastAsia" w:ascii="宋体" w:hAnsi="宋体" w:eastAsia="宋体" w:cs="宋体"/>
          <w:highlight w:val="none"/>
        </w:rPr>
      </w:pPr>
    </w:p>
    <w:p w14:paraId="79F0643D">
      <w:pPr>
        <w:pStyle w:val="9"/>
        <w:shd w:val="clear"/>
        <w:spacing w:before="2"/>
        <w:rPr>
          <w:rFonts w:hint="eastAsia"/>
          <w:sz w:val="41"/>
          <w:highlight w:val="none"/>
          <w:lang w:eastAsia="zh-CN"/>
        </w:rPr>
      </w:pPr>
    </w:p>
    <w:p w14:paraId="1642718C">
      <w:pPr>
        <w:shd w:val="clear"/>
        <w:spacing w:line="357" w:lineRule="auto"/>
        <w:ind w:left="1201" w:right="141"/>
        <w:jc w:val="center"/>
        <w:rPr>
          <w:rFonts w:hint="eastAsia" w:ascii="宋体" w:hAnsi="宋体" w:cs="宋体"/>
          <w:sz w:val="28"/>
          <w:highlight w:val="none"/>
        </w:rPr>
      </w:pPr>
      <w:r>
        <w:rPr>
          <w:rFonts w:hint="eastAsia" w:ascii="宋体" w:hAnsi="宋体" w:cs="宋体"/>
          <w:sz w:val="28"/>
          <w:highlight w:val="none"/>
        </w:rPr>
        <w:t>供应商：</w:t>
      </w:r>
      <w:r>
        <w:rPr>
          <w:rFonts w:hint="eastAsia" w:ascii="宋体" w:hAnsi="宋体" w:cs="宋体"/>
          <w:b/>
          <w:sz w:val="28"/>
          <w:highlight w:val="none"/>
          <w:u w:val="single"/>
        </w:rPr>
        <w:tab/>
      </w:r>
      <w:r>
        <w:rPr>
          <w:rFonts w:hint="eastAsia" w:ascii="宋体" w:hAnsi="宋体" w:cs="宋体"/>
          <w:b/>
          <w:sz w:val="28"/>
          <w:highlight w:val="none"/>
          <w:u w:val="single"/>
        </w:rPr>
        <w:t xml:space="preserve">                </w:t>
      </w:r>
      <w:r>
        <w:rPr>
          <w:rFonts w:hint="eastAsia" w:ascii="宋体" w:hAnsi="宋体" w:cs="宋体"/>
          <w:b/>
          <w:sz w:val="28"/>
          <w:highlight w:val="none"/>
        </w:rPr>
        <w:t>（盖单位章）</w:t>
      </w:r>
    </w:p>
    <w:p w14:paraId="0E0AC53B">
      <w:pPr>
        <w:shd w:val="clear"/>
        <w:tabs>
          <w:tab w:val="left" w:pos="3611"/>
          <w:tab w:val="left" w:pos="4626"/>
          <w:tab w:val="left" w:pos="5642"/>
        </w:tabs>
        <w:spacing w:before="15"/>
        <w:ind w:left="2877"/>
        <w:rPr>
          <w:rFonts w:hint="eastAsia" w:ascii="宋体" w:hAnsi="宋体" w:cs="宋体"/>
          <w:sz w:val="28"/>
          <w:highlight w:val="none"/>
          <w:u w:val="single"/>
        </w:rPr>
      </w:pPr>
    </w:p>
    <w:p w14:paraId="4E3D12D8">
      <w:pPr>
        <w:shd w:val="clear"/>
        <w:tabs>
          <w:tab w:val="left" w:pos="3611"/>
          <w:tab w:val="left" w:pos="4626"/>
          <w:tab w:val="left" w:pos="5642"/>
        </w:tabs>
        <w:spacing w:before="15"/>
        <w:jc w:val="center"/>
        <w:rPr>
          <w:rFonts w:hint="eastAsia" w:ascii="宋体" w:hAnsi="宋体" w:cs="宋体"/>
          <w:sz w:val="28"/>
          <w:highlight w:val="none"/>
        </w:rPr>
      </w:pPr>
      <w:r>
        <w:rPr>
          <w:rFonts w:hint="eastAsia" w:ascii="宋体" w:hAnsi="宋体" w:cs="宋体"/>
          <w:sz w:val="28"/>
          <w:highlight w:val="none"/>
          <w:u w:val="single"/>
        </w:rPr>
        <w:t xml:space="preserve">      </w:t>
      </w:r>
      <w:r>
        <w:rPr>
          <w:rFonts w:hint="eastAsia" w:ascii="宋体" w:hAnsi="宋体" w:cs="宋体"/>
          <w:sz w:val="28"/>
          <w:highlight w:val="none"/>
        </w:rPr>
        <w:t xml:space="preserve">年 </w:t>
      </w:r>
      <w:r>
        <w:rPr>
          <w:rFonts w:hint="eastAsia" w:ascii="宋体" w:hAnsi="宋体" w:cs="宋体"/>
          <w:sz w:val="28"/>
          <w:highlight w:val="none"/>
          <w:u w:val="single"/>
        </w:rPr>
        <w:t xml:space="preserve">     </w:t>
      </w:r>
      <w:r>
        <w:rPr>
          <w:rFonts w:hint="eastAsia" w:ascii="宋体" w:hAnsi="宋体" w:cs="宋体"/>
          <w:sz w:val="28"/>
          <w:highlight w:val="none"/>
        </w:rPr>
        <w:t>月</w:t>
      </w:r>
      <w:r>
        <w:rPr>
          <w:rFonts w:hint="eastAsia" w:ascii="宋体" w:hAnsi="宋体" w:cs="宋体"/>
          <w:sz w:val="28"/>
          <w:highlight w:val="none"/>
          <w:u w:val="single"/>
        </w:rPr>
        <w:t xml:space="preserve">      </w:t>
      </w:r>
      <w:r>
        <w:rPr>
          <w:rFonts w:hint="eastAsia" w:ascii="宋体" w:hAnsi="宋体" w:cs="宋体"/>
          <w:sz w:val="28"/>
          <w:highlight w:val="none"/>
        </w:rPr>
        <w:t>日</w:t>
      </w:r>
    </w:p>
    <w:p w14:paraId="1808BAF8">
      <w:pPr>
        <w:shd w:val="clear"/>
        <w:tabs>
          <w:tab w:val="left" w:pos="3611"/>
          <w:tab w:val="left" w:pos="4626"/>
          <w:tab w:val="left" w:pos="5642"/>
        </w:tabs>
        <w:spacing w:before="15"/>
        <w:rPr>
          <w:rFonts w:hint="eastAsia" w:ascii="宋体" w:hAnsi="宋体" w:cs="宋体"/>
          <w:sz w:val="28"/>
          <w:highlight w:val="none"/>
        </w:rPr>
      </w:pPr>
    </w:p>
    <w:p w14:paraId="21F96F0C">
      <w:pPr>
        <w:shd w:val="clear"/>
        <w:spacing w:line="360" w:lineRule="auto"/>
        <w:jc w:val="center"/>
        <w:rPr>
          <w:rFonts w:hint="eastAsia" w:ascii="宋体" w:hAnsi="宋体" w:cs="宋体"/>
          <w:b/>
          <w:sz w:val="28"/>
          <w:szCs w:val="28"/>
          <w:highlight w:val="none"/>
        </w:rPr>
      </w:pPr>
      <w:r>
        <w:rPr>
          <w:rFonts w:hint="eastAsia" w:ascii="宋体" w:hAnsi="宋体" w:cs="宋体"/>
          <w:b/>
          <w:sz w:val="28"/>
          <w:szCs w:val="28"/>
          <w:highlight w:val="none"/>
        </w:rPr>
        <w:br w:type="page"/>
      </w:r>
      <w:r>
        <w:rPr>
          <w:rFonts w:hint="eastAsia" w:ascii="宋体" w:hAnsi="宋体" w:cs="宋体"/>
          <w:b/>
          <w:sz w:val="28"/>
          <w:szCs w:val="28"/>
          <w:highlight w:val="none"/>
        </w:rPr>
        <w:t>响应文件资料清单</w:t>
      </w:r>
    </w:p>
    <w:tbl>
      <w:tblPr>
        <w:tblStyle w:val="27"/>
        <w:tblW w:w="96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754"/>
        <w:gridCol w:w="2746"/>
      </w:tblGrid>
      <w:tr w14:paraId="75BBF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tcBorders>
              <w:tl2br w:val="nil"/>
              <w:tr2bl w:val="nil"/>
            </w:tcBorders>
            <w:vAlign w:val="center"/>
          </w:tcPr>
          <w:p w14:paraId="7925E69D">
            <w:pPr>
              <w:shd w:val="clear"/>
              <w:spacing w:line="400" w:lineRule="exact"/>
              <w:jc w:val="center"/>
              <w:rPr>
                <w:rFonts w:hint="eastAsia" w:ascii="宋体" w:hAnsi="宋体" w:cs="宋体"/>
                <w:b/>
                <w:sz w:val="24"/>
                <w:highlight w:val="none"/>
              </w:rPr>
            </w:pPr>
            <w:r>
              <w:rPr>
                <w:rFonts w:hint="eastAsia" w:ascii="宋体" w:hAnsi="宋体" w:cs="宋体"/>
                <w:b/>
                <w:sz w:val="24"/>
                <w:highlight w:val="none"/>
              </w:rPr>
              <w:t>序号</w:t>
            </w:r>
          </w:p>
        </w:tc>
        <w:tc>
          <w:tcPr>
            <w:tcW w:w="5754" w:type="dxa"/>
            <w:tcBorders>
              <w:tl2br w:val="nil"/>
              <w:tr2bl w:val="nil"/>
            </w:tcBorders>
            <w:vAlign w:val="center"/>
          </w:tcPr>
          <w:p w14:paraId="3E0D0B46">
            <w:pPr>
              <w:shd w:val="clear"/>
              <w:spacing w:line="400" w:lineRule="exact"/>
              <w:jc w:val="center"/>
              <w:rPr>
                <w:rFonts w:hint="eastAsia" w:ascii="宋体" w:hAnsi="宋体" w:cs="宋体"/>
                <w:b/>
                <w:sz w:val="24"/>
                <w:highlight w:val="none"/>
              </w:rPr>
            </w:pPr>
            <w:r>
              <w:rPr>
                <w:rFonts w:hint="eastAsia" w:ascii="宋体" w:hAnsi="宋体" w:cs="宋体"/>
                <w:b/>
                <w:sz w:val="24"/>
                <w:highlight w:val="none"/>
              </w:rPr>
              <w:t>资料名称</w:t>
            </w:r>
          </w:p>
        </w:tc>
        <w:tc>
          <w:tcPr>
            <w:tcW w:w="2746" w:type="dxa"/>
            <w:tcBorders>
              <w:tl2br w:val="nil"/>
              <w:tr2bl w:val="nil"/>
            </w:tcBorders>
            <w:vAlign w:val="center"/>
          </w:tcPr>
          <w:p w14:paraId="1576482F">
            <w:pPr>
              <w:shd w:val="clear"/>
              <w:spacing w:line="400" w:lineRule="exact"/>
              <w:jc w:val="center"/>
              <w:rPr>
                <w:rFonts w:hint="eastAsia" w:ascii="宋体" w:hAnsi="宋体" w:cs="宋体"/>
                <w:b/>
                <w:sz w:val="24"/>
                <w:highlight w:val="none"/>
              </w:rPr>
            </w:pPr>
            <w:r>
              <w:rPr>
                <w:rFonts w:hint="eastAsia" w:ascii="宋体" w:hAnsi="宋体" w:cs="宋体"/>
                <w:b/>
                <w:sz w:val="24"/>
                <w:highlight w:val="none"/>
              </w:rPr>
              <w:t>页码范围</w:t>
            </w:r>
          </w:p>
        </w:tc>
      </w:tr>
      <w:tr w14:paraId="0E57C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tcBorders>
              <w:tl2br w:val="nil"/>
              <w:tr2bl w:val="nil"/>
            </w:tcBorders>
            <w:vAlign w:val="center"/>
          </w:tcPr>
          <w:p w14:paraId="4834769B">
            <w:pPr>
              <w:shd w:val="clear"/>
              <w:jc w:val="center"/>
              <w:rPr>
                <w:rFonts w:hint="eastAsia" w:ascii="宋体" w:hAnsi="宋体" w:cs="宋体"/>
                <w:sz w:val="24"/>
                <w:highlight w:val="none"/>
              </w:rPr>
            </w:pPr>
            <w:r>
              <w:rPr>
                <w:rFonts w:hint="eastAsia" w:ascii="宋体" w:hAnsi="宋体" w:cs="宋体"/>
                <w:sz w:val="24"/>
                <w:highlight w:val="none"/>
              </w:rPr>
              <w:t>一</w:t>
            </w:r>
          </w:p>
        </w:tc>
        <w:tc>
          <w:tcPr>
            <w:tcW w:w="5754" w:type="dxa"/>
            <w:tcBorders>
              <w:tl2br w:val="nil"/>
              <w:tr2bl w:val="nil"/>
            </w:tcBorders>
            <w:vAlign w:val="center"/>
          </w:tcPr>
          <w:p w14:paraId="1FB6ECE8">
            <w:pPr>
              <w:pStyle w:val="51"/>
              <w:shd w:val="clear"/>
              <w:rPr>
                <w:rFonts w:hint="eastAsia"/>
                <w:kern w:val="2"/>
                <w:szCs w:val="20"/>
                <w:highlight w:val="none"/>
              </w:rPr>
            </w:pPr>
            <w:r>
              <w:rPr>
                <w:rFonts w:hint="eastAsia"/>
                <w:kern w:val="2"/>
                <w:szCs w:val="20"/>
                <w:highlight w:val="none"/>
              </w:rPr>
              <w:t>参选响应函</w:t>
            </w:r>
          </w:p>
        </w:tc>
        <w:tc>
          <w:tcPr>
            <w:tcW w:w="2746" w:type="dxa"/>
            <w:tcBorders>
              <w:tl2br w:val="nil"/>
              <w:tr2bl w:val="nil"/>
            </w:tcBorders>
            <w:vAlign w:val="center"/>
          </w:tcPr>
          <w:p w14:paraId="47AB3687">
            <w:pPr>
              <w:shd w:val="clear"/>
              <w:spacing w:line="360" w:lineRule="auto"/>
              <w:jc w:val="center"/>
              <w:rPr>
                <w:rFonts w:hint="eastAsia" w:ascii="宋体" w:hAnsi="宋体" w:cs="宋体"/>
                <w:b/>
                <w:sz w:val="24"/>
                <w:highlight w:val="none"/>
              </w:rPr>
            </w:pPr>
          </w:p>
        </w:tc>
      </w:tr>
      <w:tr w14:paraId="57810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tcBorders>
              <w:tl2br w:val="nil"/>
              <w:tr2bl w:val="nil"/>
            </w:tcBorders>
            <w:vAlign w:val="center"/>
          </w:tcPr>
          <w:p w14:paraId="5861B826">
            <w:pPr>
              <w:shd w:val="clear"/>
              <w:jc w:val="center"/>
              <w:rPr>
                <w:rFonts w:hint="eastAsia" w:ascii="宋体" w:hAnsi="宋体" w:cs="宋体"/>
                <w:bCs/>
                <w:sz w:val="24"/>
                <w:highlight w:val="none"/>
              </w:rPr>
            </w:pPr>
            <w:r>
              <w:rPr>
                <w:rFonts w:hint="eastAsia" w:ascii="宋体" w:hAnsi="宋体" w:cs="宋体"/>
                <w:bCs/>
                <w:sz w:val="24"/>
                <w:highlight w:val="none"/>
              </w:rPr>
              <w:t>二</w:t>
            </w:r>
          </w:p>
        </w:tc>
        <w:tc>
          <w:tcPr>
            <w:tcW w:w="5754" w:type="dxa"/>
            <w:tcBorders>
              <w:tl2br w:val="nil"/>
              <w:tr2bl w:val="nil"/>
            </w:tcBorders>
            <w:vAlign w:val="center"/>
          </w:tcPr>
          <w:p w14:paraId="37E265E4">
            <w:pPr>
              <w:pStyle w:val="51"/>
              <w:shd w:val="clear"/>
              <w:rPr>
                <w:rFonts w:hint="eastAsia"/>
                <w:kern w:val="2"/>
                <w:szCs w:val="20"/>
                <w:highlight w:val="none"/>
              </w:rPr>
            </w:pPr>
            <w:r>
              <w:rPr>
                <w:rFonts w:hint="eastAsia"/>
                <w:kern w:val="2"/>
                <w:szCs w:val="20"/>
                <w:highlight w:val="none"/>
              </w:rPr>
              <w:t>供应商参选报价表</w:t>
            </w:r>
          </w:p>
        </w:tc>
        <w:tc>
          <w:tcPr>
            <w:tcW w:w="2746" w:type="dxa"/>
            <w:tcBorders>
              <w:tl2br w:val="nil"/>
              <w:tr2bl w:val="nil"/>
            </w:tcBorders>
            <w:vAlign w:val="center"/>
          </w:tcPr>
          <w:p w14:paraId="036BBEBD">
            <w:pPr>
              <w:shd w:val="clear"/>
              <w:spacing w:line="360" w:lineRule="auto"/>
              <w:jc w:val="center"/>
              <w:rPr>
                <w:rFonts w:hint="eastAsia" w:ascii="宋体" w:hAnsi="宋体" w:cs="宋体"/>
                <w:b/>
                <w:sz w:val="24"/>
                <w:highlight w:val="none"/>
              </w:rPr>
            </w:pPr>
          </w:p>
        </w:tc>
      </w:tr>
      <w:tr w14:paraId="3F0C57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158" w:type="dxa"/>
            <w:tcBorders>
              <w:tl2br w:val="nil"/>
              <w:tr2bl w:val="nil"/>
            </w:tcBorders>
            <w:vAlign w:val="center"/>
          </w:tcPr>
          <w:p w14:paraId="0B627BE9">
            <w:pPr>
              <w:shd w:val="clear"/>
              <w:jc w:val="center"/>
              <w:rPr>
                <w:rFonts w:hint="eastAsia" w:ascii="宋体" w:hAnsi="宋体" w:cs="宋体"/>
                <w:sz w:val="24"/>
                <w:highlight w:val="none"/>
              </w:rPr>
            </w:pPr>
            <w:r>
              <w:rPr>
                <w:rFonts w:hint="eastAsia" w:ascii="宋体" w:hAnsi="宋体" w:cs="宋体"/>
                <w:sz w:val="24"/>
                <w:highlight w:val="none"/>
              </w:rPr>
              <w:t>三</w:t>
            </w:r>
          </w:p>
        </w:tc>
        <w:tc>
          <w:tcPr>
            <w:tcW w:w="5754" w:type="dxa"/>
            <w:tcBorders>
              <w:tl2br w:val="nil"/>
              <w:tr2bl w:val="nil"/>
            </w:tcBorders>
            <w:vAlign w:val="center"/>
          </w:tcPr>
          <w:p w14:paraId="5C384879">
            <w:pPr>
              <w:shd w:val="clear"/>
              <w:rPr>
                <w:rFonts w:hint="eastAsia" w:ascii="宋体" w:hAnsi="宋体" w:cs="宋体"/>
                <w:sz w:val="24"/>
                <w:highlight w:val="none"/>
              </w:rPr>
            </w:pPr>
            <w:r>
              <w:rPr>
                <w:rFonts w:hint="eastAsia" w:ascii="宋体" w:hAnsi="宋体" w:cs="宋体"/>
                <w:sz w:val="24"/>
                <w:highlight w:val="none"/>
              </w:rPr>
              <w:t>参选响应表</w:t>
            </w:r>
          </w:p>
        </w:tc>
        <w:tc>
          <w:tcPr>
            <w:tcW w:w="2746" w:type="dxa"/>
            <w:tcBorders>
              <w:tl2br w:val="nil"/>
              <w:tr2bl w:val="nil"/>
            </w:tcBorders>
            <w:vAlign w:val="center"/>
          </w:tcPr>
          <w:p w14:paraId="764137F3">
            <w:pPr>
              <w:shd w:val="clear"/>
              <w:spacing w:line="360" w:lineRule="auto"/>
              <w:rPr>
                <w:rFonts w:hint="eastAsia" w:ascii="宋体" w:hAnsi="宋体" w:cs="宋体"/>
                <w:b/>
                <w:sz w:val="24"/>
                <w:highlight w:val="none"/>
              </w:rPr>
            </w:pPr>
          </w:p>
        </w:tc>
      </w:tr>
      <w:tr w14:paraId="655C86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tcBorders>
              <w:tl2br w:val="nil"/>
              <w:tr2bl w:val="nil"/>
            </w:tcBorders>
            <w:vAlign w:val="center"/>
          </w:tcPr>
          <w:p w14:paraId="579888B5">
            <w:pPr>
              <w:shd w:val="clear"/>
              <w:jc w:val="center"/>
              <w:rPr>
                <w:rFonts w:hint="eastAsia" w:ascii="宋体" w:hAnsi="宋体" w:cs="宋体"/>
                <w:sz w:val="24"/>
                <w:highlight w:val="none"/>
              </w:rPr>
            </w:pPr>
            <w:r>
              <w:rPr>
                <w:rFonts w:hint="eastAsia" w:ascii="宋体" w:hAnsi="宋体" w:cs="宋体"/>
                <w:sz w:val="24"/>
                <w:highlight w:val="none"/>
              </w:rPr>
              <w:t>四</w:t>
            </w:r>
          </w:p>
        </w:tc>
        <w:tc>
          <w:tcPr>
            <w:tcW w:w="5754" w:type="dxa"/>
            <w:tcBorders>
              <w:tl2br w:val="nil"/>
              <w:tr2bl w:val="nil"/>
            </w:tcBorders>
            <w:vAlign w:val="center"/>
          </w:tcPr>
          <w:p w14:paraId="11C17501">
            <w:pPr>
              <w:shd w:val="clear"/>
              <w:rPr>
                <w:rFonts w:hint="eastAsia" w:ascii="宋体" w:hAnsi="宋体" w:cs="宋体"/>
                <w:sz w:val="24"/>
                <w:highlight w:val="none"/>
              </w:rPr>
            </w:pPr>
            <w:r>
              <w:rPr>
                <w:rFonts w:hint="eastAsia" w:ascii="宋体" w:hAnsi="宋体" w:cs="宋体"/>
                <w:sz w:val="24"/>
                <w:highlight w:val="none"/>
              </w:rPr>
              <w:t>类似项目业绩表</w:t>
            </w:r>
          </w:p>
        </w:tc>
        <w:tc>
          <w:tcPr>
            <w:tcW w:w="2746" w:type="dxa"/>
            <w:tcBorders>
              <w:tl2br w:val="nil"/>
              <w:tr2bl w:val="nil"/>
            </w:tcBorders>
            <w:vAlign w:val="center"/>
          </w:tcPr>
          <w:p w14:paraId="45B25465">
            <w:pPr>
              <w:shd w:val="clear"/>
              <w:spacing w:line="360" w:lineRule="auto"/>
              <w:rPr>
                <w:rFonts w:hint="eastAsia" w:ascii="宋体" w:hAnsi="宋体" w:cs="宋体"/>
                <w:b/>
                <w:sz w:val="24"/>
                <w:highlight w:val="none"/>
              </w:rPr>
            </w:pPr>
          </w:p>
        </w:tc>
      </w:tr>
      <w:tr w14:paraId="60F77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tcBorders>
              <w:tl2br w:val="nil"/>
              <w:tr2bl w:val="nil"/>
            </w:tcBorders>
            <w:vAlign w:val="center"/>
          </w:tcPr>
          <w:p w14:paraId="29B00816">
            <w:pPr>
              <w:shd w:val="clear"/>
              <w:jc w:val="center"/>
              <w:rPr>
                <w:rFonts w:hint="eastAsia" w:ascii="宋体" w:hAnsi="宋体" w:cs="宋体"/>
                <w:sz w:val="24"/>
                <w:highlight w:val="none"/>
              </w:rPr>
            </w:pPr>
            <w:r>
              <w:rPr>
                <w:rFonts w:hint="eastAsia" w:ascii="宋体" w:hAnsi="宋体" w:cs="宋体"/>
                <w:sz w:val="24"/>
                <w:highlight w:val="none"/>
              </w:rPr>
              <w:t>五</w:t>
            </w:r>
          </w:p>
        </w:tc>
        <w:tc>
          <w:tcPr>
            <w:tcW w:w="5754" w:type="dxa"/>
            <w:tcBorders>
              <w:tl2br w:val="nil"/>
              <w:tr2bl w:val="nil"/>
            </w:tcBorders>
            <w:vAlign w:val="center"/>
          </w:tcPr>
          <w:p w14:paraId="6133085C">
            <w:pPr>
              <w:shd w:val="clear"/>
              <w:rPr>
                <w:rFonts w:hint="eastAsia" w:ascii="宋体" w:hAnsi="宋体" w:cs="宋体"/>
                <w:sz w:val="24"/>
                <w:highlight w:val="none"/>
              </w:rPr>
            </w:pPr>
            <w:r>
              <w:rPr>
                <w:rFonts w:hint="eastAsia" w:ascii="宋体" w:hAnsi="宋体" w:cs="宋体"/>
                <w:sz w:val="24"/>
                <w:highlight w:val="none"/>
              </w:rPr>
              <w:t>法定代表人（单位负责人）授权书</w:t>
            </w:r>
          </w:p>
        </w:tc>
        <w:tc>
          <w:tcPr>
            <w:tcW w:w="2746" w:type="dxa"/>
            <w:tcBorders>
              <w:tl2br w:val="nil"/>
              <w:tr2bl w:val="nil"/>
            </w:tcBorders>
            <w:vAlign w:val="center"/>
          </w:tcPr>
          <w:p w14:paraId="7DD49F7D">
            <w:pPr>
              <w:shd w:val="clear"/>
              <w:spacing w:line="360" w:lineRule="auto"/>
              <w:rPr>
                <w:rFonts w:hint="eastAsia" w:ascii="宋体" w:hAnsi="宋体" w:cs="宋体"/>
                <w:b/>
                <w:sz w:val="24"/>
                <w:highlight w:val="none"/>
              </w:rPr>
            </w:pPr>
          </w:p>
        </w:tc>
      </w:tr>
      <w:tr w14:paraId="77CAA6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tcBorders>
              <w:tl2br w:val="nil"/>
              <w:tr2bl w:val="nil"/>
            </w:tcBorders>
            <w:vAlign w:val="center"/>
          </w:tcPr>
          <w:p w14:paraId="10C709F6">
            <w:pPr>
              <w:shd w:val="clear"/>
              <w:jc w:val="center"/>
              <w:rPr>
                <w:rFonts w:hint="eastAsia" w:ascii="宋体" w:hAnsi="宋体" w:cs="宋体"/>
                <w:sz w:val="24"/>
                <w:highlight w:val="none"/>
              </w:rPr>
            </w:pPr>
            <w:r>
              <w:rPr>
                <w:rFonts w:hint="eastAsia" w:ascii="宋体" w:hAnsi="宋体" w:cs="宋体"/>
                <w:sz w:val="24"/>
                <w:highlight w:val="none"/>
              </w:rPr>
              <w:t>六</w:t>
            </w:r>
          </w:p>
        </w:tc>
        <w:tc>
          <w:tcPr>
            <w:tcW w:w="5754" w:type="dxa"/>
            <w:tcBorders>
              <w:tl2br w:val="nil"/>
              <w:tr2bl w:val="nil"/>
            </w:tcBorders>
            <w:vAlign w:val="center"/>
          </w:tcPr>
          <w:p w14:paraId="3ED5E2A8">
            <w:pPr>
              <w:pStyle w:val="51"/>
              <w:shd w:val="clear"/>
              <w:rPr>
                <w:rFonts w:hint="eastAsia"/>
                <w:kern w:val="2"/>
                <w:szCs w:val="20"/>
                <w:highlight w:val="none"/>
              </w:rPr>
            </w:pPr>
            <w:r>
              <w:rPr>
                <w:rFonts w:hint="eastAsia"/>
                <w:kern w:val="2"/>
                <w:szCs w:val="20"/>
                <w:highlight w:val="none"/>
              </w:rPr>
              <w:t>法定代表人（单位负责人）身份证明</w:t>
            </w:r>
          </w:p>
        </w:tc>
        <w:tc>
          <w:tcPr>
            <w:tcW w:w="2746" w:type="dxa"/>
            <w:tcBorders>
              <w:tl2br w:val="nil"/>
              <w:tr2bl w:val="nil"/>
            </w:tcBorders>
            <w:vAlign w:val="center"/>
          </w:tcPr>
          <w:p w14:paraId="2E651B07">
            <w:pPr>
              <w:shd w:val="clear"/>
              <w:spacing w:line="360" w:lineRule="auto"/>
              <w:rPr>
                <w:rFonts w:hint="eastAsia" w:ascii="宋体" w:hAnsi="宋体" w:cs="宋体"/>
                <w:b/>
                <w:sz w:val="24"/>
                <w:highlight w:val="none"/>
              </w:rPr>
            </w:pPr>
          </w:p>
        </w:tc>
      </w:tr>
      <w:tr w14:paraId="6ACF2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346CBB7E">
            <w:pPr>
              <w:shd w:val="clear"/>
              <w:spacing w:line="500" w:lineRule="exact"/>
              <w:jc w:val="center"/>
              <w:rPr>
                <w:rFonts w:hint="eastAsia" w:ascii="宋体" w:hAnsi="宋体" w:cs="宋体"/>
                <w:sz w:val="24"/>
                <w:highlight w:val="none"/>
              </w:rPr>
            </w:pPr>
            <w:r>
              <w:rPr>
                <w:rFonts w:hint="eastAsia" w:ascii="宋体" w:hAnsi="宋体" w:cs="宋体"/>
                <w:sz w:val="24"/>
                <w:highlight w:val="none"/>
              </w:rPr>
              <w:t>七</w:t>
            </w:r>
          </w:p>
        </w:tc>
        <w:tc>
          <w:tcPr>
            <w:tcW w:w="5754" w:type="dxa"/>
            <w:tcBorders>
              <w:tl2br w:val="nil"/>
              <w:tr2bl w:val="nil"/>
            </w:tcBorders>
            <w:vAlign w:val="center"/>
          </w:tcPr>
          <w:p w14:paraId="4A61A837">
            <w:pPr>
              <w:pStyle w:val="51"/>
              <w:shd w:val="clear"/>
              <w:rPr>
                <w:rFonts w:hint="eastAsia"/>
                <w:kern w:val="2"/>
                <w:szCs w:val="20"/>
                <w:highlight w:val="none"/>
              </w:rPr>
            </w:pPr>
            <w:r>
              <w:rPr>
                <w:rFonts w:hint="eastAsia"/>
                <w:kern w:val="2"/>
                <w:szCs w:val="20"/>
                <w:highlight w:val="none"/>
              </w:rPr>
              <w:t>无重大违法记录等情形声明函</w:t>
            </w:r>
          </w:p>
        </w:tc>
        <w:tc>
          <w:tcPr>
            <w:tcW w:w="2746" w:type="dxa"/>
            <w:tcBorders>
              <w:tl2br w:val="nil"/>
              <w:tr2bl w:val="nil"/>
            </w:tcBorders>
            <w:vAlign w:val="center"/>
          </w:tcPr>
          <w:p w14:paraId="1F7F1ED9">
            <w:pPr>
              <w:shd w:val="clear"/>
              <w:spacing w:line="500" w:lineRule="exact"/>
              <w:rPr>
                <w:rFonts w:hint="eastAsia" w:ascii="宋体" w:hAnsi="宋体" w:cs="宋体"/>
                <w:b/>
                <w:sz w:val="28"/>
                <w:highlight w:val="none"/>
              </w:rPr>
            </w:pPr>
          </w:p>
        </w:tc>
      </w:tr>
      <w:tr w14:paraId="26F53C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293D322E">
            <w:pPr>
              <w:shd w:val="clear"/>
              <w:spacing w:line="500" w:lineRule="exact"/>
              <w:jc w:val="center"/>
              <w:rPr>
                <w:rFonts w:hint="eastAsia" w:ascii="宋体" w:hAnsi="宋体" w:cs="宋体"/>
                <w:sz w:val="24"/>
                <w:highlight w:val="none"/>
              </w:rPr>
            </w:pPr>
            <w:r>
              <w:rPr>
                <w:rFonts w:hint="eastAsia" w:ascii="宋体" w:hAnsi="宋体" w:cs="宋体"/>
                <w:sz w:val="24"/>
                <w:highlight w:val="none"/>
              </w:rPr>
              <w:t>八</w:t>
            </w:r>
          </w:p>
        </w:tc>
        <w:tc>
          <w:tcPr>
            <w:tcW w:w="5754" w:type="dxa"/>
            <w:tcBorders>
              <w:tl2br w:val="nil"/>
              <w:tr2bl w:val="nil"/>
            </w:tcBorders>
            <w:vAlign w:val="center"/>
          </w:tcPr>
          <w:p w14:paraId="2BBAD811">
            <w:pPr>
              <w:pStyle w:val="51"/>
              <w:shd w:val="clear"/>
              <w:rPr>
                <w:rFonts w:hint="eastAsia"/>
                <w:kern w:val="2"/>
                <w:szCs w:val="20"/>
                <w:highlight w:val="none"/>
              </w:rPr>
            </w:pPr>
            <w:r>
              <w:rPr>
                <w:rFonts w:hint="eastAsia"/>
                <w:kern w:val="2"/>
                <w:szCs w:val="20"/>
                <w:highlight w:val="none"/>
              </w:rPr>
              <w:t>拟投入本项目的人员情况</w:t>
            </w:r>
          </w:p>
        </w:tc>
        <w:tc>
          <w:tcPr>
            <w:tcW w:w="2746" w:type="dxa"/>
            <w:tcBorders>
              <w:tl2br w:val="nil"/>
              <w:tr2bl w:val="nil"/>
            </w:tcBorders>
            <w:vAlign w:val="center"/>
          </w:tcPr>
          <w:p w14:paraId="39FFD759">
            <w:pPr>
              <w:shd w:val="clear"/>
              <w:spacing w:line="500" w:lineRule="exact"/>
              <w:rPr>
                <w:rFonts w:hint="eastAsia" w:ascii="宋体" w:hAnsi="宋体" w:cs="宋体"/>
                <w:b/>
                <w:sz w:val="28"/>
                <w:highlight w:val="none"/>
              </w:rPr>
            </w:pPr>
          </w:p>
        </w:tc>
      </w:tr>
      <w:tr w14:paraId="35722C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292401BF">
            <w:pPr>
              <w:shd w:val="clear"/>
              <w:spacing w:line="500" w:lineRule="exact"/>
              <w:jc w:val="center"/>
              <w:rPr>
                <w:rFonts w:hint="eastAsia" w:ascii="宋体" w:hAnsi="宋体" w:cs="宋体"/>
                <w:sz w:val="24"/>
                <w:highlight w:val="none"/>
              </w:rPr>
            </w:pPr>
            <w:r>
              <w:rPr>
                <w:rFonts w:hint="eastAsia" w:ascii="宋体" w:hAnsi="宋体" w:cs="宋体"/>
                <w:sz w:val="24"/>
                <w:highlight w:val="none"/>
              </w:rPr>
              <w:t>九</w:t>
            </w:r>
          </w:p>
        </w:tc>
        <w:tc>
          <w:tcPr>
            <w:tcW w:w="5754" w:type="dxa"/>
            <w:tcBorders>
              <w:tl2br w:val="nil"/>
              <w:tr2bl w:val="nil"/>
            </w:tcBorders>
            <w:vAlign w:val="center"/>
          </w:tcPr>
          <w:p w14:paraId="6563CFA1">
            <w:pPr>
              <w:pStyle w:val="51"/>
              <w:shd w:val="clear"/>
              <w:rPr>
                <w:rFonts w:hint="eastAsia"/>
                <w:kern w:val="2"/>
                <w:szCs w:val="20"/>
                <w:highlight w:val="none"/>
              </w:rPr>
            </w:pPr>
            <w:r>
              <w:rPr>
                <w:rFonts w:hint="eastAsia"/>
                <w:kern w:val="2"/>
                <w:szCs w:val="20"/>
                <w:highlight w:val="none"/>
              </w:rPr>
              <w:t>供应商简介</w:t>
            </w:r>
          </w:p>
        </w:tc>
        <w:tc>
          <w:tcPr>
            <w:tcW w:w="2746" w:type="dxa"/>
            <w:tcBorders>
              <w:tl2br w:val="nil"/>
              <w:tr2bl w:val="nil"/>
            </w:tcBorders>
            <w:vAlign w:val="center"/>
          </w:tcPr>
          <w:p w14:paraId="41214C20">
            <w:pPr>
              <w:shd w:val="clear"/>
              <w:spacing w:line="500" w:lineRule="exact"/>
              <w:rPr>
                <w:rFonts w:hint="eastAsia" w:ascii="宋体" w:hAnsi="宋体" w:cs="宋体"/>
                <w:b/>
                <w:sz w:val="28"/>
                <w:highlight w:val="none"/>
              </w:rPr>
            </w:pPr>
          </w:p>
        </w:tc>
      </w:tr>
      <w:tr w14:paraId="65A4E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781028E3">
            <w:pPr>
              <w:shd w:val="clear"/>
              <w:spacing w:line="500" w:lineRule="exact"/>
              <w:jc w:val="center"/>
              <w:rPr>
                <w:rFonts w:hint="eastAsia" w:ascii="宋体" w:hAnsi="宋体" w:cs="宋体"/>
                <w:sz w:val="24"/>
                <w:highlight w:val="none"/>
              </w:rPr>
            </w:pPr>
            <w:r>
              <w:rPr>
                <w:rFonts w:hint="eastAsia" w:ascii="宋体" w:hAnsi="宋体" w:cs="宋体"/>
                <w:sz w:val="24"/>
                <w:highlight w:val="none"/>
              </w:rPr>
              <w:t>十</w:t>
            </w:r>
          </w:p>
        </w:tc>
        <w:tc>
          <w:tcPr>
            <w:tcW w:w="5754" w:type="dxa"/>
            <w:tcBorders>
              <w:tl2br w:val="nil"/>
              <w:tr2bl w:val="nil"/>
            </w:tcBorders>
            <w:vAlign w:val="center"/>
          </w:tcPr>
          <w:p w14:paraId="1EFD8195">
            <w:pPr>
              <w:pStyle w:val="51"/>
              <w:shd w:val="clear"/>
              <w:rPr>
                <w:rFonts w:hint="eastAsia"/>
                <w:kern w:val="2"/>
                <w:szCs w:val="20"/>
                <w:highlight w:val="none"/>
              </w:rPr>
            </w:pPr>
            <w:r>
              <w:rPr>
                <w:rFonts w:hint="eastAsia"/>
                <w:kern w:val="2"/>
                <w:szCs w:val="20"/>
                <w:highlight w:val="none"/>
              </w:rPr>
              <w:t>有效的营业执照及相关资质证书</w:t>
            </w:r>
          </w:p>
        </w:tc>
        <w:tc>
          <w:tcPr>
            <w:tcW w:w="2746" w:type="dxa"/>
            <w:tcBorders>
              <w:tl2br w:val="nil"/>
              <w:tr2bl w:val="nil"/>
            </w:tcBorders>
            <w:vAlign w:val="center"/>
          </w:tcPr>
          <w:p w14:paraId="7E60E101">
            <w:pPr>
              <w:shd w:val="clear"/>
              <w:spacing w:line="500" w:lineRule="exact"/>
              <w:rPr>
                <w:rFonts w:hint="eastAsia" w:ascii="宋体" w:hAnsi="宋体" w:cs="宋体"/>
                <w:b/>
                <w:sz w:val="28"/>
                <w:highlight w:val="none"/>
              </w:rPr>
            </w:pPr>
          </w:p>
        </w:tc>
      </w:tr>
      <w:tr w14:paraId="34B79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021F9EFA">
            <w:pPr>
              <w:shd w:val="clear"/>
              <w:spacing w:line="500" w:lineRule="exact"/>
              <w:jc w:val="center"/>
              <w:rPr>
                <w:rFonts w:hint="eastAsia" w:ascii="宋体" w:hAnsi="宋体" w:cs="宋体"/>
                <w:sz w:val="24"/>
                <w:highlight w:val="none"/>
              </w:rPr>
            </w:pPr>
            <w:r>
              <w:rPr>
                <w:rFonts w:hint="eastAsia" w:ascii="宋体" w:hAnsi="宋体" w:cs="宋体"/>
                <w:sz w:val="24"/>
                <w:highlight w:val="none"/>
              </w:rPr>
              <w:t>十一</w:t>
            </w:r>
          </w:p>
        </w:tc>
        <w:tc>
          <w:tcPr>
            <w:tcW w:w="5754" w:type="dxa"/>
            <w:tcBorders>
              <w:tl2br w:val="nil"/>
              <w:tr2bl w:val="nil"/>
            </w:tcBorders>
            <w:vAlign w:val="center"/>
          </w:tcPr>
          <w:p w14:paraId="122280A4">
            <w:pPr>
              <w:pStyle w:val="51"/>
              <w:shd w:val="clear"/>
              <w:rPr>
                <w:rFonts w:hint="eastAsia"/>
                <w:kern w:val="2"/>
                <w:szCs w:val="20"/>
                <w:highlight w:val="none"/>
              </w:rPr>
            </w:pPr>
            <w:r>
              <w:rPr>
                <w:rFonts w:hint="eastAsia"/>
                <w:kern w:val="2"/>
                <w:szCs w:val="20"/>
                <w:highlight w:val="none"/>
              </w:rPr>
              <w:t>服务方案</w:t>
            </w:r>
          </w:p>
        </w:tc>
        <w:tc>
          <w:tcPr>
            <w:tcW w:w="2746" w:type="dxa"/>
            <w:tcBorders>
              <w:tl2br w:val="nil"/>
              <w:tr2bl w:val="nil"/>
            </w:tcBorders>
            <w:vAlign w:val="center"/>
          </w:tcPr>
          <w:p w14:paraId="50ADC050">
            <w:pPr>
              <w:shd w:val="clear"/>
              <w:spacing w:line="500" w:lineRule="exact"/>
              <w:rPr>
                <w:rFonts w:hint="eastAsia" w:ascii="宋体" w:hAnsi="宋体" w:cs="宋体"/>
                <w:b/>
                <w:sz w:val="28"/>
                <w:highlight w:val="none"/>
              </w:rPr>
            </w:pPr>
          </w:p>
        </w:tc>
      </w:tr>
      <w:tr w14:paraId="04DE5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025E6B02">
            <w:pPr>
              <w:shd w:val="clear"/>
              <w:spacing w:line="500" w:lineRule="exact"/>
              <w:jc w:val="center"/>
              <w:rPr>
                <w:rFonts w:hint="eastAsia" w:ascii="宋体" w:hAnsi="宋体" w:cs="宋体"/>
                <w:sz w:val="24"/>
                <w:highlight w:val="none"/>
              </w:rPr>
            </w:pPr>
            <w:r>
              <w:rPr>
                <w:rFonts w:hint="eastAsia" w:ascii="宋体" w:hAnsi="宋体" w:cs="宋体"/>
                <w:sz w:val="24"/>
                <w:highlight w:val="none"/>
              </w:rPr>
              <w:t>十二</w:t>
            </w:r>
          </w:p>
        </w:tc>
        <w:tc>
          <w:tcPr>
            <w:tcW w:w="5754" w:type="dxa"/>
            <w:tcBorders>
              <w:tl2br w:val="nil"/>
              <w:tr2bl w:val="nil"/>
            </w:tcBorders>
            <w:vAlign w:val="center"/>
          </w:tcPr>
          <w:p w14:paraId="7B3BD90E">
            <w:pPr>
              <w:pStyle w:val="51"/>
              <w:shd w:val="clear"/>
              <w:rPr>
                <w:rFonts w:hint="eastAsia"/>
                <w:kern w:val="2"/>
                <w:szCs w:val="20"/>
                <w:highlight w:val="none"/>
              </w:rPr>
            </w:pPr>
            <w:r>
              <w:rPr>
                <w:rFonts w:hint="eastAsia"/>
                <w:kern w:val="2"/>
                <w:szCs w:val="20"/>
                <w:highlight w:val="none"/>
              </w:rPr>
              <w:t>资格条件和评审方法中规定需要提交的其他证明文件及承诺或供应商认为需要提供的其他资料</w:t>
            </w:r>
          </w:p>
        </w:tc>
        <w:tc>
          <w:tcPr>
            <w:tcW w:w="2746" w:type="dxa"/>
            <w:tcBorders>
              <w:tl2br w:val="nil"/>
              <w:tr2bl w:val="nil"/>
            </w:tcBorders>
            <w:vAlign w:val="center"/>
          </w:tcPr>
          <w:p w14:paraId="4202EA2B">
            <w:pPr>
              <w:shd w:val="clear"/>
              <w:spacing w:line="500" w:lineRule="exact"/>
              <w:rPr>
                <w:rFonts w:hint="eastAsia" w:ascii="宋体" w:hAnsi="宋体" w:cs="宋体"/>
                <w:b/>
                <w:sz w:val="28"/>
                <w:highlight w:val="none"/>
              </w:rPr>
            </w:pPr>
          </w:p>
        </w:tc>
      </w:tr>
      <w:tr w14:paraId="4CE7A5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58" w:type="dxa"/>
            <w:tcBorders>
              <w:tl2br w:val="nil"/>
              <w:tr2bl w:val="nil"/>
            </w:tcBorders>
            <w:vAlign w:val="center"/>
          </w:tcPr>
          <w:p w14:paraId="6198DF28">
            <w:pPr>
              <w:shd w:val="clear"/>
              <w:spacing w:line="500" w:lineRule="exact"/>
              <w:jc w:val="center"/>
              <w:rPr>
                <w:rFonts w:hint="eastAsia" w:ascii="宋体" w:hAnsi="宋体" w:cs="宋体"/>
                <w:sz w:val="24"/>
                <w:highlight w:val="none"/>
              </w:rPr>
            </w:pPr>
            <w:r>
              <w:rPr>
                <w:rFonts w:hint="eastAsia" w:ascii="宋体" w:hAnsi="宋体" w:cs="宋体"/>
                <w:sz w:val="24"/>
                <w:highlight w:val="none"/>
              </w:rPr>
              <w:t>十三</w:t>
            </w:r>
          </w:p>
        </w:tc>
        <w:tc>
          <w:tcPr>
            <w:tcW w:w="5754" w:type="dxa"/>
            <w:tcBorders>
              <w:tl2br w:val="nil"/>
              <w:tr2bl w:val="nil"/>
            </w:tcBorders>
            <w:vAlign w:val="center"/>
          </w:tcPr>
          <w:p w14:paraId="40B5DE38">
            <w:pPr>
              <w:pStyle w:val="51"/>
              <w:shd w:val="clear"/>
              <w:rPr>
                <w:rFonts w:hint="eastAsia"/>
                <w:kern w:val="2"/>
                <w:szCs w:val="20"/>
                <w:highlight w:val="none"/>
              </w:rPr>
            </w:pPr>
            <w:r>
              <w:rPr>
                <w:rFonts w:hint="eastAsia"/>
                <w:kern w:val="2"/>
                <w:szCs w:val="20"/>
                <w:highlight w:val="none"/>
              </w:rPr>
              <w:t>评审指标对应资料索引表</w:t>
            </w:r>
          </w:p>
        </w:tc>
        <w:tc>
          <w:tcPr>
            <w:tcW w:w="2746" w:type="dxa"/>
            <w:tcBorders>
              <w:tl2br w:val="nil"/>
              <w:tr2bl w:val="nil"/>
            </w:tcBorders>
            <w:vAlign w:val="center"/>
          </w:tcPr>
          <w:p w14:paraId="1C1AD846">
            <w:pPr>
              <w:shd w:val="clear"/>
              <w:spacing w:line="500" w:lineRule="exact"/>
              <w:rPr>
                <w:rFonts w:hint="eastAsia" w:ascii="宋体" w:hAnsi="宋体" w:cs="宋体"/>
                <w:b/>
                <w:sz w:val="28"/>
                <w:highlight w:val="none"/>
              </w:rPr>
            </w:pPr>
          </w:p>
        </w:tc>
      </w:tr>
    </w:tbl>
    <w:p w14:paraId="6DBDA429">
      <w:pPr>
        <w:pStyle w:val="3"/>
        <w:shd w:val="clear"/>
        <w:spacing w:line="360" w:lineRule="auto"/>
        <w:jc w:val="center"/>
        <w:rPr>
          <w:rFonts w:hint="eastAsia" w:ascii="宋体" w:hAnsi="宋体" w:eastAsia="宋体" w:cs="宋体"/>
          <w:b/>
          <w:sz w:val="28"/>
          <w:szCs w:val="28"/>
          <w:highlight w:val="none"/>
        </w:rPr>
      </w:pPr>
      <w:r>
        <w:rPr>
          <w:rFonts w:hint="eastAsia" w:ascii="宋体" w:hAnsi="宋体" w:eastAsia="宋体" w:cs="宋体"/>
          <w:sz w:val="28"/>
          <w:highlight w:val="none"/>
        </w:rPr>
        <w:br w:type="page"/>
      </w:r>
      <w:r>
        <w:rPr>
          <w:rFonts w:hint="eastAsia" w:ascii="宋体" w:hAnsi="宋体" w:eastAsia="宋体" w:cs="宋体"/>
          <w:b/>
          <w:sz w:val="28"/>
          <w:szCs w:val="28"/>
          <w:highlight w:val="none"/>
        </w:rPr>
        <w:t>一、参选响应函</w:t>
      </w:r>
    </w:p>
    <w:p w14:paraId="1F4F9848">
      <w:pPr>
        <w:pStyle w:val="9"/>
        <w:shd w:val="clear"/>
        <w:tabs>
          <w:tab w:val="left" w:pos="1991"/>
        </w:tabs>
        <w:spacing w:before="37" w:line="360" w:lineRule="auto"/>
        <w:ind w:right="102"/>
        <w:rPr>
          <w:rFonts w:hint="eastAsia"/>
          <w:sz w:val="24"/>
          <w:highlight w:val="none"/>
          <w:lang w:eastAsia="zh-CN"/>
        </w:rPr>
      </w:pPr>
      <w:r>
        <w:rPr>
          <w:sz w:val="24"/>
          <w:highlight w:val="none"/>
          <w:lang w:eastAsia="zh-CN"/>
        </w:rPr>
        <w:t>致</w:t>
      </w:r>
      <w:r>
        <w:rPr>
          <w:rFonts w:hint="eastAsia"/>
          <w:sz w:val="24"/>
          <w:highlight w:val="none"/>
          <w:lang w:eastAsia="zh-CN"/>
        </w:rPr>
        <w:t>：</w:t>
      </w:r>
      <w:r>
        <w:rPr>
          <w:rFonts w:hint="eastAsia"/>
          <w:sz w:val="24"/>
          <w:highlight w:val="none"/>
          <w:u w:val="single"/>
          <w:lang w:eastAsia="zh-CN"/>
        </w:rPr>
        <w:t>鼎信数智技术集团股份有限公司</w:t>
      </w:r>
      <w:r>
        <w:rPr>
          <w:rFonts w:hint="eastAsia"/>
          <w:sz w:val="24"/>
          <w:highlight w:val="none"/>
          <w:lang w:eastAsia="zh-CN"/>
        </w:rPr>
        <w:t>：</w:t>
      </w:r>
    </w:p>
    <w:p w14:paraId="4B91BE79">
      <w:pPr>
        <w:shd w:val="clear"/>
        <w:spacing w:line="360" w:lineRule="auto"/>
        <w:ind w:firstLine="480" w:firstLineChars="200"/>
        <w:rPr>
          <w:rFonts w:hint="eastAsia" w:ascii="宋体" w:hAnsi="宋体" w:cs="宋体"/>
          <w:dstrike/>
          <w:sz w:val="24"/>
          <w:highlight w:val="none"/>
        </w:rPr>
      </w:pPr>
      <w:r>
        <w:rPr>
          <w:rFonts w:hint="eastAsia" w:ascii="宋体" w:hAnsi="宋体" w:cs="宋体"/>
          <w:sz w:val="24"/>
          <w:highlight w:val="none"/>
        </w:rPr>
        <w:t>1. 根据贵方“鼎信数智技术集团股份有限公司2026-2028年职工体检服务项目”（</w:t>
      </w:r>
      <w:r>
        <w:rPr>
          <w:rFonts w:hint="eastAsia" w:ascii="宋体" w:hAnsi="宋体" w:cs="宋体"/>
          <w:sz w:val="24"/>
          <w:highlight w:val="none"/>
          <w:lang w:eastAsia="zh-CN"/>
        </w:rPr>
        <w:t>DXZB202610001</w:t>
      </w:r>
      <w:r>
        <w:rPr>
          <w:rFonts w:hint="eastAsia" w:ascii="宋体" w:hAnsi="宋体" w:cs="宋体"/>
          <w:sz w:val="24"/>
          <w:highlight w:val="none"/>
        </w:rPr>
        <w:t>）的询比文件，经我方仔细研究，愿意以参选报价表中所报金额提供本项目服务，并按合同约定履行义务。</w:t>
      </w:r>
    </w:p>
    <w:p w14:paraId="31450A44">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 我方的响应文件包括下列内容：</w:t>
      </w:r>
    </w:p>
    <w:p w14:paraId="40A7922B">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（1）参选响应函</w:t>
      </w:r>
    </w:p>
    <w:p w14:paraId="779F4FB0">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（2）参选报价表</w:t>
      </w:r>
    </w:p>
    <w:p w14:paraId="35C10B80">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（3）分项报价表</w:t>
      </w:r>
    </w:p>
    <w:p w14:paraId="49E2EB04">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（4）参选响应表</w:t>
      </w:r>
    </w:p>
    <w:p w14:paraId="215ED72A">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（5）询比担保</w:t>
      </w:r>
    </w:p>
    <w:p w14:paraId="4E713083">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（6）联合体协议书（如有）</w:t>
      </w:r>
    </w:p>
    <w:p w14:paraId="675EEBA7">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w:t>
      </w:r>
    </w:p>
    <w:p w14:paraId="3F834C3F">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响应文件的上述组成部分如存在内容不一致的，以响应函为准。</w:t>
      </w:r>
    </w:p>
    <w:p w14:paraId="2B10D9EA">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 我方承诺除参选响应表列出的偏离外，我方响应询比文件的全部要求。</w:t>
      </w:r>
    </w:p>
    <w:p w14:paraId="4084B55B">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 我方承诺在询比文件规定的响应文件有效期内不撤销响应文件。</w:t>
      </w:r>
    </w:p>
    <w:p w14:paraId="3E2E4B9C">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 如我方成交，我方承诺：</w:t>
      </w:r>
    </w:p>
    <w:p w14:paraId="11177A90">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（1）在收到成交通知书后，在成交通知规定的期限内与你方签订合同；</w:t>
      </w:r>
    </w:p>
    <w:p w14:paraId="4CC5A673">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（2）在签订合同时不向你方提出附加条件；</w:t>
      </w:r>
    </w:p>
    <w:p w14:paraId="558F7633">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（3）按照询比文件要求提交履约担保；</w:t>
      </w:r>
    </w:p>
    <w:p w14:paraId="7BB655FF">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（4）在合同约定的期限内完成合同规定的全部义务。</w:t>
      </w:r>
    </w:p>
    <w:p w14:paraId="1D0DFED1">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 我方在此声明，所提交的响应文件及有关资料内容完整、真实和准确，且不存在询比文件中规定的供应商不得存在的情形。</w:t>
      </w:r>
    </w:p>
    <w:p w14:paraId="3CF5500C">
      <w:pPr>
        <w:shd w:val="clea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 （其他补充说明）</w:t>
      </w:r>
    </w:p>
    <w:p w14:paraId="2A0CB813">
      <w:pPr>
        <w:shd w:val="clea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8. 通信地址：</w:t>
      </w:r>
    </w:p>
    <w:p w14:paraId="44FE70F7">
      <w:pPr>
        <w:shd w:val="clea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电    话：                         传    真：</w:t>
      </w:r>
    </w:p>
    <w:p w14:paraId="7040992E">
      <w:pPr>
        <w:shd w:val="clear"/>
        <w:spacing w:line="360" w:lineRule="auto"/>
        <w:ind w:firstLine="480" w:firstLineChars="200"/>
        <w:jc w:val="left"/>
        <w:rPr>
          <w:rFonts w:hint="eastAsia" w:ascii="宋体" w:hAnsi="宋体" w:cs="宋体"/>
          <w:sz w:val="24"/>
          <w:highlight w:val="none"/>
        </w:rPr>
      </w:pPr>
    </w:p>
    <w:p w14:paraId="794177AA">
      <w:pPr>
        <w:shd w:val="clea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供应商公章 ：                      日    期：</w:t>
      </w:r>
    </w:p>
    <w:p w14:paraId="5F989BA2">
      <w:pPr>
        <w:shd w:val="clear"/>
        <w:rPr>
          <w:rFonts w:hint="eastAsia" w:ascii="宋体" w:hAnsi="宋体" w:cs="宋体"/>
          <w:b/>
          <w:sz w:val="28"/>
          <w:szCs w:val="28"/>
          <w:highlight w:val="none"/>
        </w:rPr>
      </w:pPr>
      <w:r>
        <w:rPr>
          <w:rFonts w:hint="eastAsia" w:ascii="宋体" w:hAnsi="宋体" w:cs="宋体"/>
          <w:b/>
          <w:sz w:val="28"/>
          <w:szCs w:val="28"/>
          <w:highlight w:val="none"/>
        </w:rPr>
        <w:br w:type="page"/>
      </w:r>
    </w:p>
    <w:p w14:paraId="7C977ED3">
      <w:pPr>
        <w:shd w:val="clear"/>
        <w:spacing w:line="360" w:lineRule="auto"/>
        <w:jc w:val="center"/>
        <w:rPr>
          <w:rFonts w:hint="eastAsia" w:ascii="宋体" w:hAnsi="宋体" w:cs="宋体"/>
          <w:b/>
          <w:sz w:val="28"/>
          <w:szCs w:val="28"/>
          <w:highlight w:val="none"/>
        </w:rPr>
      </w:pPr>
      <w:r>
        <w:rPr>
          <w:rFonts w:hint="eastAsia" w:ascii="宋体" w:hAnsi="宋体" w:cs="宋体"/>
          <w:b/>
          <w:sz w:val="28"/>
          <w:szCs w:val="28"/>
          <w:highlight w:val="none"/>
        </w:rPr>
        <w:t>二、供应商报价表</w:t>
      </w:r>
    </w:p>
    <w:tbl>
      <w:tblPr>
        <w:tblStyle w:val="27"/>
        <w:tblW w:w="96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7162"/>
      </w:tblGrid>
      <w:tr w14:paraId="097EFB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l2br w:val="nil"/>
              <w:tr2bl w:val="nil"/>
            </w:tcBorders>
            <w:vAlign w:val="center"/>
          </w:tcPr>
          <w:p w14:paraId="5AE950D9">
            <w:pPr>
              <w:widowControl/>
              <w:shd w:val="clear"/>
              <w:spacing w:line="360" w:lineRule="exact"/>
              <w:jc w:val="center"/>
              <w:rPr>
                <w:rFonts w:hint="eastAsia" w:ascii="宋体" w:hAnsi="宋体" w:cs="宋体"/>
                <w:b/>
                <w:sz w:val="24"/>
                <w:highlight w:val="none"/>
              </w:rPr>
            </w:pPr>
            <w:r>
              <w:rPr>
                <w:rFonts w:hint="eastAsia" w:ascii="宋体" w:hAnsi="宋体" w:cs="宋体"/>
                <w:b/>
                <w:sz w:val="24"/>
                <w:highlight w:val="none"/>
              </w:rPr>
              <w:t>项 目 名 称</w:t>
            </w:r>
          </w:p>
        </w:tc>
        <w:tc>
          <w:tcPr>
            <w:tcW w:w="7162" w:type="dxa"/>
            <w:tcBorders>
              <w:tl2br w:val="nil"/>
              <w:tr2bl w:val="nil"/>
            </w:tcBorders>
            <w:vAlign w:val="center"/>
          </w:tcPr>
          <w:p w14:paraId="43CF79C3">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鼎信数智技术集团股份有限公司2026-2028年职工体检服务项目</w:t>
            </w:r>
          </w:p>
        </w:tc>
      </w:tr>
      <w:tr w14:paraId="12B15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l2br w:val="nil"/>
              <w:tr2bl w:val="nil"/>
            </w:tcBorders>
            <w:vAlign w:val="center"/>
          </w:tcPr>
          <w:p w14:paraId="6770A5BD">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供应商全称</w:t>
            </w:r>
          </w:p>
        </w:tc>
        <w:tc>
          <w:tcPr>
            <w:tcW w:w="7162" w:type="dxa"/>
            <w:tcBorders>
              <w:tl2br w:val="nil"/>
              <w:tr2bl w:val="nil"/>
            </w:tcBorders>
            <w:vAlign w:val="center"/>
          </w:tcPr>
          <w:p w14:paraId="679322F8">
            <w:pPr>
              <w:shd w:val="clear"/>
              <w:spacing w:line="360" w:lineRule="auto"/>
              <w:rPr>
                <w:rFonts w:hint="eastAsia" w:ascii="宋体" w:hAnsi="宋体" w:cs="宋体"/>
                <w:sz w:val="24"/>
                <w:highlight w:val="none"/>
              </w:rPr>
            </w:pPr>
          </w:p>
        </w:tc>
      </w:tr>
      <w:tr w14:paraId="342B4E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l2br w:val="nil"/>
              <w:tr2bl w:val="nil"/>
            </w:tcBorders>
            <w:vAlign w:val="center"/>
          </w:tcPr>
          <w:p w14:paraId="39B26865">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响应范围</w:t>
            </w:r>
          </w:p>
        </w:tc>
        <w:tc>
          <w:tcPr>
            <w:tcW w:w="7162" w:type="dxa"/>
            <w:tcBorders>
              <w:tl2br w:val="nil"/>
              <w:tr2bl w:val="nil"/>
            </w:tcBorders>
            <w:vAlign w:val="center"/>
          </w:tcPr>
          <w:p w14:paraId="0C5BADE8">
            <w:pPr>
              <w:widowControl/>
              <w:shd w:val="clear"/>
              <w:spacing w:line="360" w:lineRule="exact"/>
              <w:rPr>
                <w:rFonts w:hint="eastAsia" w:ascii="宋体" w:hAnsi="宋体" w:cs="宋体"/>
                <w:b/>
                <w:sz w:val="24"/>
                <w:highlight w:val="none"/>
              </w:rPr>
            </w:pPr>
            <w:r>
              <w:rPr>
                <w:rFonts w:hint="eastAsia" w:ascii="宋体" w:hAnsi="宋体"/>
                <w:b/>
                <w:sz w:val="24"/>
                <w:szCs w:val="28"/>
                <w:highlight w:val="none"/>
              </w:rPr>
              <w:t>全部</w:t>
            </w:r>
          </w:p>
        </w:tc>
      </w:tr>
      <w:tr w14:paraId="3C86B5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14" w:hRule="atLeast"/>
          <w:jc w:val="center"/>
        </w:trPr>
        <w:tc>
          <w:tcPr>
            <w:tcW w:w="2471" w:type="dxa"/>
            <w:tcBorders>
              <w:tl2br w:val="nil"/>
              <w:tr2bl w:val="nil"/>
            </w:tcBorders>
            <w:vAlign w:val="center"/>
          </w:tcPr>
          <w:p w14:paraId="7C6158AC">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最终报价</w:t>
            </w:r>
          </w:p>
          <w:p w14:paraId="3D93B505">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（人民币）</w:t>
            </w:r>
          </w:p>
        </w:tc>
        <w:tc>
          <w:tcPr>
            <w:tcW w:w="7162" w:type="dxa"/>
            <w:tcBorders>
              <w:tl2br w:val="nil"/>
              <w:tr2bl w:val="nil"/>
            </w:tcBorders>
            <w:vAlign w:val="center"/>
          </w:tcPr>
          <w:p w14:paraId="66946871">
            <w:pPr>
              <w:shd w:val="clear"/>
              <w:snapToGri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针对</w:t>
            </w:r>
            <w:r>
              <w:rPr>
                <w:rFonts w:hint="eastAsia" w:ascii="Times New Roman" w:hAnsi="Times New Roman" w:cs="宋体"/>
                <w:sz w:val="24"/>
                <w:szCs w:val="24"/>
                <w:highlight w:val="none"/>
              </w:rPr>
              <w:t>分年龄段</w:t>
            </w:r>
            <w:r>
              <w:rPr>
                <w:rFonts w:hint="eastAsia" w:ascii="Times New Roman" w:hAnsi="Times New Roman" w:cs="宋体"/>
                <w:b/>
                <w:bCs/>
                <w:color w:val="FF0000"/>
                <w:sz w:val="24"/>
                <w:szCs w:val="24"/>
                <w:highlight w:val="none"/>
              </w:rPr>
              <w:t>基础</w:t>
            </w:r>
            <w:r>
              <w:rPr>
                <w:rFonts w:hint="eastAsia" w:ascii="Times New Roman" w:hAnsi="Times New Roman" w:cs="宋体"/>
                <w:sz w:val="24"/>
                <w:szCs w:val="24"/>
                <w:highlight w:val="none"/>
              </w:rPr>
              <w:t>套餐</w:t>
            </w:r>
            <w:r>
              <w:rPr>
                <w:rFonts w:hint="eastAsia" w:ascii="Times New Roman" w:hAnsi="Times New Roman" w:cs="宋体"/>
                <w:kern w:val="0"/>
                <w:sz w:val="24"/>
                <w:szCs w:val="24"/>
                <w:highlight w:val="none"/>
              </w:rPr>
              <w:t>：</w:t>
            </w:r>
          </w:p>
          <w:p w14:paraId="667798E8">
            <w:pPr>
              <w:shd w:val="clear"/>
              <w:snapToGrid w:val="0"/>
              <w:spacing w:line="360" w:lineRule="auto"/>
              <w:jc w:val="left"/>
              <w:rPr>
                <w:rFonts w:ascii="Times New Roman" w:hAnsi="Times New Roman" w:cs="宋体"/>
                <w:kern w:val="0"/>
                <w:sz w:val="24"/>
                <w:szCs w:val="24"/>
                <w:highlight w:val="none"/>
                <w:u w:val="single"/>
              </w:rPr>
            </w:pPr>
            <w:r>
              <w:rPr>
                <w:rFonts w:hint="eastAsia" w:ascii="Times New Roman" w:hAnsi="Times New Roman" w:cs="宋体"/>
                <w:kern w:val="0"/>
                <w:sz w:val="24"/>
                <w:szCs w:val="24"/>
                <w:highlight w:val="none"/>
              </w:rPr>
              <w:t>4</w:t>
            </w:r>
            <w:r>
              <w:rPr>
                <w:rFonts w:ascii="Times New Roman" w:hAnsi="Times New Roman" w:cs="宋体"/>
                <w:kern w:val="0"/>
                <w:sz w:val="24"/>
                <w:szCs w:val="24"/>
                <w:highlight w:val="none"/>
              </w:rPr>
              <w:t>0</w:t>
            </w:r>
            <w:r>
              <w:rPr>
                <w:rFonts w:hint="eastAsia" w:ascii="Times New Roman" w:hAnsi="Times New Roman" w:cs="宋体"/>
                <w:kern w:val="0"/>
                <w:sz w:val="24"/>
                <w:szCs w:val="24"/>
                <w:highlight w:val="none"/>
              </w:rPr>
              <w:t>岁（不含）以下项目报价：</w:t>
            </w:r>
            <w:r>
              <w:rPr>
                <w:rFonts w:hint="eastAsia" w:ascii="Times New Roman" w:hAnsi="Times New Roman" w:cs="宋体"/>
                <w:kern w:val="0"/>
                <w:sz w:val="24"/>
                <w:szCs w:val="24"/>
                <w:highlight w:val="none"/>
                <w:u w:val="single"/>
              </w:rPr>
              <w:t xml:space="preserve">      元/人</w:t>
            </w:r>
          </w:p>
          <w:p w14:paraId="1531DEAA">
            <w:pPr>
              <w:shd w:val="clear"/>
              <w:spacing w:line="360" w:lineRule="auto"/>
              <w:ind w:right="-670"/>
              <w:rPr>
                <w:rFonts w:ascii="Times New Roman" w:hAnsi="Times New Roman" w:cs="宋体"/>
                <w:kern w:val="0"/>
                <w:sz w:val="24"/>
                <w:szCs w:val="24"/>
                <w:highlight w:val="none"/>
                <w:u w:val="single"/>
              </w:rPr>
            </w:pPr>
            <w:r>
              <w:rPr>
                <w:rFonts w:hint="eastAsia" w:ascii="Times New Roman" w:hAnsi="Times New Roman" w:cs="宋体"/>
                <w:kern w:val="0"/>
                <w:sz w:val="24"/>
                <w:szCs w:val="24"/>
                <w:highlight w:val="none"/>
              </w:rPr>
              <w:t>4</w:t>
            </w:r>
            <w:r>
              <w:rPr>
                <w:rFonts w:ascii="Times New Roman" w:hAnsi="Times New Roman" w:cs="宋体"/>
                <w:kern w:val="0"/>
                <w:sz w:val="24"/>
                <w:szCs w:val="24"/>
                <w:highlight w:val="none"/>
              </w:rPr>
              <w:t>0</w:t>
            </w:r>
            <w:r>
              <w:rPr>
                <w:rFonts w:hint="eastAsia" w:ascii="Times New Roman" w:hAnsi="Times New Roman" w:cs="宋体"/>
                <w:kern w:val="0"/>
                <w:sz w:val="24"/>
                <w:szCs w:val="24"/>
                <w:highlight w:val="none"/>
              </w:rPr>
              <w:t>岁（含）以上项目报价：</w:t>
            </w:r>
            <w:r>
              <w:rPr>
                <w:rFonts w:hint="eastAsia" w:ascii="Times New Roman" w:hAnsi="Times New Roman" w:cs="宋体"/>
                <w:bCs/>
                <w:sz w:val="24"/>
                <w:highlight w:val="none"/>
                <w:u w:val="single"/>
              </w:rPr>
              <w:t xml:space="preserve"> </w:t>
            </w:r>
            <w:r>
              <w:rPr>
                <w:rFonts w:hint="eastAsia" w:ascii="Times New Roman" w:hAnsi="Times New Roman" w:cs="宋体"/>
                <w:kern w:val="0"/>
                <w:sz w:val="24"/>
                <w:szCs w:val="24"/>
                <w:highlight w:val="none"/>
                <w:u w:val="single"/>
              </w:rPr>
              <w:t xml:space="preserve">       元/人</w:t>
            </w:r>
          </w:p>
          <w:p w14:paraId="3537E631">
            <w:pPr>
              <w:shd w:val="clear"/>
              <w:spacing w:line="360" w:lineRule="auto"/>
              <w:ind w:right="-670"/>
              <w:rPr>
                <w:rFonts w:hint="eastAsia" w:ascii="宋体" w:hAnsi="宋体" w:cs="宋体"/>
                <w:sz w:val="24"/>
                <w:highlight w:val="none"/>
              </w:rPr>
            </w:pPr>
            <w:r>
              <w:rPr>
                <w:rFonts w:hint="eastAsia" w:ascii="宋体" w:hAnsi="宋体" w:cs="宋体"/>
                <w:sz w:val="24"/>
                <w:highlight w:val="none"/>
              </w:rPr>
              <w:t>说明：相同年龄段的男、女未婚、女已婚三类人群为</w:t>
            </w:r>
            <w:r>
              <w:rPr>
                <w:rFonts w:hint="eastAsia" w:ascii="宋体" w:hAnsi="宋体" w:cs="宋体"/>
                <w:color w:val="FF0000"/>
                <w:sz w:val="24"/>
                <w:highlight w:val="none"/>
              </w:rPr>
              <w:t>同一价格</w:t>
            </w:r>
            <w:r>
              <w:rPr>
                <w:rFonts w:hint="eastAsia" w:ascii="宋体" w:hAnsi="宋体" w:cs="宋体"/>
                <w:sz w:val="24"/>
                <w:highlight w:val="none"/>
              </w:rPr>
              <w:t>。</w:t>
            </w:r>
          </w:p>
        </w:tc>
      </w:tr>
      <w:tr w14:paraId="3B59B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471" w:type="dxa"/>
            <w:tcBorders>
              <w:tl2br w:val="nil"/>
              <w:tr2bl w:val="nil"/>
            </w:tcBorders>
            <w:vAlign w:val="center"/>
          </w:tcPr>
          <w:p w14:paraId="16F75953">
            <w:pPr>
              <w:shd w:val="clear"/>
              <w:spacing w:line="360" w:lineRule="exact"/>
              <w:jc w:val="center"/>
              <w:rPr>
                <w:rFonts w:hint="eastAsia" w:ascii="宋体" w:hAnsi="宋体" w:cs="宋体"/>
                <w:b/>
                <w:sz w:val="24"/>
                <w:highlight w:val="none"/>
              </w:rPr>
            </w:pPr>
            <w:r>
              <w:rPr>
                <w:rFonts w:hint="eastAsia" w:ascii="宋体" w:hAnsi="宋体" w:cs="宋体"/>
                <w:b/>
                <w:sz w:val="24"/>
                <w:highlight w:val="none"/>
              </w:rPr>
              <w:t>服务期</w:t>
            </w:r>
          </w:p>
        </w:tc>
        <w:tc>
          <w:tcPr>
            <w:tcW w:w="7162" w:type="dxa"/>
            <w:tcBorders>
              <w:tl2br w:val="nil"/>
              <w:tr2bl w:val="nil"/>
            </w:tcBorders>
            <w:vAlign w:val="center"/>
          </w:tcPr>
          <w:p w14:paraId="2A2A7F13">
            <w:pPr>
              <w:shd w:val="clear"/>
              <w:spacing w:line="360" w:lineRule="auto"/>
              <w:ind w:right="-670"/>
              <w:rPr>
                <w:rFonts w:hint="eastAsia" w:ascii="宋体" w:hAnsi="宋体" w:cs="宋体"/>
                <w:sz w:val="24"/>
                <w:highlight w:val="none"/>
              </w:rPr>
            </w:pPr>
          </w:p>
        </w:tc>
      </w:tr>
      <w:tr w14:paraId="5A31EB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99" w:hRule="atLeast"/>
          <w:jc w:val="center"/>
        </w:trPr>
        <w:tc>
          <w:tcPr>
            <w:tcW w:w="2471" w:type="dxa"/>
            <w:tcBorders>
              <w:tl2br w:val="nil"/>
              <w:tr2bl w:val="nil"/>
            </w:tcBorders>
            <w:vAlign w:val="center"/>
          </w:tcPr>
          <w:p w14:paraId="7D02B2E1">
            <w:pPr>
              <w:shd w:val="clear"/>
              <w:spacing w:line="360" w:lineRule="auto"/>
              <w:jc w:val="center"/>
              <w:rPr>
                <w:rFonts w:hint="eastAsia" w:ascii="宋体" w:hAnsi="宋体" w:cs="宋体"/>
                <w:b/>
                <w:sz w:val="24"/>
                <w:highlight w:val="none"/>
              </w:rPr>
            </w:pPr>
            <w:r>
              <w:rPr>
                <w:rFonts w:hint="eastAsia" w:ascii="宋体" w:hAnsi="宋体" w:cs="宋体"/>
                <w:b/>
                <w:sz w:val="24"/>
                <w:highlight w:val="none"/>
              </w:rPr>
              <w:t>备注</w:t>
            </w:r>
          </w:p>
        </w:tc>
        <w:tc>
          <w:tcPr>
            <w:tcW w:w="7162" w:type="dxa"/>
            <w:tcBorders>
              <w:tl2br w:val="nil"/>
              <w:tr2bl w:val="nil"/>
            </w:tcBorders>
            <w:vAlign w:val="center"/>
          </w:tcPr>
          <w:p w14:paraId="6B95502E">
            <w:pPr>
              <w:shd w:val="clear"/>
              <w:spacing w:line="360" w:lineRule="auto"/>
              <w:jc w:val="left"/>
              <w:rPr>
                <w:rFonts w:hint="eastAsia" w:ascii="宋体" w:hAnsi="宋体" w:cs="宋体"/>
                <w:sz w:val="24"/>
                <w:szCs w:val="28"/>
                <w:highlight w:val="none"/>
              </w:rPr>
            </w:pPr>
          </w:p>
        </w:tc>
      </w:tr>
    </w:tbl>
    <w:p w14:paraId="481217D3">
      <w:pPr>
        <w:shd w:val="clear"/>
        <w:spacing w:before="100" w:beforeAutospacing="1" w:after="100" w:afterAutospacing="1" w:line="360" w:lineRule="auto"/>
        <w:rPr>
          <w:rFonts w:hint="eastAsia" w:ascii="宋体" w:hAnsi="宋体" w:cs="宋体"/>
          <w:bCs/>
          <w:sz w:val="24"/>
          <w:highlight w:val="none"/>
        </w:rPr>
      </w:pPr>
      <w:r>
        <w:rPr>
          <w:rFonts w:hint="eastAsia" w:ascii="宋体" w:hAnsi="宋体" w:cs="宋体"/>
          <w:bCs/>
          <w:sz w:val="24"/>
          <w:highlight w:val="none"/>
        </w:rPr>
        <w:t xml:space="preserve">供应商公章：                                           </w:t>
      </w:r>
    </w:p>
    <w:p w14:paraId="7928E0E6">
      <w:pPr>
        <w:shd w:val="clear"/>
        <w:spacing w:line="360" w:lineRule="auto"/>
        <w:rPr>
          <w:rFonts w:hint="eastAsia" w:ascii="宋体" w:hAnsi="宋体" w:cs="宋体"/>
          <w:b/>
          <w:sz w:val="24"/>
          <w:highlight w:val="none"/>
        </w:rPr>
      </w:pPr>
      <w:r>
        <w:rPr>
          <w:rFonts w:hint="eastAsia" w:ascii="宋体" w:hAnsi="宋体" w:cs="宋体"/>
          <w:b/>
          <w:sz w:val="24"/>
          <w:highlight w:val="none"/>
        </w:rPr>
        <w:t>备注：</w:t>
      </w:r>
      <w:r>
        <w:rPr>
          <w:rFonts w:hint="eastAsia" w:ascii="宋体" w:hAnsi="宋体" w:cs="宋体"/>
          <w:sz w:val="24"/>
          <w:highlight w:val="none"/>
          <w:u w:val="single"/>
        </w:rPr>
        <w:br w:type="textWrapping"/>
      </w:r>
      <w:r>
        <w:rPr>
          <w:rFonts w:hint="eastAsia" w:ascii="宋体" w:hAnsi="宋体" w:cs="宋体"/>
          <w:b/>
          <w:sz w:val="24"/>
          <w:highlight w:val="none"/>
        </w:rPr>
        <w:t>1. 本表内容根据询比文件要求包括了询比文件要求提供的全部内容的所有费用。</w:t>
      </w:r>
    </w:p>
    <w:p w14:paraId="3048E34C">
      <w:pPr>
        <w:shd w:val="clear"/>
        <w:spacing w:line="360" w:lineRule="auto"/>
        <w:rPr>
          <w:rFonts w:hint="eastAsia" w:ascii="宋体" w:hAnsi="宋体" w:cs="宋体"/>
          <w:b/>
          <w:sz w:val="24"/>
          <w:highlight w:val="none"/>
        </w:rPr>
      </w:pPr>
      <w:r>
        <w:rPr>
          <w:rFonts w:hint="eastAsia" w:ascii="宋体" w:hAnsi="宋体" w:cs="宋体"/>
          <w:b/>
          <w:sz w:val="24"/>
          <w:highlight w:val="none"/>
        </w:rPr>
        <w:t>2. 表中最终报价即为优惠后报价，并作为评审依据。任何有选择或有条件的最终报价，或者表中某一包填写多个报价，均为无效报价。</w:t>
      </w:r>
    </w:p>
    <w:p w14:paraId="7744AB4E">
      <w:pPr>
        <w:shd w:val="clear"/>
        <w:spacing w:line="360" w:lineRule="auto"/>
        <w:rPr>
          <w:rFonts w:hint="eastAsia" w:ascii="宋体" w:hAnsi="宋体" w:cs="宋体"/>
          <w:b/>
          <w:sz w:val="24"/>
          <w:highlight w:val="none"/>
        </w:rPr>
      </w:pPr>
      <w:r>
        <w:rPr>
          <w:rFonts w:hint="eastAsia" w:ascii="宋体" w:hAnsi="宋体" w:cs="宋体"/>
          <w:b/>
          <w:sz w:val="24"/>
          <w:highlight w:val="none"/>
        </w:rPr>
        <w:t>3. 特殊事项在备注中注明。</w:t>
      </w:r>
    </w:p>
    <w:p w14:paraId="206CC13B">
      <w:pPr>
        <w:pStyle w:val="3"/>
        <w:shd w:val="clear"/>
        <w:spacing w:line="360" w:lineRule="auto"/>
        <w:jc w:val="center"/>
        <w:rPr>
          <w:rFonts w:hint="eastAsia" w:ascii="宋体" w:hAnsi="宋体" w:cs="宋体"/>
          <w:sz w:val="24"/>
          <w:highlight w:val="none"/>
        </w:rPr>
        <w:sectPr>
          <w:headerReference r:id="rId4" w:type="default"/>
          <w:footerReference r:id="rId5" w:type="default"/>
          <w:footnotePr>
            <w:numFmt w:val="decimalEnclosedCircleChinese"/>
          </w:footnotePr>
          <w:pgSz w:w="11906" w:h="16838"/>
          <w:pgMar w:top="1417" w:right="1020" w:bottom="1417" w:left="1020" w:header="851" w:footer="992" w:gutter="0"/>
          <w:cols w:space="720" w:num="1"/>
          <w:docGrid w:type="lines" w:linePitch="312" w:charSpace="0"/>
        </w:sectPr>
      </w:pPr>
    </w:p>
    <w:p w14:paraId="073DAB82">
      <w:pPr>
        <w:shd w:val="clear"/>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rPr>
        <w:t>三、分项报价表</w:t>
      </w:r>
    </w:p>
    <w:p w14:paraId="63E9611B">
      <w:pPr>
        <w:widowControl/>
        <w:shd w:val="clear"/>
        <w:spacing w:line="360" w:lineRule="auto"/>
        <w:jc w:val="center"/>
        <w:rPr>
          <w:rFonts w:ascii="Times New Roman" w:hAnsi="Times New Roman" w:cs="宋体"/>
          <w:b/>
          <w:sz w:val="24"/>
          <w:szCs w:val="28"/>
          <w:highlight w:val="none"/>
        </w:rPr>
      </w:pPr>
      <w:r>
        <w:rPr>
          <w:rFonts w:hint="eastAsia" w:ascii="Times New Roman" w:hAnsi="Times New Roman" w:cs="宋体"/>
          <w:b/>
          <w:sz w:val="24"/>
          <w:szCs w:val="28"/>
          <w:highlight w:val="none"/>
        </w:rPr>
        <w:t>（格式自拟，参选人需分年龄段分别进行报价）</w:t>
      </w:r>
    </w:p>
    <w:p w14:paraId="0B3F4292">
      <w:pPr>
        <w:shd w:val="clear"/>
        <w:spacing w:line="360" w:lineRule="auto"/>
        <w:jc w:val="center"/>
        <w:rPr>
          <w:rFonts w:hint="eastAsia" w:ascii="宋体" w:hAnsi="宋体" w:cs="宋体"/>
          <w:b/>
          <w:bCs/>
          <w:sz w:val="28"/>
          <w:szCs w:val="28"/>
          <w:highlight w:val="none"/>
        </w:rPr>
      </w:pPr>
    </w:p>
    <w:p w14:paraId="14E994E3">
      <w:pPr>
        <w:widowControl/>
        <w:shd w:val="clear"/>
        <w:spacing w:line="360" w:lineRule="auto"/>
        <w:jc w:val="left"/>
        <w:rPr>
          <w:rFonts w:ascii="Times New Roman" w:hAnsi="Times New Roman" w:cs="宋体"/>
          <w:b/>
          <w:sz w:val="24"/>
          <w:szCs w:val="28"/>
          <w:highlight w:val="none"/>
        </w:rPr>
      </w:pPr>
      <w:r>
        <w:rPr>
          <w:rFonts w:hint="eastAsia" w:ascii="Times New Roman" w:hAnsi="Times New Roman" w:cs="宋体"/>
          <w:b/>
          <w:sz w:val="24"/>
          <w:szCs w:val="28"/>
          <w:highlight w:val="none"/>
        </w:rPr>
        <w:t>3-1报价表---分年龄段基础套餐（必检基础项目）</w:t>
      </w:r>
    </w:p>
    <w:p w14:paraId="600184A1">
      <w:pPr>
        <w:widowControl/>
        <w:shd w:val="clear"/>
        <w:spacing w:line="360" w:lineRule="auto"/>
        <w:jc w:val="left"/>
        <w:rPr>
          <w:rFonts w:ascii="Times New Roman" w:hAnsi="Times New Roman" w:cs="宋体"/>
          <w:b/>
          <w:sz w:val="24"/>
          <w:szCs w:val="28"/>
          <w:highlight w:val="none"/>
        </w:rPr>
      </w:pPr>
      <w:r>
        <w:rPr>
          <w:rFonts w:hint="eastAsia" w:ascii="Times New Roman" w:hAnsi="Times New Roman" w:cs="宋体"/>
          <w:b/>
          <w:sz w:val="24"/>
          <w:szCs w:val="28"/>
          <w:highlight w:val="none"/>
        </w:rPr>
        <w:t>（格式自拟，参选人需分年龄段分别进行报价）</w:t>
      </w:r>
    </w:p>
    <w:p w14:paraId="354A0F39">
      <w:pPr>
        <w:pStyle w:val="26"/>
        <w:shd w:val="clear"/>
        <w:spacing w:line="360" w:lineRule="auto"/>
        <w:ind w:firstLine="0" w:firstLineChars="0"/>
        <w:rPr>
          <w:rFonts w:hAnsi="Times New Roman" w:cs="宋体"/>
          <w:iCs/>
          <w:sz w:val="24"/>
          <w:highlight w:val="none"/>
        </w:rPr>
      </w:pPr>
    </w:p>
    <w:p w14:paraId="7536C569">
      <w:pPr>
        <w:shd w:val="clear"/>
        <w:spacing w:line="360" w:lineRule="auto"/>
        <w:rPr>
          <w:rFonts w:ascii="Times New Roman" w:hAnsi="Times New Roman" w:cs="宋体"/>
          <w:b/>
          <w:bCs/>
          <w:i/>
          <w:sz w:val="24"/>
          <w:highlight w:val="none"/>
        </w:rPr>
      </w:pPr>
    </w:p>
    <w:p w14:paraId="514046D4">
      <w:pPr>
        <w:shd w:val="clear"/>
        <w:spacing w:line="360" w:lineRule="auto"/>
        <w:rPr>
          <w:rFonts w:ascii="Times New Roman" w:hAnsi="Times New Roman" w:cs="宋体"/>
          <w:b/>
          <w:bCs/>
          <w:i/>
          <w:sz w:val="24"/>
          <w:highlight w:val="none"/>
        </w:rPr>
      </w:pPr>
    </w:p>
    <w:p w14:paraId="29EA0C42">
      <w:pPr>
        <w:shd w:val="clear"/>
        <w:spacing w:line="360" w:lineRule="auto"/>
        <w:rPr>
          <w:rFonts w:ascii="Times New Roman" w:hAnsi="Times New Roman" w:cs="宋体"/>
          <w:b/>
          <w:bCs/>
          <w:i/>
          <w:sz w:val="24"/>
          <w:highlight w:val="none"/>
        </w:rPr>
      </w:pPr>
    </w:p>
    <w:p w14:paraId="12E50045">
      <w:pPr>
        <w:shd w:val="clear"/>
        <w:spacing w:line="360" w:lineRule="auto"/>
        <w:rPr>
          <w:rFonts w:ascii="Times New Roman" w:hAnsi="Times New Roman" w:cs="宋体"/>
          <w:b/>
          <w:bCs/>
          <w:i/>
          <w:sz w:val="24"/>
          <w:highlight w:val="none"/>
        </w:rPr>
      </w:pPr>
    </w:p>
    <w:p w14:paraId="764804B2">
      <w:pPr>
        <w:shd w:val="clear"/>
        <w:spacing w:line="360" w:lineRule="auto"/>
        <w:rPr>
          <w:rFonts w:ascii="Times New Roman" w:hAnsi="Times New Roman" w:cs="宋体"/>
          <w:b/>
          <w:bCs/>
          <w:i/>
          <w:sz w:val="24"/>
          <w:highlight w:val="none"/>
        </w:rPr>
      </w:pPr>
    </w:p>
    <w:p w14:paraId="43E91241">
      <w:pPr>
        <w:shd w:val="clear"/>
        <w:spacing w:line="360" w:lineRule="auto"/>
        <w:rPr>
          <w:rFonts w:ascii="Times New Roman" w:hAnsi="Times New Roman" w:cs="宋体"/>
          <w:b/>
          <w:bCs/>
          <w:i/>
          <w:sz w:val="24"/>
          <w:highlight w:val="none"/>
        </w:rPr>
      </w:pPr>
    </w:p>
    <w:p w14:paraId="5F6E2F8A">
      <w:pPr>
        <w:shd w:val="clear"/>
        <w:spacing w:line="360" w:lineRule="auto"/>
        <w:rPr>
          <w:rFonts w:ascii="Times New Roman" w:hAnsi="Times New Roman" w:cs="宋体"/>
          <w:b/>
          <w:bCs/>
          <w:i/>
          <w:sz w:val="24"/>
          <w:highlight w:val="none"/>
        </w:rPr>
      </w:pPr>
    </w:p>
    <w:p w14:paraId="21229880">
      <w:pPr>
        <w:shd w:val="clear"/>
        <w:spacing w:line="360" w:lineRule="auto"/>
        <w:rPr>
          <w:rFonts w:ascii="Times New Roman" w:hAnsi="Times New Roman" w:cs="宋体"/>
          <w:b/>
          <w:bCs/>
          <w:i/>
          <w:sz w:val="24"/>
          <w:highlight w:val="none"/>
        </w:rPr>
      </w:pPr>
    </w:p>
    <w:p w14:paraId="47413866">
      <w:pPr>
        <w:shd w:val="clear"/>
        <w:spacing w:line="360" w:lineRule="auto"/>
        <w:ind w:firstLine="4800" w:firstLineChars="2000"/>
        <w:jc w:val="left"/>
        <w:rPr>
          <w:rFonts w:ascii="Times New Roman" w:hAnsi="Times New Roman" w:cs="宋体"/>
          <w:sz w:val="24"/>
          <w:szCs w:val="24"/>
          <w:highlight w:val="none"/>
        </w:rPr>
      </w:pPr>
      <w:r>
        <w:rPr>
          <w:rFonts w:hint="eastAsia" w:ascii="宋体" w:hAnsi="宋体" w:cs="宋体"/>
          <w:bCs/>
          <w:sz w:val="24"/>
          <w:highlight w:val="none"/>
        </w:rPr>
        <w:t>供应商公章：</w:t>
      </w:r>
      <w:r>
        <w:rPr>
          <w:rFonts w:hint="eastAsia" w:ascii="Times New Roman" w:hAnsi="Times New Roman" w:cs="宋体"/>
          <w:sz w:val="24"/>
          <w:szCs w:val="24"/>
          <w:highlight w:val="none"/>
        </w:rPr>
        <w:t xml:space="preserve">             </w:t>
      </w:r>
    </w:p>
    <w:p w14:paraId="2C1D68FD">
      <w:pPr>
        <w:shd w:val="clear"/>
        <w:spacing w:line="360" w:lineRule="auto"/>
        <w:ind w:firstLine="4800" w:firstLineChars="2000"/>
        <w:jc w:val="left"/>
        <w:rPr>
          <w:rFonts w:ascii="Times New Roman" w:hAnsi="Times New Roman" w:cs="宋体"/>
          <w:sz w:val="24"/>
          <w:szCs w:val="24"/>
          <w:highlight w:val="none"/>
        </w:rPr>
      </w:pPr>
      <w:r>
        <w:rPr>
          <w:rFonts w:hint="eastAsia" w:ascii="Times New Roman" w:hAnsi="Times New Roman" w:cs="宋体"/>
          <w:sz w:val="24"/>
          <w:szCs w:val="24"/>
          <w:highlight w:val="none"/>
        </w:rPr>
        <w:t xml:space="preserve">日      期：             </w:t>
      </w:r>
    </w:p>
    <w:p w14:paraId="7F5173C5">
      <w:pPr>
        <w:shd w:val="clear"/>
        <w:adjustRightInd w:val="0"/>
        <w:snapToGrid w:val="0"/>
        <w:spacing w:line="360" w:lineRule="auto"/>
        <w:jc w:val="left"/>
        <w:rPr>
          <w:rFonts w:ascii="Times New Roman" w:hAnsi="Times New Roman" w:cs="宋体"/>
          <w:b/>
          <w:bCs/>
          <w:sz w:val="24"/>
          <w:szCs w:val="28"/>
          <w:highlight w:val="none"/>
        </w:rPr>
      </w:pPr>
      <w:r>
        <w:rPr>
          <w:rFonts w:hint="eastAsia" w:ascii="Times New Roman" w:hAnsi="Times New Roman" w:cs="宋体"/>
          <w:b/>
          <w:bCs/>
          <w:sz w:val="24"/>
          <w:szCs w:val="28"/>
          <w:highlight w:val="none"/>
        </w:rPr>
        <w:t>备注：</w:t>
      </w:r>
    </w:p>
    <w:p w14:paraId="72D33FCE">
      <w:pPr>
        <w:shd w:val="clear"/>
        <w:adjustRightInd w:val="0"/>
        <w:snapToGrid w:val="0"/>
        <w:spacing w:line="360" w:lineRule="auto"/>
        <w:ind w:firstLine="482" w:firstLineChars="200"/>
        <w:jc w:val="left"/>
        <w:rPr>
          <w:rFonts w:ascii="Times New Roman" w:hAnsi="Times New Roman" w:cs="宋体"/>
          <w:b/>
          <w:bCs/>
          <w:sz w:val="24"/>
          <w:szCs w:val="28"/>
          <w:highlight w:val="none"/>
        </w:rPr>
      </w:pPr>
      <w:r>
        <w:rPr>
          <w:rFonts w:hint="eastAsia" w:ascii="Times New Roman" w:hAnsi="Times New Roman" w:cs="宋体"/>
          <w:b/>
          <w:bCs/>
          <w:sz w:val="24"/>
          <w:szCs w:val="28"/>
          <w:highlight w:val="none"/>
        </w:rPr>
        <w:t>表中所列服务为对应本项目需求的全部服务内容。如有漏项或缺项，参选人承担全部责任。</w:t>
      </w:r>
    </w:p>
    <w:p w14:paraId="2D43A9C3">
      <w:pPr>
        <w:shd w:val="clear"/>
        <w:rPr>
          <w:rFonts w:ascii="Times New Roman" w:hAnsi="Times New Roman" w:cs="宋体"/>
          <w:b/>
          <w:sz w:val="24"/>
          <w:szCs w:val="28"/>
          <w:highlight w:val="none"/>
        </w:rPr>
      </w:pPr>
      <w:r>
        <w:rPr>
          <w:rFonts w:hint="eastAsia" w:ascii="Times New Roman" w:hAnsi="Times New Roman" w:cs="宋体"/>
          <w:b/>
          <w:sz w:val="24"/>
          <w:szCs w:val="28"/>
          <w:highlight w:val="none"/>
        </w:rPr>
        <w:br w:type="page"/>
      </w:r>
    </w:p>
    <w:p w14:paraId="17D47549">
      <w:pPr>
        <w:widowControl/>
        <w:shd w:val="clear"/>
        <w:spacing w:line="360" w:lineRule="auto"/>
        <w:jc w:val="left"/>
        <w:rPr>
          <w:rFonts w:ascii="Times New Roman" w:hAnsi="Times New Roman" w:cs="宋体"/>
          <w:b/>
          <w:sz w:val="24"/>
          <w:szCs w:val="28"/>
          <w:highlight w:val="none"/>
        </w:rPr>
      </w:pPr>
      <w:r>
        <w:rPr>
          <w:rFonts w:hint="eastAsia" w:ascii="Times New Roman" w:hAnsi="Times New Roman" w:cs="宋体"/>
          <w:b/>
          <w:sz w:val="24"/>
          <w:szCs w:val="28"/>
          <w:highlight w:val="none"/>
        </w:rPr>
        <w:t>3-2分项报价</w:t>
      </w:r>
      <w:r>
        <w:rPr>
          <w:rFonts w:hint="eastAsia" w:ascii="Times New Roman" w:hAnsi="Times New Roman" w:cs="宋体"/>
          <w:b/>
          <w:color w:val="FF0000"/>
          <w:sz w:val="24"/>
          <w:szCs w:val="28"/>
          <w:highlight w:val="none"/>
        </w:rPr>
        <w:t>明细</w:t>
      </w:r>
      <w:r>
        <w:rPr>
          <w:rFonts w:hint="eastAsia" w:ascii="Times New Roman" w:hAnsi="Times New Roman" w:cs="宋体"/>
          <w:b/>
          <w:sz w:val="24"/>
          <w:szCs w:val="28"/>
          <w:highlight w:val="none"/>
        </w:rPr>
        <w:t>表---选检备选项目</w:t>
      </w:r>
    </w:p>
    <w:p w14:paraId="4CA42405">
      <w:pPr>
        <w:shd w:val="clear"/>
        <w:wordWrap w:val="0"/>
        <w:adjustRightInd w:val="0"/>
        <w:snapToGrid w:val="0"/>
        <w:spacing w:line="360" w:lineRule="auto"/>
        <w:rPr>
          <w:rFonts w:ascii="Times New Roman" w:hAnsi="Times New Roman" w:cs="宋体"/>
          <w:b/>
          <w:sz w:val="24"/>
          <w:szCs w:val="28"/>
          <w:highlight w:val="none"/>
        </w:rPr>
      </w:pPr>
      <w:r>
        <w:rPr>
          <w:rFonts w:hint="eastAsia" w:ascii="Times New Roman" w:hAnsi="Times New Roman" w:cs="宋体"/>
          <w:b/>
          <w:sz w:val="24"/>
          <w:szCs w:val="28"/>
          <w:highlight w:val="none"/>
        </w:rPr>
        <w:t>（格式自拟）</w:t>
      </w:r>
    </w:p>
    <w:p w14:paraId="5006BDFD">
      <w:pPr>
        <w:shd w:val="clear"/>
        <w:spacing w:line="360" w:lineRule="auto"/>
        <w:ind w:firstLine="4800" w:firstLineChars="2000"/>
        <w:jc w:val="left"/>
        <w:rPr>
          <w:rFonts w:ascii="Times New Roman" w:hAnsi="Times New Roman" w:cs="宋体"/>
          <w:sz w:val="24"/>
          <w:szCs w:val="24"/>
          <w:highlight w:val="none"/>
        </w:rPr>
      </w:pPr>
    </w:p>
    <w:p w14:paraId="2DB37B83">
      <w:pPr>
        <w:shd w:val="clear"/>
        <w:spacing w:line="360" w:lineRule="auto"/>
        <w:ind w:firstLine="4800" w:firstLineChars="2000"/>
        <w:jc w:val="left"/>
        <w:rPr>
          <w:rFonts w:ascii="Times New Roman" w:hAnsi="Times New Roman" w:cs="宋体"/>
          <w:sz w:val="24"/>
          <w:szCs w:val="24"/>
          <w:highlight w:val="none"/>
        </w:rPr>
      </w:pPr>
    </w:p>
    <w:p w14:paraId="599619F2">
      <w:pPr>
        <w:shd w:val="clear"/>
        <w:spacing w:line="360" w:lineRule="auto"/>
        <w:ind w:firstLine="4800" w:firstLineChars="2000"/>
        <w:jc w:val="left"/>
        <w:rPr>
          <w:rFonts w:ascii="Times New Roman" w:hAnsi="Times New Roman" w:cs="宋体"/>
          <w:sz w:val="24"/>
          <w:szCs w:val="24"/>
          <w:highlight w:val="none"/>
        </w:rPr>
      </w:pPr>
    </w:p>
    <w:p w14:paraId="6E6E2C15">
      <w:pPr>
        <w:shd w:val="clear"/>
        <w:spacing w:line="360" w:lineRule="auto"/>
        <w:ind w:firstLine="4800" w:firstLineChars="2000"/>
        <w:jc w:val="left"/>
        <w:rPr>
          <w:rFonts w:ascii="Times New Roman" w:hAnsi="Times New Roman" w:cs="宋体"/>
          <w:sz w:val="24"/>
          <w:szCs w:val="24"/>
          <w:highlight w:val="none"/>
        </w:rPr>
      </w:pPr>
    </w:p>
    <w:p w14:paraId="139E134C">
      <w:pPr>
        <w:shd w:val="clear"/>
        <w:spacing w:line="360" w:lineRule="auto"/>
        <w:ind w:firstLine="4800" w:firstLineChars="2000"/>
        <w:jc w:val="left"/>
        <w:rPr>
          <w:rFonts w:ascii="Times New Roman" w:hAnsi="Times New Roman" w:cs="宋体"/>
          <w:sz w:val="24"/>
          <w:szCs w:val="24"/>
          <w:highlight w:val="none"/>
        </w:rPr>
      </w:pPr>
    </w:p>
    <w:p w14:paraId="32571337">
      <w:pPr>
        <w:shd w:val="clear"/>
        <w:spacing w:line="360" w:lineRule="auto"/>
        <w:ind w:firstLine="4800" w:firstLineChars="2000"/>
        <w:jc w:val="left"/>
        <w:rPr>
          <w:rFonts w:ascii="Times New Roman" w:hAnsi="Times New Roman" w:cs="宋体"/>
          <w:sz w:val="24"/>
          <w:szCs w:val="24"/>
          <w:highlight w:val="none"/>
        </w:rPr>
      </w:pPr>
      <w:r>
        <w:rPr>
          <w:rFonts w:hint="eastAsia" w:ascii="宋体" w:hAnsi="宋体" w:cs="宋体"/>
          <w:bCs/>
          <w:sz w:val="24"/>
          <w:highlight w:val="none"/>
        </w:rPr>
        <w:t>供应商公章：</w:t>
      </w:r>
      <w:r>
        <w:rPr>
          <w:rFonts w:hint="eastAsia" w:ascii="Times New Roman" w:hAnsi="Times New Roman" w:cs="宋体"/>
          <w:sz w:val="24"/>
          <w:szCs w:val="24"/>
          <w:highlight w:val="none"/>
        </w:rPr>
        <w:t xml:space="preserve">            </w:t>
      </w:r>
    </w:p>
    <w:p w14:paraId="5188FF32">
      <w:pPr>
        <w:shd w:val="clear"/>
        <w:spacing w:line="360" w:lineRule="auto"/>
        <w:ind w:firstLine="4800" w:firstLineChars="2000"/>
        <w:jc w:val="left"/>
        <w:rPr>
          <w:rFonts w:ascii="Times New Roman" w:hAnsi="Times New Roman" w:cs="宋体"/>
          <w:sz w:val="24"/>
          <w:szCs w:val="24"/>
          <w:highlight w:val="none"/>
        </w:rPr>
      </w:pPr>
      <w:r>
        <w:rPr>
          <w:rFonts w:hint="eastAsia" w:ascii="Times New Roman" w:hAnsi="Times New Roman" w:cs="宋体"/>
          <w:sz w:val="24"/>
          <w:szCs w:val="24"/>
          <w:highlight w:val="none"/>
        </w:rPr>
        <w:t xml:space="preserve">日      期：             </w:t>
      </w:r>
    </w:p>
    <w:p w14:paraId="0FB2EF51">
      <w:pPr>
        <w:shd w:val="clear"/>
        <w:adjustRightInd w:val="0"/>
        <w:snapToGrid w:val="0"/>
        <w:spacing w:line="360" w:lineRule="auto"/>
        <w:jc w:val="left"/>
        <w:rPr>
          <w:rFonts w:ascii="Times New Roman" w:hAnsi="Times New Roman" w:cs="宋体"/>
          <w:b/>
          <w:bCs/>
          <w:sz w:val="24"/>
          <w:szCs w:val="28"/>
          <w:highlight w:val="none"/>
        </w:rPr>
      </w:pPr>
      <w:r>
        <w:rPr>
          <w:rFonts w:hint="eastAsia" w:ascii="Times New Roman" w:hAnsi="Times New Roman" w:cs="宋体"/>
          <w:b/>
          <w:bCs/>
          <w:sz w:val="24"/>
          <w:szCs w:val="28"/>
          <w:highlight w:val="none"/>
        </w:rPr>
        <w:t>备注：</w:t>
      </w:r>
    </w:p>
    <w:p w14:paraId="5E93BB35">
      <w:pPr>
        <w:shd w:val="clear"/>
        <w:adjustRightInd w:val="0"/>
        <w:snapToGrid w:val="0"/>
        <w:spacing w:line="360" w:lineRule="auto"/>
        <w:ind w:firstLine="482" w:firstLineChars="200"/>
        <w:jc w:val="left"/>
        <w:rPr>
          <w:rFonts w:ascii="Times New Roman" w:hAnsi="Times New Roman" w:cs="宋体"/>
          <w:b/>
          <w:bCs/>
          <w:sz w:val="24"/>
          <w:szCs w:val="28"/>
          <w:highlight w:val="none"/>
        </w:rPr>
      </w:pPr>
      <w:r>
        <w:rPr>
          <w:rFonts w:hint="eastAsia" w:ascii="Times New Roman" w:hAnsi="Times New Roman" w:cs="宋体"/>
          <w:b/>
          <w:bCs/>
          <w:sz w:val="24"/>
          <w:szCs w:val="28"/>
          <w:highlight w:val="none"/>
        </w:rPr>
        <w:t>表中所列服务为对应本项目需求的全部服务内容。如有漏项或缺项，参选人承担全部责任。</w:t>
      </w:r>
    </w:p>
    <w:p w14:paraId="6481D6B7">
      <w:pPr>
        <w:shd w:val="clear"/>
        <w:adjustRightInd w:val="0"/>
        <w:snapToGrid w:val="0"/>
        <w:spacing w:line="360" w:lineRule="auto"/>
        <w:ind w:firstLine="482" w:firstLineChars="200"/>
        <w:rPr>
          <w:rFonts w:hint="eastAsia" w:ascii="宋体" w:hAnsi="宋体" w:cs="宋体"/>
          <w:b/>
          <w:bCs/>
          <w:sz w:val="24"/>
          <w:szCs w:val="28"/>
          <w:highlight w:val="none"/>
        </w:rPr>
      </w:pPr>
    </w:p>
    <w:p w14:paraId="64170AFC">
      <w:pPr>
        <w:shd w:val="clear"/>
        <w:adjustRightInd w:val="0"/>
        <w:snapToGrid w:val="0"/>
        <w:spacing w:line="360" w:lineRule="auto"/>
        <w:ind w:firstLine="482" w:firstLineChars="200"/>
        <w:rPr>
          <w:rFonts w:hint="eastAsia" w:ascii="宋体" w:hAnsi="宋体" w:cs="宋体"/>
          <w:b/>
          <w:bCs/>
          <w:sz w:val="24"/>
          <w:szCs w:val="28"/>
          <w:highlight w:val="none"/>
        </w:rPr>
      </w:pPr>
    </w:p>
    <w:p w14:paraId="630D63F3">
      <w:pPr>
        <w:shd w:val="clear"/>
        <w:jc w:val="center"/>
        <w:rPr>
          <w:rFonts w:hint="eastAsia" w:ascii="宋体" w:hAnsi="宋体" w:cs="宋体"/>
          <w:b/>
          <w:bCs/>
          <w:sz w:val="28"/>
          <w:szCs w:val="28"/>
          <w:highlight w:val="none"/>
        </w:rPr>
      </w:pPr>
    </w:p>
    <w:p w14:paraId="13C04B87">
      <w:pPr>
        <w:shd w:val="clear"/>
        <w:rPr>
          <w:rFonts w:hint="eastAsia" w:ascii="宋体" w:hAnsi="宋体" w:cs="宋体"/>
          <w:b/>
          <w:bCs/>
          <w:sz w:val="28"/>
          <w:szCs w:val="28"/>
          <w:highlight w:val="none"/>
        </w:rPr>
      </w:pPr>
      <w:r>
        <w:rPr>
          <w:rFonts w:hint="eastAsia" w:ascii="宋体" w:hAnsi="宋体" w:cs="宋体"/>
          <w:b/>
          <w:bCs/>
          <w:sz w:val="28"/>
          <w:szCs w:val="28"/>
          <w:highlight w:val="none"/>
        </w:rPr>
        <w:br w:type="page"/>
      </w:r>
    </w:p>
    <w:p w14:paraId="531E433F">
      <w:pPr>
        <w:pStyle w:val="3"/>
        <w:shd w:val="clear"/>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四、参选响应表</w:t>
      </w:r>
    </w:p>
    <w:tbl>
      <w:tblPr>
        <w:tblStyle w:val="27"/>
        <w:tblW w:w="9686"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288"/>
        <w:gridCol w:w="2225"/>
        <w:gridCol w:w="2013"/>
        <w:gridCol w:w="1587"/>
        <w:gridCol w:w="1725"/>
      </w:tblGrid>
      <w:tr w14:paraId="035628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848" w:type="dxa"/>
            <w:vMerge w:val="restart"/>
            <w:tcBorders>
              <w:tl2br w:val="nil"/>
              <w:tr2bl w:val="nil"/>
            </w:tcBorders>
            <w:vAlign w:val="center"/>
          </w:tcPr>
          <w:p w14:paraId="4B06B37C">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序号</w:t>
            </w:r>
          </w:p>
        </w:tc>
        <w:tc>
          <w:tcPr>
            <w:tcW w:w="1288" w:type="dxa"/>
            <w:vMerge w:val="restart"/>
            <w:tcBorders>
              <w:tl2br w:val="nil"/>
              <w:tr2bl w:val="nil"/>
            </w:tcBorders>
            <w:vAlign w:val="center"/>
          </w:tcPr>
          <w:p w14:paraId="5B206F97">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项目</w:t>
            </w:r>
          </w:p>
        </w:tc>
        <w:tc>
          <w:tcPr>
            <w:tcW w:w="2225" w:type="dxa"/>
            <w:vMerge w:val="restart"/>
            <w:tcBorders>
              <w:tl2br w:val="nil"/>
              <w:tr2bl w:val="nil"/>
            </w:tcBorders>
            <w:vAlign w:val="center"/>
          </w:tcPr>
          <w:p w14:paraId="0665E201">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询比文件的</w:t>
            </w:r>
          </w:p>
          <w:p w14:paraId="0D9BF44B">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商务条款</w:t>
            </w:r>
          </w:p>
        </w:tc>
        <w:tc>
          <w:tcPr>
            <w:tcW w:w="2013" w:type="dxa"/>
            <w:vMerge w:val="restart"/>
            <w:tcBorders>
              <w:tl2br w:val="nil"/>
              <w:tr2bl w:val="nil"/>
            </w:tcBorders>
            <w:vAlign w:val="center"/>
          </w:tcPr>
          <w:p w14:paraId="32F79001">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响应文件的</w:t>
            </w:r>
          </w:p>
          <w:p w14:paraId="5E5C3706">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商务条款</w:t>
            </w:r>
          </w:p>
        </w:tc>
        <w:tc>
          <w:tcPr>
            <w:tcW w:w="1587" w:type="dxa"/>
            <w:tcBorders>
              <w:tl2br w:val="nil"/>
              <w:tr2bl w:val="nil"/>
            </w:tcBorders>
            <w:vAlign w:val="center"/>
          </w:tcPr>
          <w:p w14:paraId="12B7D805">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偏离说明</w:t>
            </w:r>
          </w:p>
        </w:tc>
        <w:tc>
          <w:tcPr>
            <w:tcW w:w="1725" w:type="dxa"/>
            <w:vMerge w:val="restart"/>
            <w:tcBorders>
              <w:tl2br w:val="nil"/>
              <w:tr2bl w:val="nil"/>
            </w:tcBorders>
            <w:vAlign w:val="center"/>
          </w:tcPr>
          <w:p w14:paraId="31E6EE71">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备注</w:t>
            </w:r>
          </w:p>
        </w:tc>
      </w:tr>
      <w:tr w14:paraId="48F2E80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37" w:hRule="atLeast"/>
          <w:jc w:val="center"/>
        </w:trPr>
        <w:tc>
          <w:tcPr>
            <w:tcW w:w="848" w:type="dxa"/>
            <w:vMerge w:val="continue"/>
            <w:tcBorders>
              <w:tl2br w:val="nil"/>
              <w:tr2bl w:val="nil"/>
            </w:tcBorders>
            <w:vAlign w:val="center"/>
          </w:tcPr>
          <w:p w14:paraId="1B5C092C">
            <w:pPr>
              <w:widowControl/>
              <w:shd w:val="clear"/>
              <w:jc w:val="center"/>
              <w:rPr>
                <w:rFonts w:hint="eastAsia" w:ascii="宋体" w:hAnsi="宋体" w:cs="宋体"/>
                <w:kern w:val="0"/>
                <w:sz w:val="24"/>
                <w:szCs w:val="24"/>
                <w:highlight w:val="none"/>
              </w:rPr>
            </w:pPr>
          </w:p>
        </w:tc>
        <w:tc>
          <w:tcPr>
            <w:tcW w:w="1288" w:type="dxa"/>
            <w:vMerge w:val="continue"/>
            <w:tcBorders>
              <w:tl2br w:val="nil"/>
              <w:tr2bl w:val="nil"/>
            </w:tcBorders>
            <w:vAlign w:val="center"/>
          </w:tcPr>
          <w:p w14:paraId="34D89495">
            <w:pPr>
              <w:widowControl/>
              <w:shd w:val="clear"/>
              <w:jc w:val="center"/>
              <w:rPr>
                <w:rFonts w:hint="eastAsia" w:ascii="宋体" w:hAnsi="宋体" w:cs="宋体"/>
                <w:kern w:val="0"/>
                <w:sz w:val="24"/>
                <w:szCs w:val="24"/>
                <w:highlight w:val="none"/>
              </w:rPr>
            </w:pPr>
          </w:p>
        </w:tc>
        <w:tc>
          <w:tcPr>
            <w:tcW w:w="2225" w:type="dxa"/>
            <w:vMerge w:val="continue"/>
            <w:tcBorders>
              <w:tl2br w:val="nil"/>
              <w:tr2bl w:val="nil"/>
            </w:tcBorders>
            <w:vAlign w:val="center"/>
          </w:tcPr>
          <w:p w14:paraId="73C8E96C">
            <w:pPr>
              <w:widowControl/>
              <w:shd w:val="clear"/>
              <w:jc w:val="center"/>
              <w:rPr>
                <w:rFonts w:hint="eastAsia" w:ascii="宋体" w:hAnsi="宋体" w:cs="宋体"/>
                <w:kern w:val="0"/>
                <w:sz w:val="24"/>
                <w:szCs w:val="24"/>
                <w:highlight w:val="none"/>
              </w:rPr>
            </w:pPr>
          </w:p>
        </w:tc>
        <w:tc>
          <w:tcPr>
            <w:tcW w:w="2013" w:type="dxa"/>
            <w:vMerge w:val="continue"/>
            <w:tcBorders>
              <w:tl2br w:val="nil"/>
              <w:tr2bl w:val="nil"/>
            </w:tcBorders>
            <w:vAlign w:val="center"/>
          </w:tcPr>
          <w:p w14:paraId="7DAFD781">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5DEB790E">
            <w:pPr>
              <w:widowControl/>
              <w:shd w:val="clear"/>
              <w:jc w:val="center"/>
              <w:rPr>
                <w:rFonts w:hint="eastAsia" w:ascii="宋体" w:hAnsi="宋体" w:cs="宋体"/>
                <w:bCs/>
                <w:kern w:val="0"/>
                <w:sz w:val="24"/>
                <w:szCs w:val="24"/>
                <w:highlight w:val="none"/>
              </w:rPr>
            </w:pPr>
            <w:r>
              <w:rPr>
                <w:rFonts w:hint="eastAsia" w:ascii="宋体" w:hAnsi="宋体" w:cs="宋体"/>
                <w:bCs/>
                <w:kern w:val="0"/>
                <w:sz w:val="24"/>
                <w:szCs w:val="24"/>
                <w:highlight w:val="none"/>
              </w:rPr>
              <w:t>无偏离</w:t>
            </w:r>
          </w:p>
          <w:p w14:paraId="2D8FFE68">
            <w:pPr>
              <w:widowControl/>
              <w:shd w:val="clear"/>
              <w:jc w:val="center"/>
              <w:rPr>
                <w:rFonts w:hint="eastAsia" w:ascii="宋体" w:hAnsi="宋体" w:cs="宋体"/>
                <w:bCs/>
                <w:kern w:val="0"/>
                <w:sz w:val="24"/>
                <w:szCs w:val="24"/>
                <w:highlight w:val="none"/>
              </w:rPr>
            </w:pPr>
            <w:r>
              <w:rPr>
                <w:rFonts w:hint="eastAsia" w:ascii="宋体" w:hAnsi="宋体" w:cs="宋体"/>
                <w:bCs/>
                <w:kern w:val="0"/>
                <w:sz w:val="24"/>
                <w:szCs w:val="24"/>
                <w:highlight w:val="none"/>
              </w:rPr>
              <w:t>正偏离</w:t>
            </w:r>
          </w:p>
          <w:p w14:paraId="081F99FA">
            <w:pPr>
              <w:widowControl/>
              <w:shd w:val="clear"/>
              <w:jc w:val="center"/>
              <w:rPr>
                <w:rFonts w:hint="eastAsia" w:ascii="宋体" w:hAnsi="宋体" w:cs="宋体"/>
                <w:bCs/>
                <w:kern w:val="0"/>
                <w:sz w:val="24"/>
                <w:szCs w:val="24"/>
                <w:highlight w:val="none"/>
              </w:rPr>
            </w:pPr>
            <w:r>
              <w:rPr>
                <w:rFonts w:hint="eastAsia" w:ascii="宋体" w:hAnsi="宋体" w:cs="宋体"/>
                <w:bCs/>
                <w:kern w:val="0"/>
                <w:sz w:val="24"/>
                <w:szCs w:val="24"/>
                <w:highlight w:val="none"/>
              </w:rPr>
              <w:t>负偏离</w:t>
            </w:r>
          </w:p>
        </w:tc>
        <w:tc>
          <w:tcPr>
            <w:tcW w:w="1725" w:type="dxa"/>
            <w:vMerge w:val="continue"/>
            <w:tcBorders>
              <w:tl2br w:val="nil"/>
              <w:tr2bl w:val="nil"/>
            </w:tcBorders>
            <w:vAlign w:val="center"/>
          </w:tcPr>
          <w:p w14:paraId="3F62B628">
            <w:pPr>
              <w:widowControl/>
              <w:shd w:val="clear"/>
              <w:jc w:val="center"/>
              <w:rPr>
                <w:rFonts w:hint="eastAsia" w:ascii="宋体" w:hAnsi="宋体" w:cs="宋体"/>
                <w:kern w:val="0"/>
                <w:sz w:val="24"/>
                <w:szCs w:val="24"/>
                <w:highlight w:val="none"/>
              </w:rPr>
            </w:pPr>
          </w:p>
        </w:tc>
      </w:tr>
      <w:tr w14:paraId="496F6A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848" w:type="dxa"/>
            <w:tcBorders>
              <w:tl2br w:val="nil"/>
              <w:tr2bl w:val="nil"/>
            </w:tcBorders>
            <w:vAlign w:val="center"/>
          </w:tcPr>
          <w:p w14:paraId="29BD64E3">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1</w:t>
            </w:r>
          </w:p>
        </w:tc>
        <w:tc>
          <w:tcPr>
            <w:tcW w:w="1288" w:type="dxa"/>
            <w:tcBorders>
              <w:tl2br w:val="nil"/>
              <w:tr2bl w:val="nil"/>
            </w:tcBorders>
            <w:vAlign w:val="center"/>
          </w:tcPr>
          <w:p w14:paraId="61D41F58">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付款</w:t>
            </w:r>
          </w:p>
          <w:p w14:paraId="21C36CBB">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方式</w:t>
            </w:r>
          </w:p>
        </w:tc>
        <w:tc>
          <w:tcPr>
            <w:tcW w:w="2225" w:type="dxa"/>
            <w:tcBorders>
              <w:tl2br w:val="nil"/>
              <w:tr2bl w:val="nil"/>
            </w:tcBorders>
            <w:vAlign w:val="center"/>
          </w:tcPr>
          <w:p w14:paraId="612EFBC7">
            <w:pPr>
              <w:widowControl/>
              <w:shd w:val="clear"/>
              <w:rPr>
                <w:rFonts w:hint="eastAsia" w:ascii="宋体" w:hAnsi="宋体" w:cs="宋体"/>
                <w:kern w:val="0"/>
                <w:sz w:val="24"/>
                <w:szCs w:val="24"/>
                <w:highlight w:val="none"/>
              </w:rPr>
            </w:pPr>
          </w:p>
        </w:tc>
        <w:tc>
          <w:tcPr>
            <w:tcW w:w="2013" w:type="dxa"/>
            <w:tcBorders>
              <w:tl2br w:val="nil"/>
              <w:tr2bl w:val="nil"/>
            </w:tcBorders>
            <w:vAlign w:val="center"/>
          </w:tcPr>
          <w:p w14:paraId="627DE3D2">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1299EA06">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35B3AFE3">
            <w:pPr>
              <w:widowControl/>
              <w:shd w:val="clear"/>
              <w:jc w:val="center"/>
              <w:rPr>
                <w:rFonts w:hint="eastAsia" w:ascii="宋体" w:hAnsi="宋体" w:cs="宋体"/>
                <w:kern w:val="0"/>
                <w:sz w:val="24"/>
                <w:szCs w:val="24"/>
                <w:highlight w:val="none"/>
              </w:rPr>
            </w:pPr>
          </w:p>
        </w:tc>
      </w:tr>
      <w:tr w14:paraId="3346BE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848" w:type="dxa"/>
            <w:tcBorders>
              <w:tl2br w:val="nil"/>
              <w:tr2bl w:val="nil"/>
            </w:tcBorders>
            <w:vAlign w:val="center"/>
          </w:tcPr>
          <w:p w14:paraId="52607A42">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2</w:t>
            </w:r>
          </w:p>
        </w:tc>
        <w:tc>
          <w:tcPr>
            <w:tcW w:w="1288" w:type="dxa"/>
            <w:tcBorders>
              <w:tl2br w:val="nil"/>
              <w:tr2bl w:val="nil"/>
            </w:tcBorders>
            <w:vAlign w:val="center"/>
          </w:tcPr>
          <w:p w14:paraId="5A3F1CA1">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服务</w:t>
            </w:r>
          </w:p>
          <w:p w14:paraId="423A207C">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地点</w:t>
            </w:r>
          </w:p>
        </w:tc>
        <w:tc>
          <w:tcPr>
            <w:tcW w:w="2225" w:type="dxa"/>
            <w:tcBorders>
              <w:tl2br w:val="nil"/>
              <w:tr2bl w:val="nil"/>
            </w:tcBorders>
            <w:vAlign w:val="center"/>
          </w:tcPr>
          <w:p w14:paraId="4AFD0046">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6700655A">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153D2B6E">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66B7C67E">
            <w:pPr>
              <w:widowControl/>
              <w:shd w:val="clear"/>
              <w:jc w:val="center"/>
              <w:rPr>
                <w:rFonts w:hint="eastAsia" w:ascii="宋体" w:hAnsi="宋体" w:cs="宋体"/>
                <w:kern w:val="0"/>
                <w:sz w:val="24"/>
                <w:szCs w:val="24"/>
                <w:highlight w:val="none"/>
              </w:rPr>
            </w:pPr>
          </w:p>
        </w:tc>
      </w:tr>
      <w:tr w14:paraId="48DECE5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848" w:type="dxa"/>
            <w:tcBorders>
              <w:tl2br w:val="nil"/>
              <w:tr2bl w:val="nil"/>
            </w:tcBorders>
            <w:vAlign w:val="center"/>
          </w:tcPr>
          <w:p w14:paraId="3BF67A67">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3</w:t>
            </w:r>
          </w:p>
        </w:tc>
        <w:tc>
          <w:tcPr>
            <w:tcW w:w="1288" w:type="dxa"/>
            <w:tcBorders>
              <w:tl2br w:val="nil"/>
              <w:tr2bl w:val="nil"/>
            </w:tcBorders>
            <w:vAlign w:val="center"/>
          </w:tcPr>
          <w:p w14:paraId="79C28E4B">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服务</w:t>
            </w:r>
          </w:p>
          <w:p w14:paraId="37D9BB06">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期限</w:t>
            </w:r>
          </w:p>
        </w:tc>
        <w:tc>
          <w:tcPr>
            <w:tcW w:w="2225" w:type="dxa"/>
            <w:tcBorders>
              <w:tl2br w:val="nil"/>
              <w:tr2bl w:val="nil"/>
            </w:tcBorders>
            <w:vAlign w:val="center"/>
          </w:tcPr>
          <w:p w14:paraId="36E89EAF">
            <w:pPr>
              <w:widowControl/>
              <w:shd w:val="clear"/>
              <w:rPr>
                <w:rFonts w:hint="eastAsia" w:ascii="宋体" w:hAnsi="宋体" w:cs="宋体"/>
                <w:kern w:val="0"/>
                <w:sz w:val="24"/>
                <w:szCs w:val="24"/>
                <w:highlight w:val="none"/>
              </w:rPr>
            </w:pPr>
          </w:p>
        </w:tc>
        <w:tc>
          <w:tcPr>
            <w:tcW w:w="2013" w:type="dxa"/>
            <w:tcBorders>
              <w:tl2br w:val="nil"/>
              <w:tr2bl w:val="nil"/>
            </w:tcBorders>
            <w:vAlign w:val="center"/>
          </w:tcPr>
          <w:p w14:paraId="151C80AF">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01817CA4">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5F97427E">
            <w:pPr>
              <w:widowControl/>
              <w:shd w:val="clear"/>
              <w:jc w:val="center"/>
              <w:rPr>
                <w:rFonts w:hint="eastAsia" w:ascii="宋体" w:hAnsi="宋体" w:cs="宋体"/>
                <w:kern w:val="0"/>
                <w:sz w:val="24"/>
                <w:szCs w:val="24"/>
                <w:highlight w:val="none"/>
              </w:rPr>
            </w:pPr>
          </w:p>
        </w:tc>
      </w:tr>
      <w:tr w14:paraId="2FEBFA4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848" w:type="dxa"/>
            <w:tcBorders>
              <w:tl2br w:val="nil"/>
              <w:tr2bl w:val="nil"/>
            </w:tcBorders>
            <w:vAlign w:val="center"/>
          </w:tcPr>
          <w:p w14:paraId="269EBA7F">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w:t>
            </w:r>
          </w:p>
        </w:tc>
        <w:tc>
          <w:tcPr>
            <w:tcW w:w="1288" w:type="dxa"/>
            <w:tcBorders>
              <w:tl2br w:val="nil"/>
              <w:tr2bl w:val="nil"/>
            </w:tcBorders>
            <w:vAlign w:val="center"/>
          </w:tcPr>
          <w:p w14:paraId="32655A47">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w:t>
            </w:r>
          </w:p>
        </w:tc>
        <w:tc>
          <w:tcPr>
            <w:tcW w:w="2225" w:type="dxa"/>
            <w:tcBorders>
              <w:tl2br w:val="nil"/>
              <w:tr2bl w:val="nil"/>
            </w:tcBorders>
            <w:vAlign w:val="center"/>
          </w:tcPr>
          <w:p w14:paraId="75451BD9">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774A4DAA">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78925A15">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2196C40D">
            <w:pPr>
              <w:widowControl/>
              <w:shd w:val="clear"/>
              <w:jc w:val="center"/>
              <w:rPr>
                <w:rFonts w:hint="eastAsia" w:ascii="宋体" w:hAnsi="宋体" w:cs="宋体"/>
                <w:kern w:val="0"/>
                <w:sz w:val="24"/>
                <w:szCs w:val="24"/>
                <w:highlight w:val="none"/>
              </w:rPr>
            </w:pPr>
          </w:p>
        </w:tc>
      </w:tr>
      <w:tr w14:paraId="5353EBA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0AECF0DA">
            <w:pPr>
              <w:widowControl/>
              <w:shd w:val="clear"/>
              <w:jc w:val="center"/>
              <w:rPr>
                <w:rFonts w:hint="eastAsia" w:ascii="宋体" w:hAnsi="宋体" w:cs="宋体"/>
                <w:kern w:val="0"/>
                <w:sz w:val="24"/>
                <w:szCs w:val="24"/>
                <w:highlight w:val="none"/>
              </w:rPr>
            </w:pPr>
          </w:p>
        </w:tc>
        <w:tc>
          <w:tcPr>
            <w:tcW w:w="1288" w:type="dxa"/>
            <w:tcBorders>
              <w:tl2br w:val="nil"/>
              <w:tr2bl w:val="nil"/>
            </w:tcBorders>
            <w:vAlign w:val="center"/>
          </w:tcPr>
          <w:p w14:paraId="3EE08F1F">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47DF6D61">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61740943">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3B94462D">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42550955">
            <w:pPr>
              <w:widowControl/>
              <w:shd w:val="clear"/>
              <w:jc w:val="center"/>
              <w:rPr>
                <w:rFonts w:hint="eastAsia" w:ascii="宋体" w:hAnsi="宋体" w:cs="宋体"/>
                <w:kern w:val="0"/>
                <w:sz w:val="24"/>
                <w:szCs w:val="24"/>
                <w:highlight w:val="none"/>
              </w:rPr>
            </w:pPr>
          </w:p>
        </w:tc>
      </w:tr>
      <w:tr w14:paraId="08ACFA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71" w:hRule="atLeast"/>
          <w:jc w:val="center"/>
        </w:trPr>
        <w:tc>
          <w:tcPr>
            <w:tcW w:w="848" w:type="dxa"/>
            <w:vMerge w:val="restart"/>
            <w:tcBorders>
              <w:tl2br w:val="nil"/>
              <w:tr2bl w:val="nil"/>
            </w:tcBorders>
            <w:vAlign w:val="center"/>
          </w:tcPr>
          <w:p w14:paraId="558537F8">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序号</w:t>
            </w:r>
          </w:p>
        </w:tc>
        <w:tc>
          <w:tcPr>
            <w:tcW w:w="1288" w:type="dxa"/>
            <w:vMerge w:val="restart"/>
            <w:tcBorders>
              <w:tl2br w:val="nil"/>
              <w:tr2bl w:val="nil"/>
            </w:tcBorders>
            <w:vAlign w:val="center"/>
          </w:tcPr>
          <w:p w14:paraId="72C1030D">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项目</w:t>
            </w:r>
          </w:p>
        </w:tc>
        <w:tc>
          <w:tcPr>
            <w:tcW w:w="2225" w:type="dxa"/>
            <w:vMerge w:val="restart"/>
            <w:tcBorders>
              <w:tl2br w:val="nil"/>
              <w:tr2bl w:val="nil"/>
            </w:tcBorders>
            <w:vAlign w:val="center"/>
          </w:tcPr>
          <w:p w14:paraId="719F0161">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询比文件的</w:t>
            </w:r>
          </w:p>
          <w:p w14:paraId="7C04E996">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技术规格</w:t>
            </w:r>
          </w:p>
        </w:tc>
        <w:tc>
          <w:tcPr>
            <w:tcW w:w="2013" w:type="dxa"/>
            <w:vMerge w:val="restart"/>
            <w:tcBorders>
              <w:tl2br w:val="nil"/>
              <w:tr2bl w:val="nil"/>
            </w:tcBorders>
            <w:vAlign w:val="center"/>
          </w:tcPr>
          <w:p w14:paraId="6382095D">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响应文件的</w:t>
            </w:r>
          </w:p>
          <w:p w14:paraId="0EAE27F4">
            <w:pPr>
              <w:widowControl/>
              <w:shd w:val="clear"/>
              <w:jc w:val="center"/>
              <w:rPr>
                <w:rFonts w:hint="eastAsia" w:ascii="宋体" w:hAnsi="宋体" w:cs="宋体"/>
                <w:b/>
                <w:kern w:val="0"/>
                <w:sz w:val="24"/>
                <w:szCs w:val="24"/>
                <w:highlight w:val="none"/>
              </w:rPr>
            </w:pPr>
            <w:r>
              <w:rPr>
                <w:rFonts w:hint="eastAsia" w:ascii="宋体" w:hAnsi="宋体" w:cs="宋体"/>
                <w:b/>
                <w:kern w:val="0"/>
                <w:sz w:val="24"/>
                <w:szCs w:val="24"/>
                <w:highlight w:val="none"/>
              </w:rPr>
              <w:t>技术规格</w:t>
            </w:r>
          </w:p>
        </w:tc>
        <w:tc>
          <w:tcPr>
            <w:tcW w:w="1587" w:type="dxa"/>
            <w:tcBorders>
              <w:tl2br w:val="nil"/>
              <w:tr2bl w:val="nil"/>
            </w:tcBorders>
            <w:vAlign w:val="center"/>
          </w:tcPr>
          <w:p w14:paraId="4A3F7616">
            <w:pPr>
              <w:widowControl/>
              <w:shd w:val="clear"/>
              <w:jc w:val="center"/>
              <w:rPr>
                <w:rFonts w:hint="eastAsia" w:ascii="宋体" w:hAnsi="宋体" w:cs="宋体"/>
                <w:kern w:val="0"/>
                <w:sz w:val="24"/>
                <w:szCs w:val="24"/>
                <w:highlight w:val="none"/>
              </w:rPr>
            </w:pPr>
            <w:r>
              <w:rPr>
                <w:rFonts w:hint="eastAsia" w:ascii="宋体" w:hAnsi="宋体" w:cs="宋体"/>
                <w:b/>
                <w:kern w:val="0"/>
                <w:sz w:val="24"/>
                <w:szCs w:val="24"/>
                <w:highlight w:val="none"/>
              </w:rPr>
              <w:t>偏离说明</w:t>
            </w:r>
          </w:p>
        </w:tc>
        <w:tc>
          <w:tcPr>
            <w:tcW w:w="1725" w:type="dxa"/>
            <w:vMerge w:val="restart"/>
            <w:tcBorders>
              <w:tl2br w:val="nil"/>
              <w:tr2bl w:val="nil"/>
            </w:tcBorders>
            <w:vAlign w:val="center"/>
          </w:tcPr>
          <w:p w14:paraId="7FA1F78A">
            <w:pPr>
              <w:widowControl/>
              <w:shd w:val="clear"/>
              <w:jc w:val="center"/>
              <w:rPr>
                <w:rFonts w:hint="eastAsia" w:ascii="宋体" w:hAnsi="宋体" w:cs="宋体"/>
                <w:b/>
                <w:bCs/>
                <w:kern w:val="0"/>
                <w:sz w:val="24"/>
                <w:szCs w:val="24"/>
                <w:highlight w:val="none"/>
              </w:rPr>
            </w:pPr>
            <w:r>
              <w:rPr>
                <w:rFonts w:hint="eastAsia" w:ascii="宋体" w:hAnsi="宋体" w:cs="宋体"/>
                <w:b/>
                <w:bCs/>
                <w:kern w:val="0"/>
                <w:sz w:val="24"/>
                <w:szCs w:val="24"/>
                <w:highlight w:val="none"/>
              </w:rPr>
              <w:t>备注</w:t>
            </w:r>
          </w:p>
          <w:p w14:paraId="03A26944">
            <w:pPr>
              <w:widowControl/>
              <w:shd w:val="clear"/>
              <w:jc w:val="center"/>
              <w:rPr>
                <w:rFonts w:hint="eastAsia" w:ascii="宋体" w:hAnsi="宋体" w:cs="宋体"/>
                <w:kern w:val="0"/>
                <w:sz w:val="24"/>
                <w:szCs w:val="24"/>
                <w:highlight w:val="none"/>
              </w:rPr>
            </w:pPr>
            <w:r>
              <w:rPr>
                <w:rFonts w:hint="eastAsia" w:ascii="宋体" w:hAnsi="宋体" w:cs="宋体"/>
                <w:b/>
                <w:bCs/>
                <w:kern w:val="0"/>
                <w:sz w:val="24"/>
                <w:szCs w:val="24"/>
                <w:highlight w:val="none"/>
              </w:rPr>
              <w:t>(可填写偏离原因和依据)</w:t>
            </w:r>
          </w:p>
        </w:tc>
      </w:tr>
      <w:tr w14:paraId="6D4C641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848" w:type="dxa"/>
            <w:vMerge w:val="continue"/>
            <w:tcBorders>
              <w:tl2br w:val="nil"/>
              <w:tr2bl w:val="nil"/>
            </w:tcBorders>
            <w:vAlign w:val="center"/>
          </w:tcPr>
          <w:p w14:paraId="6F07153F">
            <w:pPr>
              <w:widowControl/>
              <w:shd w:val="clear"/>
              <w:jc w:val="center"/>
              <w:rPr>
                <w:rFonts w:hint="eastAsia" w:ascii="宋体" w:hAnsi="宋体" w:cs="宋体"/>
                <w:kern w:val="0"/>
                <w:sz w:val="24"/>
                <w:szCs w:val="24"/>
                <w:highlight w:val="none"/>
              </w:rPr>
            </w:pPr>
          </w:p>
        </w:tc>
        <w:tc>
          <w:tcPr>
            <w:tcW w:w="1288" w:type="dxa"/>
            <w:vMerge w:val="continue"/>
            <w:tcBorders>
              <w:tl2br w:val="nil"/>
              <w:tr2bl w:val="nil"/>
            </w:tcBorders>
            <w:vAlign w:val="center"/>
          </w:tcPr>
          <w:p w14:paraId="7DC6FDDB">
            <w:pPr>
              <w:widowControl/>
              <w:shd w:val="clear"/>
              <w:jc w:val="center"/>
              <w:rPr>
                <w:rFonts w:hint="eastAsia" w:ascii="宋体" w:hAnsi="宋体" w:cs="宋体"/>
                <w:kern w:val="0"/>
                <w:sz w:val="24"/>
                <w:szCs w:val="24"/>
                <w:highlight w:val="none"/>
              </w:rPr>
            </w:pPr>
          </w:p>
        </w:tc>
        <w:tc>
          <w:tcPr>
            <w:tcW w:w="2225" w:type="dxa"/>
            <w:vMerge w:val="continue"/>
            <w:tcBorders>
              <w:tl2br w:val="nil"/>
              <w:tr2bl w:val="nil"/>
            </w:tcBorders>
            <w:vAlign w:val="center"/>
          </w:tcPr>
          <w:p w14:paraId="5605B105">
            <w:pPr>
              <w:widowControl/>
              <w:shd w:val="clear"/>
              <w:jc w:val="center"/>
              <w:rPr>
                <w:rFonts w:hint="eastAsia" w:ascii="宋体" w:hAnsi="宋体" w:cs="宋体"/>
                <w:kern w:val="0"/>
                <w:sz w:val="24"/>
                <w:szCs w:val="24"/>
                <w:highlight w:val="none"/>
              </w:rPr>
            </w:pPr>
          </w:p>
        </w:tc>
        <w:tc>
          <w:tcPr>
            <w:tcW w:w="2013" w:type="dxa"/>
            <w:vMerge w:val="continue"/>
            <w:tcBorders>
              <w:tl2br w:val="nil"/>
              <w:tr2bl w:val="nil"/>
            </w:tcBorders>
            <w:vAlign w:val="center"/>
          </w:tcPr>
          <w:p w14:paraId="3364ED66">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41F44110">
            <w:pPr>
              <w:widowControl/>
              <w:shd w:val="clear"/>
              <w:jc w:val="center"/>
              <w:rPr>
                <w:rFonts w:hint="eastAsia" w:ascii="宋体" w:hAnsi="宋体" w:cs="宋体"/>
                <w:bCs/>
                <w:kern w:val="0"/>
                <w:sz w:val="24"/>
                <w:szCs w:val="24"/>
                <w:highlight w:val="none"/>
              </w:rPr>
            </w:pPr>
            <w:r>
              <w:rPr>
                <w:rFonts w:hint="eastAsia" w:ascii="宋体" w:hAnsi="宋体" w:cs="宋体"/>
                <w:bCs/>
                <w:kern w:val="0"/>
                <w:sz w:val="24"/>
                <w:szCs w:val="24"/>
                <w:highlight w:val="none"/>
              </w:rPr>
              <w:t>无偏离</w:t>
            </w:r>
          </w:p>
          <w:p w14:paraId="5270E8F0">
            <w:pPr>
              <w:widowControl/>
              <w:shd w:val="clear"/>
              <w:jc w:val="center"/>
              <w:rPr>
                <w:rFonts w:hint="eastAsia" w:ascii="宋体" w:hAnsi="宋体" w:cs="宋体"/>
                <w:bCs/>
                <w:kern w:val="0"/>
                <w:sz w:val="24"/>
                <w:szCs w:val="24"/>
                <w:highlight w:val="none"/>
              </w:rPr>
            </w:pPr>
            <w:r>
              <w:rPr>
                <w:rFonts w:hint="eastAsia" w:ascii="宋体" w:hAnsi="宋体" w:cs="宋体"/>
                <w:bCs/>
                <w:kern w:val="0"/>
                <w:sz w:val="24"/>
                <w:szCs w:val="24"/>
                <w:highlight w:val="none"/>
              </w:rPr>
              <w:t>正偏离</w:t>
            </w:r>
          </w:p>
          <w:p w14:paraId="50A52F21">
            <w:pPr>
              <w:widowControl/>
              <w:shd w:val="clear"/>
              <w:jc w:val="center"/>
              <w:rPr>
                <w:rFonts w:hint="eastAsia" w:ascii="宋体" w:hAnsi="宋体" w:cs="宋体"/>
                <w:kern w:val="0"/>
                <w:sz w:val="24"/>
                <w:szCs w:val="24"/>
                <w:highlight w:val="none"/>
              </w:rPr>
            </w:pPr>
            <w:r>
              <w:rPr>
                <w:rFonts w:hint="eastAsia" w:ascii="宋体" w:hAnsi="宋体" w:cs="宋体"/>
                <w:bCs/>
                <w:kern w:val="0"/>
                <w:sz w:val="24"/>
                <w:szCs w:val="24"/>
                <w:highlight w:val="none"/>
              </w:rPr>
              <w:t>负偏离</w:t>
            </w:r>
          </w:p>
        </w:tc>
        <w:tc>
          <w:tcPr>
            <w:tcW w:w="1725" w:type="dxa"/>
            <w:vMerge w:val="continue"/>
            <w:tcBorders>
              <w:tl2br w:val="nil"/>
              <w:tr2bl w:val="nil"/>
            </w:tcBorders>
            <w:vAlign w:val="center"/>
          </w:tcPr>
          <w:p w14:paraId="6C0DED10">
            <w:pPr>
              <w:widowControl/>
              <w:shd w:val="clear"/>
              <w:jc w:val="center"/>
              <w:rPr>
                <w:rFonts w:hint="eastAsia" w:ascii="宋体" w:hAnsi="宋体" w:cs="宋体"/>
                <w:kern w:val="0"/>
                <w:sz w:val="24"/>
                <w:szCs w:val="24"/>
                <w:highlight w:val="none"/>
              </w:rPr>
            </w:pPr>
          </w:p>
        </w:tc>
      </w:tr>
      <w:tr w14:paraId="061A02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26A99C8E">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1</w:t>
            </w:r>
          </w:p>
        </w:tc>
        <w:tc>
          <w:tcPr>
            <w:tcW w:w="1288" w:type="dxa"/>
            <w:tcBorders>
              <w:tl2br w:val="nil"/>
              <w:tr2bl w:val="nil"/>
            </w:tcBorders>
            <w:vAlign w:val="center"/>
          </w:tcPr>
          <w:p w14:paraId="53E7BC57">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服务需求</w:t>
            </w:r>
          </w:p>
        </w:tc>
        <w:tc>
          <w:tcPr>
            <w:tcW w:w="2225" w:type="dxa"/>
            <w:tcBorders>
              <w:tl2br w:val="nil"/>
              <w:tr2bl w:val="nil"/>
            </w:tcBorders>
            <w:vAlign w:val="center"/>
          </w:tcPr>
          <w:p w14:paraId="7C313DC1">
            <w:pPr>
              <w:widowControl/>
              <w:shd w:val="clear"/>
              <w:rPr>
                <w:rFonts w:hint="eastAsia" w:ascii="宋体" w:hAnsi="宋体" w:cs="宋体"/>
                <w:kern w:val="0"/>
                <w:sz w:val="24"/>
                <w:szCs w:val="24"/>
                <w:highlight w:val="none"/>
              </w:rPr>
            </w:pPr>
          </w:p>
        </w:tc>
        <w:tc>
          <w:tcPr>
            <w:tcW w:w="2013" w:type="dxa"/>
            <w:tcBorders>
              <w:tl2br w:val="nil"/>
              <w:tr2bl w:val="nil"/>
            </w:tcBorders>
            <w:vAlign w:val="center"/>
          </w:tcPr>
          <w:p w14:paraId="081B0163">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0F10F894">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191CEF6E">
            <w:pPr>
              <w:widowControl/>
              <w:shd w:val="clear"/>
              <w:jc w:val="center"/>
              <w:rPr>
                <w:rFonts w:hint="eastAsia" w:ascii="宋体" w:hAnsi="宋体" w:cs="宋体"/>
                <w:kern w:val="0"/>
                <w:sz w:val="24"/>
                <w:szCs w:val="24"/>
                <w:highlight w:val="none"/>
              </w:rPr>
            </w:pPr>
          </w:p>
        </w:tc>
      </w:tr>
      <w:tr w14:paraId="4ADD86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2ED0D4E1">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2</w:t>
            </w:r>
          </w:p>
        </w:tc>
        <w:tc>
          <w:tcPr>
            <w:tcW w:w="1288" w:type="dxa"/>
            <w:tcBorders>
              <w:tl2br w:val="nil"/>
              <w:tr2bl w:val="nil"/>
            </w:tcBorders>
            <w:vAlign w:val="center"/>
          </w:tcPr>
          <w:p w14:paraId="1C837F40">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7BB586F9">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7E07FEA8">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13C16B25">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7E382482">
            <w:pPr>
              <w:widowControl/>
              <w:shd w:val="clear"/>
              <w:jc w:val="center"/>
              <w:rPr>
                <w:rFonts w:hint="eastAsia" w:ascii="宋体" w:hAnsi="宋体" w:cs="宋体"/>
                <w:kern w:val="0"/>
                <w:sz w:val="24"/>
                <w:szCs w:val="24"/>
                <w:highlight w:val="none"/>
              </w:rPr>
            </w:pPr>
          </w:p>
        </w:tc>
      </w:tr>
      <w:tr w14:paraId="5DABABF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2F83EFEA">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3</w:t>
            </w:r>
          </w:p>
        </w:tc>
        <w:tc>
          <w:tcPr>
            <w:tcW w:w="1288" w:type="dxa"/>
            <w:tcBorders>
              <w:tl2br w:val="nil"/>
              <w:tr2bl w:val="nil"/>
            </w:tcBorders>
            <w:vAlign w:val="center"/>
          </w:tcPr>
          <w:p w14:paraId="7397BAC6">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1EE524CF">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57C1DBCF">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431A8065">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6ABC879E">
            <w:pPr>
              <w:widowControl/>
              <w:shd w:val="clear"/>
              <w:jc w:val="center"/>
              <w:rPr>
                <w:rFonts w:hint="eastAsia" w:ascii="宋体" w:hAnsi="宋体" w:cs="宋体"/>
                <w:kern w:val="0"/>
                <w:sz w:val="24"/>
                <w:szCs w:val="24"/>
                <w:highlight w:val="none"/>
              </w:rPr>
            </w:pPr>
          </w:p>
        </w:tc>
      </w:tr>
      <w:tr w14:paraId="70A4B00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1DEFF37A">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4</w:t>
            </w:r>
          </w:p>
        </w:tc>
        <w:tc>
          <w:tcPr>
            <w:tcW w:w="1288" w:type="dxa"/>
            <w:tcBorders>
              <w:tl2br w:val="nil"/>
              <w:tr2bl w:val="nil"/>
            </w:tcBorders>
            <w:vAlign w:val="center"/>
          </w:tcPr>
          <w:p w14:paraId="195C4845">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044D3458">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20DDCD11">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7810C862">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36E4552F">
            <w:pPr>
              <w:widowControl/>
              <w:shd w:val="clear"/>
              <w:jc w:val="center"/>
              <w:rPr>
                <w:rFonts w:hint="eastAsia" w:ascii="宋体" w:hAnsi="宋体" w:cs="宋体"/>
                <w:kern w:val="0"/>
                <w:sz w:val="24"/>
                <w:szCs w:val="24"/>
                <w:highlight w:val="none"/>
              </w:rPr>
            </w:pPr>
          </w:p>
        </w:tc>
      </w:tr>
      <w:tr w14:paraId="5913BF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79021971">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w:t>
            </w:r>
          </w:p>
        </w:tc>
        <w:tc>
          <w:tcPr>
            <w:tcW w:w="1288" w:type="dxa"/>
            <w:tcBorders>
              <w:tl2br w:val="nil"/>
              <w:tr2bl w:val="nil"/>
            </w:tcBorders>
            <w:vAlign w:val="center"/>
          </w:tcPr>
          <w:p w14:paraId="6096EBAD">
            <w:pPr>
              <w:widowControl/>
              <w:shd w:val="clear"/>
              <w:jc w:val="center"/>
              <w:rPr>
                <w:rFonts w:hint="eastAsia" w:ascii="宋体" w:hAnsi="宋体" w:cs="宋体"/>
                <w:kern w:val="0"/>
                <w:sz w:val="24"/>
                <w:szCs w:val="24"/>
                <w:highlight w:val="none"/>
              </w:rPr>
            </w:pPr>
            <w:r>
              <w:rPr>
                <w:rFonts w:hint="eastAsia" w:ascii="宋体" w:hAnsi="宋体" w:cs="宋体"/>
                <w:kern w:val="0"/>
                <w:sz w:val="24"/>
                <w:szCs w:val="24"/>
                <w:highlight w:val="none"/>
              </w:rPr>
              <w:t>……</w:t>
            </w:r>
          </w:p>
        </w:tc>
        <w:tc>
          <w:tcPr>
            <w:tcW w:w="2225" w:type="dxa"/>
            <w:tcBorders>
              <w:tl2br w:val="nil"/>
              <w:tr2bl w:val="nil"/>
            </w:tcBorders>
            <w:vAlign w:val="center"/>
          </w:tcPr>
          <w:p w14:paraId="18DC2DC8">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51D514A4">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7685C040">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042D4DF1">
            <w:pPr>
              <w:widowControl/>
              <w:shd w:val="clear"/>
              <w:jc w:val="center"/>
              <w:rPr>
                <w:rFonts w:hint="eastAsia" w:ascii="宋体" w:hAnsi="宋体" w:cs="宋体"/>
                <w:kern w:val="0"/>
                <w:sz w:val="24"/>
                <w:szCs w:val="24"/>
                <w:highlight w:val="none"/>
              </w:rPr>
            </w:pPr>
          </w:p>
        </w:tc>
      </w:tr>
      <w:tr w14:paraId="2D96BB0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659C52D6">
            <w:pPr>
              <w:widowControl/>
              <w:shd w:val="clear"/>
              <w:jc w:val="center"/>
              <w:rPr>
                <w:rFonts w:hint="eastAsia" w:ascii="宋体" w:hAnsi="宋体" w:cs="宋体"/>
                <w:kern w:val="0"/>
                <w:sz w:val="24"/>
                <w:szCs w:val="24"/>
                <w:highlight w:val="none"/>
              </w:rPr>
            </w:pPr>
          </w:p>
        </w:tc>
        <w:tc>
          <w:tcPr>
            <w:tcW w:w="1288" w:type="dxa"/>
            <w:tcBorders>
              <w:tl2br w:val="nil"/>
              <w:tr2bl w:val="nil"/>
            </w:tcBorders>
            <w:vAlign w:val="center"/>
          </w:tcPr>
          <w:p w14:paraId="3922C71D">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063D888B">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01ABEA48">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3B477EF5">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40DE5CB1">
            <w:pPr>
              <w:widowControl/>
              <w:shd w:val="clear"/>
              <w:jc w:val="center"/>
              <w:rPr>
                <w:rFonts w:hint="eastAsia" w:ascii="宋体" w:hAnsi="宋体" w:cs="宋体"/>
                <w:kern w:val="0"/>
                <w:sz w:val="24"/>
                <w:szCs w:val="24"/>
                <w:highlight w:val="none"/>
              </w:rPr>
            </w:pPr>
          </w:p>
        </w:tc>
      </w:tr>
      <w:tr w14:paraId="1C5805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0A92F03D">
            <w:pPr>
              <w:widowControl/>
              <w:shd w:val="clear"/>
              <w:jc w:val="center"/>
              <w:rPr>
                <w:rFonts w:hint="eastAsia" w:ascii="宋体" w:hAnsi="宋体" w:cs="宋体"/>
                <w:kern w:val="0"/>
                <w:sz w:val="24"/>
                <w:szCs w:val="24"/>
                <w:highlight w:val="none"/>
              </w:rPr>
            </w:pPr>
          </w:p>
        </w:tc>
        <w:tc>
          <w:tcPr>
            <w:tcW w:w="1288" w:type="dxa"/>
            <w:tcBorders>
              <w:tl2br w:val="nil"/>
              <w:tr2bl w:val="nil"/>
            </w:tcBorders>
            <w:vAlign w:val="center"/>
          </w:tcPr>
          <w:p w14:paraId="42171A12">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0B4FEA13">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13D3A3F6">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3945CBAA">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45A3148C">
            <w:pPr>
              <w:widowControl/>
              <w:shd w:val="clear"/>
              <w:jc w:val="center"/>
              <w:rPr>
                <w:rFonts w:hint="eastAsia" w:ascii="宋体" w:hAnsi="宋体" w:cs="宋体"/>
                <w:kern w:val="0"/>
                <w:sz w:val="24"/>
                <w:szCs w:val="24"/>
                <w:highlight w:val="none"/>
              </w:rPr>
            </w:pPr>
          </w:p>
        </w:tc>
      </w:tr>
      <w:tr w14:paraId="597EA4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848" w:type="dxa"/>
            <w:tcBorders>
              <w:tl2br w:val="nil"/>
              <w:tr2bl w:val="nil"/>
            </w:tcBorders>
            <w:vAlign w:val="center"/>
          </w:tcPr>
          <w:p w14:paraId="77E6DD28">
            <w:pPr>
              <w:widowControl/>
              <w:shd w:val="clear"/>
              <w:jc w:val="center"/>
              <w:rPr>
                <w:rFonts w:hint="eastAsia" w:ascii="宋体" w:hAnsi="宋体" w:cs="宋体"/>
                <w:kern w:val="0"/>
                <w:sz w:val="24"/>
                <w:szCs w:val="24"/>
                <w:highlight w:val="none"/>
              </w:rPr>
            </w:pPr>
          </w:p>
        </w:tc>
        <w:tc>
          <w:tcPr>
            <w:tcW w:w="1288" w:type="dxa"/>
            <w:tcBorders>
              <w:tl2br w:val="nil"/>
              <w:tr2bl w:val="nil"/>
            </w:tcBorders>
            <w:vAlign w:val="center"/>
          </w:tcPr>
          <w:p w14:paraId="6EBF45DC">
            <w:pPr>
              <w:widowControl/>
              <w:shd w:val="clear"/>
              <w:jc w:val="center"/>
              <w:rPr>
                <w:rFonts w:hint="eastAsia" w:ascii="宋体" w:hAnsi="宋体" w:cs="宋体"/>
                <w:kern w:val="0"/>
                <w:sz w:val="24"/>
                <w:szCs w:val="24"/>
                <w:highlight w:val="none"/>
              </w:rPr>
            </w:pPr>
          </w:p>
        </w:tc>
        <w:tc>
          <w:tcPr>
            <w:tcW w:w="2225" w:type="dxa"/>
            <w:tcBorders>
              <w:tl2br w:val="nil"/>
              <w:tr2bl w:val="nil"/>
            </w:tcBorders>
            <w:vAlign w:val="center"/>
          </w:tcPr>
          <w:p w14:paraId="3AE7EC5A">
            <w:pPr>
              <w:widowControl/>
              <w:shd w:val="clear"/>
              <w:jc w:val="center"/>
              <w:rPr>
                <w:rFonts w:hint="eastAsia" w:ascii="宋体" w:hAnsi="宋体" w:cs="宋体"/>
                <w:kern w:val="0"/>
                <w:sz w:val="24"/>
                <w:szCs w:val="24"/>
                <w:highlight w:val="none"/>
              </w:rPr>
            </w:pPr>
          </w:p>
        </w:tc>
        <w:tc>
          <w:tcPr>
            <w:tcW w:w="2013" w:type="dxa"/>
            <w:tcBorders>
              <w:tl2br w:val="nil"/>
              <w:tr2bl w:val="nil"/>
            </w:tcBorders>
            <w:vAlign w:val="center"/>
          </w:tcPr>
          <w:p w14:paraId="6E631408">
            <w:pPr>
              <w:widowControl/>
              <w:shd w:val="clear"/>
              <w:jc w:val="center"/>
              <w:rPr>
                <w:rFonts w:hint="eastAsia" w:ascii="宋体" w:hAnsi="宋体" w:cs="宋体"/>
                <w:kern w:val="0"/>
                <w:sz w:val="24"/>
                <w:szCs w:val="24"/>
                <w:highlight w:val="none"/>
              </w:rPr>
            </w:pPr>
          </w:p>
        </w:tc>
        <w:tc>
          <w:tcPr>
            <w:tcW w:w="1587" w:type="dxa"/>
            <w:tcBorders>
              <w:tl2br w:val="nil"/>
              <w:tr2bl w:val="nil"/>
            </w:tcBorders>
            <w:vAlign w:val="center"/>
          </w:tcPr>
          <w:p w14:paraId="6A0460DA">
            <w:pPr>
              <w:widowControl/>
              <w:shd w:val="clear"/>
              <w:jc w:val="center"/>
              <w:rPr>
                <w:rFonts w:hint="eastAsia" w:ascii="宋体" w:hAnsi="宋体" w:cs="宋体"/>
                <w:kern w:val="0"/>
                <w:sz w:val="24"/>
                <w:szCs w:val="24"/>
                <w:highlight w:val="none"/>
              </w:rPr>
            </w:pPr>
          </w:p>
        </w:tc>
        <w:tc>
          <w:tcPr>
            <w:tcW w:w="1725" w:type="dxa"/>
            <w:tcBorders>
              <w:tl2br w:val="nil"/>
              <w:tr2bl w:val="nil"/>
            </w:tcBorders>
            <w:vAlign w:val="center"/>
          </w:tcPr>
          <w:p w14:paraId="45048567">
            <w:pPr>
              <w:widowControl/>
              <w:shd w:val="clear"/>
              <w:jc w:val="center"/>
              <w:rPr>
                <w:rFonts w:hint="eastAsia" w:ascii="宋体" w:hAnsi="宋体" w:cs="宋体"/>
                <w:kern w:val="0"/>
                <w:sz w:val="24"/>
                <w:szCs w:val="24"/>
                <w:highlight w:val="none"/>
              </w:rPr>
            </w:pPr>
          </w:p>
        </w:tc>
      </w:tr>
    </w:tbl>
    <w:p w14:paraId="6A6936B4">
      <w:pPr>
        <w:pStyle w:val="14"/>
        <w:shd w:val="clear"/>
        <w:spacing w:line="360" w:lineRule="auto"/>
        <w:ind w:left="5250"/>
        <w:rPr>
          <w:rFonts w:hint="eastAsia" w:ascii="宋体" w:hAnsi="宋体" w:cs="宋体"/>
          <w:sz w:val="24"/>
          <w:szCs w:val="24"/>
          <w:highlight w:val="none"/>
        </w:rPr>
      </w:pPr>
      <w:r>
        <w:rPr>
          <w:rFonts w:hint="eastAsia" w:ascii="宋体" w:hAnsi="宋体" w:cs="宋体"/>
          <w:bCs/>
          <w:sz w:val="24"/>
          <w:szCs w:val="24"/>
          <w:highlight w:val="none"/>
        </w:rPr>
        <w:t>供应商公章：</w:t>
      </w:r>
    </w:p>
    <w:p w14:paraId="6164945F">
      <w:pPr>
        <w:widowControl/>
        <w:shd w:val="clear"/>
        <w:spacing w:line="360" w:lineRule="auto"/>
        <w:rPr>
          <w:rFonts w:hint="eastAsia" w:ascii="宋体" w:hAnsi="宋体" w:cs="宋体"/>
          <w:sz w:val="24"/>
          <w:szCs w:val="24"/>
          <w:highlight w:val="none"/>
        </w:rPr>
      </w:pPr>
      <w:r>
        <w:rPr>
          <w:rFonts w:hint="eastAsia" w:ascii="宋体" w:hAnsi="宋体" w:cs="宋体"/>
          <w:sz w:val="24"/>
          <w:szCs w:val="24"/>
          <w:highlight w:val="none"/>
        </w:rPr>
        <w:t>备注：</w:t>
      </w:r>
    </w:p>
    <w:p w14:paraId="6A9CD973">
      <w:pPr>
        <w:widowControl/>
        <w:shd w:val="clear"/>
        <w:spacing w:line="360" w:lineRule="auto"/>
        <w:rPr>
          <w:rFonts w:hint="eastAsia" w:ascii="宋体" w:hAnsi="宋体" w:cs="宋体"/>
          <w:sz w:val="24"/>
          <w:szCs w:val="24"/>
          <w:highlight w:val="none"/>
        </w:rPr>
      </w:pPr>
      <w:r>
        <w:rPr>
          <w:rFonts w:hint="eastAsia" w:ascii="宋体" w:hAnsi="宋体" w:cs="宋体"/>
          <w:sz w:val="24"/>
          <w:szCs w:val="24"/>
          <w:highlight w:val="none"/>
        </w:rPr>
        <w:t>1. 供应商根据项目实际填写，表中项目要求不涉及的可留空或自行调整。对合同条款的偏离也应在本表提出。如不填写视为响应询比文件所有商务条款。</w:t>
      </w:r>
    </w:p>
    <w:p w14:paraId="1E4F01EC">
      <w:pPr>
        <w:widowControl/>
        <w:shd w:val="clear"/>
        <w:spacing w:line="360" w:lineRule="auto"/>
        <w:rPr>
          <w:rFonts w:hint="eastAsia" w:ascii="宋体" w:hAnsi="宋体" w:cs="宋体"/>
          <w:sz w:val="24"/>
          <w:szCs w:val="24"/>
          <w:highlight w:val="none"/>
        </w:rPr>
      </w:pPr>
      <w:r>
        <w:rPr>
          <w:rFonts w:hint="eastAsia" w:ascii="宋体" w:hAnsi="宋体" w:cs="宋体"/>
          <w:sz w:val="24"/>
          <w:szCs w:val="24"/>
          <w:highlight w:val="none"/>
        </w:rPr>
        <w:t>2. 供应商应对照询比文件技术规格和要求，在“技术条款响应/偏离表”中逐条应答，表明拟供服务对采购人的技术规格和要求做出了实质性的响应。应答时应进行详细描述，如仅在响应栏填“响应”或未填写或复制（包括复制全部或部分技术要求）询比文件技术要求的，包括有选择性的技术响应均可能导致响应无效。</w:t>
      </w:r>
    </w:p>
    <w:p w14:paraId="580978D9">
      <w:pPr>
        <w:widowControl/>
        <w:shd w:val="clear"/>
        <w:spacing w:line="360" w:lineRule="auto"/>
        <w:rPr>
          <w:rFonts w:hint="eastAsia" w:ascii="宋体" w:hAnsi="宋体" w:cs="宋体"/>
          <w:sz w:val="24"/>
          <w:szCs w:val="24"/>
          <w:highlight w:val="none"/>
        </w:rPr>
      </w:pPr>
      <w:r>
        <w:rPr>
          <w:rFonts w:hint="eastAsia" w:ascii="宋体" w:hAnsi="宋体" w:cs="宋体"/>
          <w:sz w:val="24"/>
          <w:szCs w:val="24"/>
          <w:highlight w:val="none"/>
        </w:rPr>
        <w:t>3. 供应商提供服务如与询比文件要求的不一致，则须在上表偏离说明中详细注明“无偏离”“正偏离”或“负偏离”。 如不填写视为响应询比文件所有技术条款。</w:t>
      </w:r>
    </w:p>
    <w:p w14:paraId="7E6E0CEC">
      <w:pPr>
        <w:widowControl/>
        <w:shd w:val="clear"/>
        <w:spacing w:line="360" w:lineRule="auto"/>
        <w:rPr>
          <w:rFonts w:hint="eastAsia" w:ascii="宋体" w:hAnsi="宋体" w:cs="宋体"/>
          <w:sz w:val="24"/>
          <w:szCs w:val="24"/>
          <w:highlight w:val="none"/>
        </w:rPr>
      </w:pPr>
    </w:p>
    <w:p w14:paraId="5EF2AFBF">
      <w:pPr>
        <w:shd w:val="clear"/>
        <w:spacing w:line="360" w:lineRule="auto"/>
        <w:jc w:val="center"/>
        <w:rPr>
          <w:rFonts w:hint="eastAsia" w:ascii="黑体" w:hAnsi="黑体" w:eastAsia="黑体" w:cs="黑体"/>
          <w:bCs/>
          <w:kern w:val="0"/>
          <w:sz w:val="52"/>
          <w:szCs w:val="52"/>
          <w:highlight w:val="none"/>
        </w:rPr>
      </w:pPr>
      <w:r>
        <w:rPr>
          <w:bCs/>
          <w:sz w:val="32"/>
          <w:szCs w:val="32"/>
          <w:highlight w:val="none"/>
        </w:rPr>
        <w:br w:type="page"/>
      </w:r>
      <w:r>
        <w:rPr>
          <w:rFonts w:hint="eastAsia"/>
          <w:b/>
          <w:bCs/>
          <w:sz w:val="28"/>
          <w:szCs w:val="28"/>
          <w:highlight w:val="none"/>
        </w:rPr>
        <w:t>五、类似项目业绩表</w:t>
      </w:r>
    </w:p>
    <w:p w14:paraId="1F4D0F86">
      <w:pPr>
        <w:shd w:val="clear"/>
        <w:ind w:left="1079" w:leftChars="514" w:firstLine="120" w:firstLineChars="50"/>
        <w:rPr>
          <w:rFonts w:hint="eastAsia" w:ascii="宋体" w:hAnsi="宋体" w:cs="宋体"/>
          <w:sz w:val="24"/>
          <w:highlight w:val="none"/>
        </w:rPr>
      </w:pPr>
    </w:p>
    <w:p w14:paraId="6A59590D">
      <w:pPr>
        <w:pStyle w:val="9"/>
        <w:shd w:val="clear"/>
        <w:rPr>
          <w:rFonts w:hint="eastAsia"/>
          <w:highlight w:val="none"/>
          <w:lang w:eastAsia="zh-CN"/>
        </w:rPr>
      </w:pPr>
    </w:p>
    <w:tbl>
      <w:tblPr>
        <w:tblStyle w:val="27"/>
        <w:tblW w:w="96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547"/>
        <w:gridCol w:w="1397"/>
        <w:gridCol w:w="1241"/>
        <w:gridCol w:w="1173"/>
        <w:gridCol w:w="1268"/>
        <w:gridCol w:w="1159"/>
        <w:gridCol w:w="1092"/>
      </w:tblGrid>
      <w:tr w14:paraId="44DAEC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00BA2B9B">
            <w:pPr>
              <w:shd w:val="clear"/>
              <w:jc w:val="center"/>
              <w:rPr>
                <w:rFonts w:hint="eastAsia" w:ascii="宋体" w:hAnsi="宋体" w:cs="宋体"/>
                <w:b/>
                <w:szCs w:val="21"/>
                <w:highlight w:val="none"/>
              </w:rPr>
            </w:pPr>
            <w:r>
              <w:rPr>
                <w:rFonts w:hint="eastAsia" w:ascii="宋体" w:hAnsi="宋体" w:cs="宋体"/>
                <w:b/>
                <w:szCs w:val="21"/>
                <w:highlight w:val="none"/>
              </w:rPr>
              <w:t>序号</w:t>
            </w:r>
          </w:p>
        </w:tc>
        <w:tc>
          <w:tcPr>
            <w:tcW w:w="1547" w:type="dxa"/>
            <w:tcBorders>
              <w:tl2br w:val="nil"/>
              <w:tr2bl w:val="nil"/>
            </w:tcBorders>
            <w:vAlign w:val="center"/>
          </w:tcPr>
          <w:p w14:paraId="012791A9">
            <w:pPr>
              <w:shd w:val="clear"/>
              <w:jc w:val="center"/>
              <w:rPr>
                <w:rFonts w:hint="eastAsia" w:ascii="宋体" w:hAnsi="宋体" w:cs="宋体"/>
                <w:b/>
                <w:szCs w:val="21"/>
                <w:highlight w:val="none"/>
              </w:rPr>
            </w:pPr>
            <w:r>
              <w:rPr>
                <w:rFonts w:hint="eastAsia" w:ascii="宋体" w:hAnsi="宋体" w:cs="宋体"/>
                <w:b/>
                <w:szCs w:val="21"/>
                <w:highlight w:val="none"/>
              </w:rPr>
              <w:t>项目名称</w:t>
            </w:r>
          </w:p>
        </w:tc>
        <w:tc>
          <w:tcPr>
            <w:tcW w:w="1397" w:type="dxa"/>
            <w:tcBorders>
              <w:tl2br w:val="nil"/>
              <w:tr2bl w:val="nil"/>
            </w:tcBorders>
            <w:vAlign w:val="center"/>
          </w:tcPr>
          <w:p w14:paraId="660BA449">
            <w:pPr>
              <w:shd w:val="clear"/>
              <w:jc w:val="center"/>
              <w:rPr>
                <w:rFonts w:hint="eastAsia" w:ascii="宋体" w:hAnsi="宋体" w:cs="宋体"/>
                <w:b/>
                <w:szCs w:val="21"/>
                <w:highlight w:val="none"/>
              </w:rPr>
            </w:pPr>
            <w:r>
              <w:rPr>
                <w:rFonts w:hint="eastAsia" w:ascii="宋体" w:hAnsi="宋体" w:cs="宋体"/>
                <w:b/>
                <w:szCs w:val="21"/>
                <w:highlight w:val="none"/>
              </w:rPr>
              <w:t>业主名称</w:t>
            </w:r>
          </w:p>
        </w:tc>
        <w:tc>
          <w:tcPr>
            <w:tcW w:w="1241" w:type="dxa"/>
            <w:tcBorders>
              <w:tl2br w:val="nil"/>
              <w:tr2bl w:val="nil"/>
            </w:tcBorders>
            <w:vAlign w:val="center"/>
          </w:tcPr>
          <w:p w14:paraId="67AA6A15">
            <w:pPr>
              <w:shd w:val="clear"/>
              <w:jc w:val="center"/>
              <w:rPr>
                <w:rFonts w:hint="eastAsia" w:ascii="宋体" w:hAnsi="宋体" w:cs="宋体"/>
                <w:b/>
                <w:szCs w:val="21"/>
                <w:highlight w:val="none"/>
              </w:rPr>
            </w:pPr>
            <w:r>
              <w:rPr>
                <w:rFonts w:hint="eastAsia" w:ascii="宋体" w:hAnsi="宋体" w:cs="宋体"/>
                <w:b/>
                <w:szCs w:val="21"/>
                <w:highlight w:val="none"/>
              </w:rPr>
              <w:t>项目概况</w:t>
            </w:r>
          </w:p>
        </w:tc>
        <w:tc>
          <w:tcPr>
            <w:tcW w:w="1173" w:type="dxa"/>
            <w:tcBorders>
              <w:tl2br w:val="nil"/>
              <w:tr2bl w:val="nil"/>
            </w:tcBorders>
            <w:vAlign w:val="center"/>
          </w:tcPr>
          <w:p w14:paraId="0FB485E4">
            <w:pPr>
              <w:shd w:val="clear"/>
              <w:jc w:val="center"/>
              <w:rPr>
                <w:rFonts w:hint="eastAsia" w:ascii="宋体" w:hAnsi="宋体" w:cs="宋体"/>
                <w:b/>
                <w:szCs w:val="21"/>
                <w:highlight w:val="none"/>
              </w:rPr>
            </w:pPr>
            <w:r>
              <w:rPr>
                <w:rFonts w:hint="eastAsia" w:ascii="宋体" w:hAnsi="宋体" w:cs="宋体"/>
                <w:b/>
                <w:szCs w:val="21"/>
                <w:highlight w:val="none"/>
              </w:rPr>
              <w:t>合同金额</w:t>
            </w:r>
          </w:p>
        </w:tc>
        <w:tc>
          <w:tcPr>
            <w:tcW w:w="1268" w:type="dxa"/>
            <w:tcBorders>
              <w:tl2br w:val="nil"/>
              <w:tr2bl w:val="nil"/>
            </w:tcBorders>
            <w:vAlign w:val="center"/>
          </w:tcPr>
          <w:p w14:paraId="1B8142A3">
            <w:pPr>
              <w:shd w:val="clear"/>
              <w:ind w:left="-53" w:leftChars="-25" w:right="-53" w:rightChars="-25"/>
              <w:jc w:val="center"/>
              <w:rPr>
                <w:rFonts w:hint="eastAsia" w:ascii="宋体" w:hAnsi="宋体" w:cs="宋体"/>
                <w:b/>
                <w:spacing w:val="-8"/>
                <w:szCs w:val="21"/>
                <w:highlight w:val="none"/>
              </w:rPr>
            </w:pPr>
            <w:r>
              <w:rPr>
                <w:rFonts w:hint="eastAsia" w:ascii="宋体" w:hAnsi="宋体" w:cs="宋体"/>
                <w:b/>
                <w:spacing w:val="-8"/>
                <w:szCs w:val="21"/>
                <w:highlight w:val="none"/>
              </w:rPr>
              <w:t>合同签订及完成时间</w:t>
            </w:r>
          </w:p>
        </w:tc>
        <w:tc>
          <w:tcPr>
            <w:tcW w:w="1159" w:type="dxa"/>
            <w:tcBorders>
              <w:tl2br w:val="nil"/>
              <w:tr2bl w:val="nil"/>
            </w:tcBorders>
            <w:vAlign w:val="center"/>
          </w:tcPr>
          <w:p w14:paraId="48E633A4">
            <w:pPr>
              <w:shd w:val="clear"/>
              <w:jc w:val="center"/>
              <w:rPr>
                <w:rFonts w:hint="eastAsia" w:ascii="宋体" w:hAnsi="宋体" w:cs="宋体"/>
                <w:b/>
                <w:szCs w:val="21"/>
                <w:highlight w:val="none"/>
              </w:rPr>
            </w:pPr>
            <w:r>
              <w:rPr>
                <w:rFonts w:hint="eastAsia" w:ascii="宋体" w:hAnsi="宋体" w:cs="宋体"/>
                <w:b/>
                <w:szCs w:val="21"/>
                <w:highlight w:val="none"/>
              </w:rPr>
              <w:t>联系人</w:t>
            </w:r>
          </w:p>
        </w:tc>
        <w:tc>
          <w:tcPr>
            <w:tcW w:w="1092" w:type="dxa"/>
            <w:tcBorders>
              <w:tl2br w:val="nil"/>
              <w:tr2bl w:val="nil"/>
            </w:tcBorders>
            <w:vAlign w:val="center"/>
          </w:tcPr>
          <w:p w14:paraId="4257FEE8">
            <w:pPr>
              <w:shd w:val="clear"/>
              <w:jc w:val="center"/>
              <w:rPr>
                <w:rFonts w:hint="eastAsia" w:ascii="宋体" w:hAnsi="宋体" w:cs="宋体"/>
                <w:b/>
                <w:szCs w:val="21"/>
                <w:highlight w:val="none"/>
              </w:rPr>
            </w:pPr>
            <w:r>
              <w:rPr>
                <w:rFonts w:hint="eastAsia" w:ascii="宋体" w:hAnsi="宋体" w:cs="宋体"/>
                <w:b/>
                <w:szCs w:val="21"/>
                <w:highlight w:val="none"/>
              </w:rPr>
              <w:t>联系方式</w:t>
            </w:r>
          </w:p>
        </w:tc>
      </w:tr>
      <w:tr w14:paraId="1C54C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1DAD5C95">
            <w:pPr>
              <w:shd w:val="clear"/>
              <w:jc w:val="center"/>
              <w:rPr>
                <w:rFonts w:hint="eastAsia" w:ascii="宋体" w:hAnsi="宋体" w:cs="宋体"/>
                <w:szCs w:val="21"/>
                <w:highlight w:val="none"/>
              </w:rPr>
            </w:pPr>
            <w:r>
              <w:rPr>
                <w:rFonts w:hint="eastAsia" w:ascii="宋体" w:hAnsi="宋体" w:cs="宋体"/>
                <w:szCs w:val="21"/>
                <w:highlight w:val="none"/>
              </w:rPr>
              <w:t>1</w:t>
            </w:r>
          </w:p>
        </w:tc>
        <w:tc>
          <w:tcPr>
            <w:tcW w:w="1547" w:type="dxa"/>
            <w:tcBorders>
              <w:tl2br w:val="nil"/>
              <w:tr2bl w:val="nil"/>
            </w:tcBorders>
            <w:vAlign w:val="center"/>
          </w:tcPr>
          <w:p w14:paraId="1EC57614">
            <w:pPr>
              <w:shd w:val="clear"/>
              <w:jc w:val="center"/>
              <w:rPr>
                <w:rFonts w:hint="eastAsia" w:ascii="宋体" w:hAnsi="宋体" w:cs="宋体"/>
                <w:b/>
                <w:szCs w:val="21"/>
                <w:highlight w:val="none"/>
              </w:rPr>
            </w:pPr>
          </w:p>
        </w:tc>
        <w:tc>
          <w:tcPr>
            <w:tcW w:w="1397" w:type="dxa"/>
            <w:tcBorders>
              <w:tl2br w:val="nil"/>
              <w:tr2bl w:val="nil"/>
            </w:tcBorders>
            <w:vAlign w:val="center"/>
          </w:tcPr>
          <w:p w14:paraId="184FAEB7">
            <w:pPr>
              <w:shd w:val="clear"/>
              <w:jc w:val="center"/>
              <w:rPr>
                <w:rFonts w:hint="eastAsia" w:ascii="宋体" w:hAnsi="宋体" w:cs="宋体"/>
                <w:b/>
                <w:szCs w:val="21"/>
                <w:highlight w:val="none"/>
              </w:rPr>
            </w:pPr>
          </w:p>
        </w:tc>
        <w:tc>
          <w:tcPr>
            <w:tcW w:w="1241" w:type="dxa"/>
            <w:tcBorders>
              <w:tl2br w:val="nil"/>
              <w:tr2bl w:val="nil"/>
            </w:tcBorders>
            <w:vAlign w:val="center"/>
          </w:tcPr>
          <w:p w14:paraId="43EE66F7">
            <w:pPr>
              <w:shd w:val="clear"/>
              <w:jc w:val="center"/>
              <w:rPr>
                <w:rFonts w:hint="eastAsia" w:ascii="宋体" w:hAnsi="宋体" w:cs="宋体"/>
                <w:b/>
                <w:szCs w:val="21"/>
                <w:highlight w:val="none"/>
              </w:rPr>
            </w:pPr>
          </w:p>
        </w:tc>
        <w:tc>
          <w:tcPr>
            <w:tcW w:w="1173" w:type="dxa"/>
            <w:tcBorders>
              <w:tl2br w:val="nil"/>
              <w:tr2bl w:val="nil"/>
            </w:tcBorders>
            <w:vAlign w:val="center"/>
          </w:tcPr>
          <w:p w14:paraId="2BF0EC52">
            <w:pPr>
              <w:shd w:val="clear"/>
              <w:jc w:val="center"/>
              <w:rPr>
                <w:rFonts w:hint="eastAsia" w:ascii="宋体" w:hAnsi="宋体" w:cs="宋体"/>
                <w:b/>
                <w:szCs w:val="21"/>
                <w:highlight w:val="none"/>
              </w:rPr>
            </w:pPr>
          </w:p>
        </w:tc>
        <w:tc>
          <w:tcPr>
            <w:tcW w:w="1268" w:type="dxa"/>
            <w:tcBorders>
              <w:tl2br w:val="nil"/>
              <w:tr2bl w:val="nil"/>
            </w:tcBorders>
            <w:vAlign w:val="center"/>
          </w:tcPr>
          <w:p w14:paraId="54A6D06B">
            <w:pPr>
              <w:shd w:val="clear"/>
              <w:jc w:val="center"/>
              <w:rPr>
                <w:rFonts w:hint="eastAsia" w:ascii="宋体" w:hAnsi="宋体" w:cs="宋体"/>
                <w:b/>
                <w:szCs w:val="21"/>
                <w:highlight w:val="none"/>
              </w:rPr>
            </w:pPr>
          </w:p>
        </w:tc>
        <w:tc>
          <w:tcPr>
            <w:tcW w:w="1159" w:type="dxa"/>
            <w:tcBorders>
              <w:tl2br w:val="nil"/>
              <w:tr2bl w:val="nil"/>
            </w:tcBorders>
            <w:vAlign w:val="center"/>
          </w:tcPr>
          <w:p w14:paraId="1E966F6A">
            <w:pPr>
              <w:shd w:val="clear"/>
              <w:jc w:val="center"/>
              <w:rPr>
                <w:rFonts w:hint="eastAsia" w:ascii="宋体" w:hAnsi="宋体" w:cs="宋体"/>
                <w:b/>
                <w:szCs w:val="21"/>
                <w:highlight w:val="none"/>
              </w:rPr>
            </w:pPr>
          </w:p>
        </w:tc>
        <w:tc>
          <w:tcPr>
            <w:tcW w:w="1092" w:type="dxa"/>
            <w:tcBorders>
              <w:tl2br w:val="nil"/>
              <w:tr2bl w:val="nil"/>
            </w:tcBorders>
            <w:vAlign w:val="center"/>
          </w:tcPr>
          <w:p w14:paraId="0C3D077C">
            <w:pPr>
              <w:shd w:val="clear"/>
              <w:jc w:val="center"/>
              <w:rPr>
                <w:rFonts w:hint="eastAsia" w:ascii="宋体" w:hAnsi="宋体" w:cs="宋体"/>
                <w:b/>
                <w:szCs w:val="21"/>
                <w:highlight w:val="none"/>
              </w:rPr>
            </w:pPr>
          </w:p>
        </w:tc>
      </w:tr>
      <w:tr w14:paraId="7A1D4F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7B9FE03B">
            <w:pPr>
              <w:widowControl/>
              <w:shd w:val="clear"/>
              <w:jc w:val="center"/>
              <w:rPr>
                <w:rFonts w:hint="eastAsia" w:ascii="宋体" w:hAnsi="宋体" w:cs="宋体"/>
                <w:szCs w:val="21"/>
                <w:highlight w:val="none"/>
              </w:rPr>
            </w:pPr>
            <w:r>
              <w:rPr>
                <w:rFonts w:hint="eastAsia" w:ascii="宋体" w:hAnsi="宋体" w:cs="宋体"/>
                <w:szCs w:val="21"/>
                <w:highlight w:val="none"/>
              </w:rPr>
              <w:t>2</w:t>
            </w:r>
          </w:p>
        </w:tc>
        <w:tc>
          <w:tcPr>
            <w:tcW w:w="1547" w:type="dxa"/>
            <w:tcBorders>
              <w:tl2br w:val="nil"/>
              <w:tr2bl w:val="nil"/>
            </w:tcBorders>
            <w:vAlign w:val="center"/>
          </w:tcPr>
          <w:p w14:paraId="3F6A2B0C">
            <w:pPr>
              <w:shd w:val="clear"/>
              <w:jc w:val="center"/>
              <w:rPr>
                <w:rFonts w:hint="eastAsia" w:ascii="宋体" w:hAnsi="宋体" w:cs="宋体"/>
                <w:b/>
                <w:szCs w:val="21"/>
                <w:highlight w:val="none"/>
              </w:rPr>
            </w:pPr>
          </w:p>
        </w:tc>
        <w:tc>
          <w:tcPr>
            <w:tcW w:w="1397" w:type="dxa"/>
            <w:tcBorders>
              <w:tl2br w:val="nil"/>
              <w:tr2bl w:val="nil"/>
            </w:tcBorders>
            <w:vAlign w:val="center"/>
          </w:tcPr>
          <w:p w14:paraId="67024FB0">
            <w:pPr>
              <w:shd w:val="clear"/>
              <w:jc w:val="center"/>
              <w:rPr>
                <w:rFonts w:hint="eastAsia" w:ascii="宋体" w:hAnsi="宋体" w:cs="宋体"/>
                <w:b/>
                <w:szCs w:val="21"/>
                <w:highlight w:val="none"/>
              </w:rPr>
            </w:pPr>
          </w:p>
        </w:tc>
        <w:tc>
          <w:tcPr>
            <w:tcW w:w="1241" w:type="dxa"/>
            <w:tcBorders>
              <w:tl2br w:val="nil"/>
              <w:tr2bl w:val="nil"/>
            </w:tcBorders>
            <w:vAlign w:val="center"/>
          </w:tcPr>
          <w:p w14:paraId="5EB7F518">
            <w:pPr>
              <w:shd w:val="clear"/>
              <w:jc w:val="center"/>
              <w:rPr>
                <w:rFonts w:hint="eastAsia" w:ascii="宋体" w:hAnsi="宋体" w:cs="宋体"/>
                <w:b/>
                <w:szCs w:val="21"/>
                <w:highlight w:val="none"/>
              </w:rPr>
            </w:pPr>
          </w:p>
        </w:tc>
        <w:tc>
          <w:tcPr>
            <w:tcW w:w="1173" w:type="dxa"/>
            <w:tcBorders>
              <w:tl2br w:val="nil"/>
              <w:tr2bl w:val="nil"/>
            </w:tcBorders>
            <w:vAlign w:val="center"/>
          </w:tcPr>
          <w:p w14:paraId="5242719C">
            <w:pPr>
              <w:shd w:val="clear"/>
              <w:jc w:val="center"/>
              <w:rPr>
                <w:rFonts w:hint="eastAsia" w:ascii="宋体" w:hAnsi="宋体" w:cs="宋体"/>
                <w:b/>
                <w:szCs w:val="21"/>
                <w:highlight w:val="none"/>
              </w:rPr>
            </w:pPr>
          </w:p>
        </w:tc>
        <w:tc>
          <w:tcPr>
            <w:tcW w:w="1268" w:type="dxa"/>
            <w:tcBorders>
              <w:tl2br w:val="nil"/>
              <w:tr2bl w:val="nil"/>
            </w:tcBorders>
            <w:vAlign w:val="center"/>
          </w:tcPr>
          <w:p w14:paraId="5A0D49FB">
            <w:pPr>
              <w:shd w:val="clear"/>
              <w:jc w:val="center"/>
              <w:rPr>
                <w:rFonts w:hint="eastAsia" w:ascii="宋体" w:hAnsi="宋体" w:cs="宋体"/>
                <w:b/>
                <w:szCs w:val="21"/>
                <w:highlight w:val="none"/>
              </w:rPr>
            </w:pPr>
          </w:p>
        </w:tc>
        <w:tc>
          <w:tcPr>
            <w:tcW w:w="1159" w:type="dxa"/>
            <w:tcBorders>
              <w:tl2br w:val="nil"/>
              <w:tr2bl w:val="nil"/>
            </w:tcBorders>
            <w:vAlign w:val="center"/>
          </w:tcPr>
          <w:p w14:paraId="4ADC19FE">
            <w:pPr>
              <w:shd w:val="clear"/>
              <w:jc w:val="center"/>
              <w:rPr>
                <w:rFonts w:hint="eastAsia" w:ascii="宋体" w:hAnsi="宋体" w:cs="宋体"/>
                <w:b/>
                <w:szCs w:val="21"/>
                <w:highlight w:val="none"/>
              </w:rPr>
            </w:pPr>
          </w:p>
        </w:tc>
        <w:tc>
          <w:tcPr>
            <w:tcW w:w="1092" w:type="dxa"/>
            <w:tcBorders>
              <w:tl2br w:val="nil"/>
              <w:tr2bl w:val="nil"/>
            </w:tcBorders>
            <w:vAlign w:val="center"/>
          </w:tcPr>
          <w:p w14:paraId="78DE101E">
            <w:pPr>
              <w:shd w:val="clear"/>
              <w:jc w:val="center"/>
              <w:rPr>
                <w:rFonts w:hint="eastAsia" w:ascii="宋体" w:hAnsi="宋体" w:cs="宋体"/>
                <w:b/>
                <w:szCs w:val="21"/>
                <w:highlight w:val="none"/>
              </w:rPr>
            </w:pPr>
          </w:p>
        </w:tc>
      </w:tr>
      <w:tr w14:paraId="0305F3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518D28E6">
            <w:pPr>
              <w:widowControl/>
              <w:shd w:val="clear"/>
              <w:jc w:val="center"/>
              <w:rPr>
                <w:rFonts w:hint="eastAsia" w:ascii="宋体" w:hAnsi="宋体" w:cs="宋体"/>
                <w:szCs w:val="21"/>
                <w:highlight w:val="none"/>
              </w:rPr>
            </w:pPr>
            <w:r>
              <w:rPr>
                <w:rFonts w:hint="eastAsia" w:ascii="宋体" w:hAnsi="宋体" w:cs="宋体"/>
                <w:szCs w:val="21"/>
                <w:highlight w:val="none"/>
              </w:rPr>
              <w:t>3</w:t>
            </w:r>
          </w:p>
        </w:tc>
        <w:tc>
          <w:tcPr>
            <w:tcW w:w="1547" w:type="dxa"/>
            <w:tcBorders>
              <w:tl2br w:val="nil"/>
              <w:tr2bl w:val="nil"/>
            </w:tcBorders>
            <w:vAlign w:val="center"/>
          </w:tcPr>
          <w:p w14:paraId="2F66DD24">
            <w:pPr>
              <w:shd w:val="clear"/>
              <w:jc w:val="center"/>
              <w:rPr>
                <w:rFonts w:hint="eastAsia" w:ascii="宋体" w:hAnsi="宋体" w:cs="宋体"/>
                <w:b/>
                <w:szCs w:val="21"/>
                <w:highlight w:val="none"/>
              </w:rPr>
            </w:pPr>
          </w:p>
        </w:tc>
        <w:tc>
          <w:tcPr>
            <w:tcW w:w="1397" w:type="dxa"/>
            <w:tcBorders>
              <w:tl2br w:val="nil"/>
              <w:tr2bl w:val="nil"/>
            </w:tcBorders>
            <w:vAlign w:val="center"/>
          </w:tcPr>
          <w:p w14:paraId="183E82E6">
            <w:pPr>
              <w:shd w:val="clear"/>
              <w:jc w:val="center"/>
              <w:rPr>
                <w:rFonts w:hint="eastAsia" w:ascii="宋体" w:hAnsi="宋体" w:cs="宋体"/>
                <w:b/>
                <w:szCs w:val="21"/>
                <w:highlight w:val="none"/>
              </w:rPr>
            </w:pPr>
          </w:p>
        </w:tc>
        <w:tc>
          <w:tcPr>
            <w:tcW w:w="1241" w:type="dxa"/>
            <w:tcBorders>
              <w:tl2br w:val="nil"/>
              <w:tr2bl w:val="nil"/>
            </w:tcBorders>
            <w:vAlign w:val="center"/>
          </w:tcPr>
          <w:p w14:paraId="31307CB6">
            <w:pPr>
              <w:shd w:val="clear"/>
              <w:jc w:val="center"/>
              <w:rPr>
                <w:rFonts w:hint="eastAsia" w:ascii="宋体" w:hAnsi="宋体" w:cs="宋体"/>
                <w:b/>
                <w:szCs w:val="21"/>
                <w:highlight w:val="none"/>
              </w:rPr>
            </w:pPr>
          </w:p>
        </w:tc>
        <w:tc>
          <w:tcPr>
            <w:tcW w:w="1173" w:type="dxa"/>
            <w:tcBorders>
              <w:tl2br w:val="nil"/>
              <w:tr2bl w:val="nil"/>
            </w:tcBorders>
            <w:vAlign w:val="center"/>
          </w:tcPr>
          <w:p w14:paraId="2C2D0CB6">
            <w:pPr>
              <w:shd w:val="clear"/>
              <w:jc w:val="center"/>
              <w:rPr>
                <w:rFonts w:hint="eastAsia" w:ascii="宋体" w:hAnsi="宋体" w:cs="宋体"/>
                <w:b/>
                <w:szCs w:val="21"/>
                <w:highlight w:val="none"/>
              </w:rPr>
            </w:pPr>
          </w:p>
        </w:tc>
        <w:tc>
          <w:tcPr>
            <w:tcW w:w="1268" w:type="dxa"/>
            <w:tcBorders>
              <w:tl2br w:val="nil"/>
              <w:tr2bl w:val="nil"/>
            </w:tcBorders>
            <w:vAlign w:val="center"/>
          </w:tcPr>
          <w:p w14:paraId="574D7D9B">
            <w:pPr>
              <w:shd w:val="clear"/>
              <w:jc w:val="center"/>
              <w:rPr>
                <w:rFonts w:hint="eastAsia" w:ascii="宋体" w:hAnsi="宋体" w:cs="宋体"/>
                <w:b/>
                <w:szCs w:val="21"/>
                <w:highlight w:val="none"/>
              </w:rPr>
            </w:pPr>
          </w:p>
        </w:tc>
        <w:tc>
          <w:tcPr>
            <w:tcW w:w="1159" w:type="dxa"/>
            <w:tcBorders>
              <w:tl2br w:val="nil"/>
              <w:tr2bl w:val="nil"/>
            </w:tcBorders>
            <w:vAlign w:val="center"/>
          </w:tcPr>
          <w:p w14:paraId="52D874D4">
            <w:pPr>
              <w:shd w:val="clear"/>
              <w:jc w:val="center"/>
              <w:rPr>
                <w:rFonts w:hint="eastAsia" w:ascii="宋体" w:hAnsi="宋体" w:cs="宋体"/>
                <w:b/>
                <w:szCs w:val="21"/>
                <w:highlight w:val="none"/>
              </w:rPr>
            </w:pPr>
          </w:p>
        </w:tc>
        <w:tc>
          <w:tcPr>
            <w:tcW w:w="1092" w:type="dxa"/>
            <w:tcBorders>
              <w:tl2br w:val="nil"/>
              <w:tr2bl w:val="nil"/>
            </w:tcBorders>
            <w:vAlign w:val="center"/>
          </w:tcPr>
          <w:p w14:paraId="5506DAD5">
            <w:pPr>
              <w:shd w:val="clear"/>
              <w:jc w:val="center"/>
              <w:rPr>
                <w:rFonts w:hint="eastAsia" w:ascii="宋体" w:hAnsi="宋体" w:cs="宋体"/>
                <w:b/>
                <w:szCs w:val="21"/>
                <w:highlight w:val="none"/>
              </w:rPr>
            </w:pPr>
          </w:p>
        </w:tc>
      </w:tr>
      <w:tr w14:paraId="0078C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166896D7">
            <w:pPr>
              <w:widowControl/>
              <w:shd w:val="clear"/>
              <w:jc w:val="center"/>
              <w:rPr>
                <w:rFonts w:hint="eastAsia" w:ascii="宋体" w:hAnsi="宋体" w:cs="宋体"/>
                <w:b/>
                <w:szCs w:val="21"/>
                <w:highlight w:val="none"/>
              </w:rPr>
            </w:pPr>
            <w:r>
              <w:rPr>
                <w:rFonts w:hint="eastAsia" w:ascii="宋体" w:hAnsi="宋体" w:cs="宋体"/>
                <w:highlight w:val="none"/>
              </w:rPr>
              <w:t>……</w:t>
            </w:r>
          </w:p>
        </w:tc>
        <w:tc>
          <w:tcPr>
            <w:tcW w:w="1547" w:type="dxa"/>
            <w:tcBorders>
              <w:tl2br w:val="nil"/>
              <w:tr2bl w:val="nil"/>
            </w:tcBorders>
            <w:vAlign w:val="center"/>
          </w:tcPr>
          <w:p w14:paraId="456F62C4">
            <w:pPr>
              <w:shd w:val="clear"/>
              <w:jc w:val="center"/>
              <w:rPr>
                <w:rFonts w:hint="eastAsia" w:ascii="宋体" w:hAnsi="宋体" w:cs="宋体"/>
                <w:b/>
                <w:szCs w:val="21"/>
                <w:highlight w:val="none"/>
              </w:rPr>
            </w:pPr>
          </w:p>
        </w:tc>
        <w:tc>
          <w:tcPr>
            <w:tcW w:w="1397" w:type="dxa"/>
            <w:tcBorders>
              <w:tl2br w:val="nil"/>
              <w:tr2bl w:val="nil"/>
            </w:tcBorders>
            <w:vAlign w:val="center"/>
          </w:tcPr>
          <w:p w14:paraId="5D2CCD92">
            <w:pPr>
              <w:shd w:val="clear"/>
              <w:jc w:val="center"/>
              <w:rPr>
                <w:rFonts w:hint="eastAsia" w:ascii="宋体" w:hAnsi="宋体" w:cs="宋体"/>
                <w:b/>
                <w:szCs w:val="21"/>
                <w:highlight w:val="none"/>
              </w:rPr>
            </w:pPr>
          </w:p>
        </w:tc>
        <w:tc>
          <w:tcPr>
            <w:tcW w:w="1241" w:type="dxa"/>
            <w:tcBorders>
              <w:tl2br w:val="nil"/>
              <w:tr2bl w:val="nil"/>
            </w:tcBorders>
            <w:vAlign w:val="center"/>
          </w:tcPr>
          <w:p w14:paraId="1AD7481C">
            <w:pPr>
              <w:shd w:val="clear"/>
              <w:jc w:val="center"/>
              <w:rPr>
                <w:rFonts w:hint="eastAsia" w:ascii="宋体" w:hAnsi="宋体" w:cs="宋体"/>
                <w:b/>
                <w:szCs w:val="21"/>
                <w:highlight w:val="none"/>
              </w:rPr>
            </w:pPr>
          </w:p>
        </w:tc>
        <w:tc>
          <w:tcPr>
            <w:tcW w:w="1173" w:type="dxa"/>
            <w:tcBorders>
              <w:tl2br w:val="nil"/>
              <w:tr2bl w:val="nil"/>
            </w:tcBorders>
            <w:vAlign w:val="center"/>
          </w:tcPr>
          <w:p w14:paraId="4FF62D7E">
            <w:pPr>
              <w:shd w:val="clear"/>
              <w:jc w:val="center"/>
              <w:rPr>
                <w:rFonts w:hint="eastAsia" w:ascii="宋体" w:hAnsi="宋体" w:cs="宋体"/>
                <w:b/>
                <w:szCs w:val="21"/>
                <w:highlight w:val="none"/>
              </w:rPr>
            </w:pPr>
          </w:p>
        </w:tc>
        <w:tc>
          <w:tcPr>
            <w:tcW w:w="1268" w:type="dxa"/>
            <w:tcBorders>
              <w:tl2br w:val="nil"/>
              <w:tr2bl w:val="nil"/>
            </w:tcBorders>
            <w:vAlign w:val="center"/>
          </w:tcPr>
          <w:p w14:paraId="323C1404">
            <w:pPr>
              <w:shd w:val="clear"/>
              <w:jc w:val="center"/>
              <w:rPr>
                <w:rFonts w:hint="eastAsia" w:ascii="宋体" w:hAnsi="宋体" w:cs="宋体"/>
                <w:b/>
                <w:szCs w:val="21"/>
                <w:highlight w:val="none"/>
              </w:rPr>
            </w:pPr>
          </w:p>
        </w:tc>
        <w:tc>
          <w:tcPr>
            <w:tcW w:w="1159" w:type="dxa"/>
            <w:tcBorders>
              <w:tl2br w:val="nil"/>
              <w:tr2bl w:val="nil"/>
            </w:tcBorders>
            <w:vAlign w:val="center"/>
          </w:tcPr>
          <w:p w14:paraId="45D89DBE">
            <w:pPr>
              <w:shd w:val="clear"/>
              <w:jc w:val="center"/>
              <w:rPr>
                <w:rFonts w:hint="eastAsia" w:ascii="宋体" w:hAnsi="宋体" w:cs="宋体"/>
                <w:b/>
                <w:szCs w:val="21"/>
                <w:highlight w:val="none"/>
              </w:rPr>
            </w:pPr>
          </w:p>
        </w:tc>
        <w:tc>
          <w:tcPr>
            <w:tcW w:w="1092" w:type="dxa"/>
            <w:tcBorders>
              <w:tl2br w:val="nil"/>
              <w:tr2bl w:val="nil"/>
            </w:tcBorders>
            <w:vAlign w:val="center"/>
          </w:tcPr>
          <w:p w14:paraId="22285605">
            <w:pPr>
              <w:shd w:val="clear"/>
              <w:jc w:val="center"/>
              <w:rPr>
                <w:rFonts w:hint="eastAsia" w:ascii="宋体" w:hAnsi="宋体" w:cs="宋体"/>
                <w:b/>
                <w:szCs w:val="21"/>
                <w:highlight w:val="none"/>
              </w:rPr>
            </w:pPr>
          </w:p>
        </w:tc>
      </w:tr>
      <w:tr w14:paraId="0C976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34C592EC">
            <w:pPr>
              <w:widowControl/>
              <w:shd w:val="clear"/>
              <w:jc w:val="center"/>
              <w:rPr>
                <w:rFonts w:hint="eastAsia" w:ascii="宋体" w:hAnsi="宋体" w:cs="宋体"/>
                <w:szCs w:val="21"/>
                <w:highlight w:val="none"/>
              </w:rPr>
            </w:pPr>
          </w:p>
        </w:tc>
        <w:tc>
          <w:tcPr>
            <w:tcW w:w="1547" w:type="dxa"/>
            <w:tcBorders>
              <w:tl2br w:val="nil"/>
              <w:tr2bl w:val="nil"/>
            </w:tcBorders>
            <w:vAlign w:val="center"/>
          </w:tcPr>
          <w:p w14:paraId="1AA23F1B">
            <w:pPr>
              <w:shd w:val="clear"/>
              <w:jc w:val="center"/>
              <w:rPr>
                <w:rFonts w:hint="eastAsia" w:ascii="宋体" w:hAnsi="宋体" w:cs="宋体"/>
                <w:b/>
                <w:szCs w:val="21"/>
                <w:highlight w:val="none"/>
              </w:rPr>
            </w:pPr>
          </w:p>
        </w:tc>
        <w:tc>
          <w:tcPr>
            <w:tcW w:w="1397" w:type="dxa"/>
            <w:tcBorders>
              <w:tl2br w:val="nil"/>
              <w:tr2bl w:val="nil"/>
            </w:tcBorders>
            <w:vAlign w:val="center"/>
          </w:tcPr>
          <w:p w14:paraId="5D5BA5D8">
            <w:pPr>
              <w:shd w:val="clear"/>
              <w:jc w:val="center"/>
              <w:rPr>
                <w:rFonts w:hint="eastAsia" w:ascii="宋体" w:hAnsi="宋体" w:cs="宋体"/>
                <w:b/>
                <w:szCs w:val="21"/>
                <w:highlight w:val="none"/>
              </w:rPr>
            </w:pPr>
          </w:p>
        </w:tc>
        <w:tc>
          <w:tcPr>
            <w:tcW w:w="1241" w:type="dxa"/>
            <w:tcBorders>
              <w:tl2br w:val="nil"/>
              <w:tr2bl w:val="nil"/>
            </w:tcBorders>
            <w:vAlign w:val="center"/>
          </w:tcPr>
          <w:p w14:paraId="1FF6260D">
            <w:pPr>
              <w:shd w:val="clear"/>
              <w:jc w:val="center"/>
              <w:rPr>
                <w:rFonts w:hint="eastAsia" w:ascii="宋体" w:hAnsi="宋体" w:cs="宋体"/>
                <w:b/>
                <w:szCs w:val="21"/>
                <w:highlight w:val="none"/>
              </w:rPr>
            </w:pPr>
          </w:p>
        </w:tc>
        <w:tc>
          <w:tcPr>
            <w:tcW w:w="1173" w:type="dxa"/>
            <w:tcBorders>
              <w:tl2br w:val="nil"/>
              <w:tr2bl w:val="nil"/>
            </w:tcBorders>
            <w:vAlign w:val="center"/>
          </w:tcPr>
          <w:p w14:paraId="411E82F6">
            <w:pPr>
              <w:shd w:val="clear"/>
              <w:jc w:val="center"/>
              <w:rPr>
                <w:rFonts w:hint="eastAsia" w:ascii="宋体" w:hAnsi="宋体" w:cs="宋体"/>
                <w:b/>
                <w:szCs w:val="21"/>
                <w:highlight w:val="none"/>
              </w:rPr>
            </w:pPr>
          </w:p>
        </w:tc>
        <w:tc>
          <w:tcPr>
            <w:tcW w:w="1268" w:type="dxa"/>
            <w:tcBorders>
              <w:tl2br w:val="nil"/>
              <w:tr2bl w:val="nil"/>
            </w:tcBorders>
            <w:vAlign w:val="center"/>
          </w:tcPr>
          <w:p w14:paraId="4A92E0B9">
            <w:pPr>
              <w:shd w:val="clear"/>
              <w:jc w:val="center"/>
              <w:rPr>
                <w:rFonts w:hint="eastAsia" w:ascii="宋体" w:hAnsi="宋体" w:cs="宋体"/>
                <w:b/>
                <w:szCs w:val="21"/>
                <w:highlight w:val="none"/>
              </w:rPr>
            </w:pPr>
          </w:p>
        </w:tc>
        <w:tc>
          <w:tcPr>
            <w:tcW w:w="1159" w:type="dxa"/>
            <w:tcBorders>
              <w:tl2br w:val="nil"/>
              <w:tr2bl w:val="nil"/>
            </w:tcBorders>
            <w:vAlign w:val="center"/>
          </w:tcPr>
          <w:p w14:paraId="7FC3EC60">
            <w:pPr>
              <w:shd w:val="clear"/>
              <w:jc w:val="center"/>
              <w:rPr>
                <w:rFonts w:hint="eastAsia" w:ascii="宋体" w:hAnsi="宋体" w:cs="宋体"/>
                <w:b/>
                <w:szCs w:val="21"/>
                <w:highlight w:val="none"/>
              </w:rPr>
            </w:pPr>
          </w:p>
        </w:tc>
        <w:tc>
          <w:tcPr>
            <w:tcW w:w="1092" w:type="dxa"/>
            <w:tcBorders>
              <w:tl2br w:val="nil"/>
              <w:tr2bl w:val="nil"/>
            </w:tcBorders>
            <w:vAlign w:val="center"/>
          </w:tcPr>
          <w:p w14:paraId="1A50108B">
            <w:pPr>
              <w:shd w:val="clear"/>
              <w:jc w:val="center"/>
              <w:rPr>
                <w:rFonts w:hint="eastAsia" w:ascii="宋体" w:hAnsi="宋体" w:cs="宋体"/>
                <w:b/>
                <w:szCs w:val="21"/>
                <w:highlight w:val="none"/>
              </w:rPr>
            </w:pPr>
          </w:p>
        </w:tc>
      </w:tr>
      <w:tr w14:paraId="6980C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284158A9">
            <w:pPr>
              <w:widowControl/>
              <w:shd w:val="clear"/>
              <w:jc w:val="center"/>
              <w:rPr>
                <w:rFonts w:hint="eastAsia" w:ascii="宋体" w:hAnsi="宋体" w:cs="宋体"/>
                <w:szCs w:val="21"/>
                <w:highlight w:val="none"/>
              </w:rPr>
            </w:pPr>
          </w:p>
        </w:tc>
        <w:tc>
          <w:tcPr>
            <w:tcW w:w="1547" w:type="dxa"/>
            <w:tcBorders>
              <w:tl2br w:val="nil"/>
              <w:tr2bl w:val="nil"/>
            </w:tcBorders>
            <w:vAlign w:val="center"/>
          </w:tcPr>
          <w:p w14:paraId="6DF3198B">
            <w:pPr>
              <w:shd w:val="clear"/>
              <w:jc w:val="center"/>
              <w:rPr>
                <w:rFonts w:hint="eastAsia" w:ascii="宋体" w:hAnsi="宋体" w:cs="宋体"/>
                <w:b/>
                <w:szCs w:val="21"/>
                <w:highlight w:val="none"/>
              </w:rPr>
            </w:pPr>
          </w:p>
        </w:tc>
        <w:tc>
          <w:tcPr>
            <w:tcW w:w="1397" w:type="dxa"/>
            <w:tcBorders>
              <w:tl2br w:val="nil"/>
              <w:tr2bl w:val="nil"/>
            </w:tcBorders>
            <w:vAlign w:val="center"/>
          </w:tcPr>
          <w:p w14:paraId="2227D4A5">
            <w:pPr>
              <w:shd w:val="clear"/>
              <w:jc w:val="center"/>
              <w:rPr>
                <w:rFonts w:hint="eastAsia" w:ascii="宋体" w:hAnsi="宋体" w:cs="宋体"/>
                <w:b/>
                <w:szCs w:val="21"/>
                <w:highlight w:val="none"/>
              </w:rPr>
            </w:pPr>
          </w:p>
        </w:tc>
        <w:tc>
          <w:tcPr>
            <w:tcW w:w="1241" w:type="dxa"/>
            <w:tcBorders>
              <w:tl2br w:val="nil"/>
              <w:tr2bl w:val="nil"/>
            </w:tcBorders>
            <w:vAlign w:val="center"/>
          </w:tcPr>
          <w:p w14:paraId="6D158E30">
            <w:pPr>
              <w:shd w:val="clear"/>
              <w:jc w:val="center"/>
              <w:rPr>
                <w:rFonts w:hint="eastAsia" w:ascii="宋体" w:hAnsi="宋体" w:cs="宋体"/>
                <w:b/>
                <w:szCs w:val="21"/>
                <w:highlight w:val="none"/>
              </w:rPr>
            </w:pPr>
          </w:p>
        </w:tc>
        <w:tc>
          <w:tcPr>
            <w:tcW w:w="1173" w:type="dxa"/>
            <w:tcBorders>
              <w:tl2br w:val="nil"/>
              <w:tr2bl w:val="nil"/>
            </w:tcBorders>
            <w:vAlign w:val="center"/>
          </w:tcPr>
          <w:p w14:paraId="6EFCB5E1">
            <w:pPr>
              <w:shd w:val="clear"/>
              <w:jc w:val="center"/>
              <w:rPr>
                <w:rFonts w:hint="eastAsia" w:ascii="宋体" w:hAnsi="宋体" w:cs="宋体"/>
                <w:b/>
                <w:szCs w:val="21"/>
                <w:highlight w:val="none"/>
              </w:rPr>
            </w:pPr>
          </w:p>
        </w:tc>
        <w:tc>
          <w:tcPr>
            <w:tcW w:w="1268" w:type="dxa"/>
            <w:tcBorders>
              <w:tl2br w:val="nil"/>
              <w:tr2bl w:val="nil"/>
            </w:tcBorders>
            <w:vAlign w:val="center"/>
          </w:tcPr>
          <w:p w14:paraId="6FDA6F0C">
            <w:pPr>
              <w:shd w:val="clear"/>
              <w:jc w:val="center"/>
              <w:rPr>
                <w:rFonts w:hint="eastAsia" w:ascii="宋体" w:hAnsi="宋体" w:cs="宋体"/>
                <w:b/>
                <w:szCs w:val="21"/>
                <w:highlight w:val="none"/>
              </w:rPr>
            </w:pPr>
          </w:p>
        </w:tc>
        <w:tc>
          <w:tcPr>
            <w:tcW w:w="1159" w:type="dxa"/>
            <w:tcBorders>
              <w:tl2br w:val="nil"/>
              <w:tr2bl w:val="nil"/>
            </w:tcBorders>
            <w:vAlign w:val="center"/>
          </w:tcPr>
          <w:p w14:paraId="29E3185F">
            <w:pPr>
              <w:shd w:val="clear"/>
              <w:jc w:val="center"/>
              <w:rPr>
                <w:rFonts w:hint="eastAsia" w:ascii="宋体" w:hAnsi="宋体" w:cs="宋体"/>
                <w:b/>
                <w:szCs w:val="21"/>
                <w:highlight w:val="none"/>
              </w:rPr>
            </w:pPr>
          </w:p>
        </w:tc>
        <w:tc>
          <w:tcPr>
            <w:tcW w:w="1092" w:type="dxa"/>
            <w:tcBorders>
              <w:tl2br w:val="nil"/>
              <w:tr2bl w:val="nil"/>
            </w:tcBorders>
            <w:vAlign w:val="center"/>
          </w:tcPr>
          <w:p w14:paraId="082AB57A">
            <w:pPr>
              <w:shd w:val="clear"/>
              <w:jc w:val="center"/>
              <w:rPr>
                <w:rFonts w:hint="eastAsia" w:ascii="宋体" w:hAnsi="宋体" w:cs="宋体"/>
                <w:b/>
                <w:szCs w:val="21"/>
                <w:highlight w:val="none"/>
              </w:rPr>
            </w:pPr>
          </w:p>
        </w:tc>
      </w:tr>
      <w:tr w14:paraId="255030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tcBorders>
              <w:tl2br w:val="nil"/>
              <w:tr2bl w:val="nil"/>
            </w:tcBorders>
            <w:vAlign w:val="center"/>
          </w:tcPr>
          <w:p w14:paraId="0D9DAFD7">
            <w:pPr>
              <w:widowControl/>
              <w:shd w:val="clear"/>
              <w:jc w:val="center"/>
              <w:rPr>
                <w:rFonts w:hint="eastAsia" w:ascii="宋体" w:hAnsi="宋体" w:cs="宋体"/>
                <w:szCs w:val="21"/>
                <w:highlight w:val="none"/>
              </w:rPr>
            </w:pPr>
          </w:p>
        </w:tc>
        <w:tc>
          <w:tcPr>
            <w:tcW w:w="1547" w:type="dxa"/>
            <w:tcBorders>
              <w:tl2br w:val="nil"/>
              <w:tr2bl w:val="nil"/>
            </w:tcBorders>
            <w:vAlign w:val="center"/>
          </w:tcPr>
          <w:p w14:paraId="756F9009">
            <w:pPr>
              <w:shd w:val="clear"/>
              <w:jc w:val="center"/>
              <w:rPr>
                <w:rFonts w:hint="eastAsia" w:ascii="宋体" w:hAnsi="宋体" w:cs="宋体"/>
                <w:b/>
                <w:szCs w:val="21"/>
                <w:highlight w:val="none"/>
              </w:rPr>
            </w:pPr>
          </w:p>
        </w:tc>
        <w:tc>
          <w:tcPr>
            <w:tcW w:w="1397" w:type="dxa"/>
            <w:tcBorders>
              <w:tl2br w:val="nil"/>
              <w:tr2bl w:val="nil"/>
            </w:tcBorders>
            <w:vAlign w:val="center"/>
          </w:tcPr>
          <w:p w14:paraId="53F5ADAB">
            <w:pPr>
              <w:shd w:val="clear"/>
              <w:jc w:val="center"/>
              <w:rPr>
                <w:rFonts w:hint="eastAsia" w:ascii="宋体" w:hAnsi="宋体" w:cs="宋体"/>
                <w:b/>
                <w:szCs w:val="21"/>
                <w:highlight w:val="none"/>
              </w:rPr>
            </w:pPr>
          </w:p>
        </w:tc>
        <w:tc>
          <w:tcPr>
            <w:tcW w:w="1241" w:type="dxa"/>
            <w:tcBorders>
              <w:tl2br w:val="nil"/>
              <w:tr2bl w:val="nil"/>
            </w:tcBorders>
            <w:vAlign w:val="center"/>
          </w:tcPr>
          <w:p w14:paraId="13145177">
            <w:pPr>
              <w:shd w:val="clear"/>
              <w:jc w:val="center"/>
              <w:rPr>
                <w:rFonts w:hint="eastAsia" w:ascii="宋体" w:hAnsi="宋体" w:cs="宋体"/>
                <w:b/>
                <w:szCs w:val="21"/>
                <w:highlight w:val="none"/>
              </w:rPr>
            </w:pPr>
          </w:p>
        </w:tc>
        <w:tc>
          <w:tcPr>
            <w:tcW w:w="1173" w:type="dxa"/>
            <w:tcBorders>
              <w:tl2br w:val="nil"/>
              <w:tr2bl w:val="nil"/>
            </w:tcBorders>
            <w:vAlign w:val="center"/>
          </w:tcPr>
          <w:p w14:paraId="0D85FBA1">
            <w:pPr>
              <w:shd w:val="clear"/>
              <w:jc w:val="center"/>
              <w:rPr>
                <w:rFonts w:hint="eastAsia" w:ascii="宋体" w:hAnsi="宋体" w:cs="宋体"/>
                <w:b/>
                <w:szCs w:val="21"/>
                <w:highlight w:val="none"/>
              </w:rPr>
            </w:pPr>
          </w:p>
        </w:tc>
        <w:tc>
          <w:tcPr>
            <w:tcW w:w="1268" w:type="dxa"/>
            <w:tcBorders>
              <w:tl2br w:val="nil"/>
              <w:tr2bl w:val="nil"/>
            </w:tcBorders>
            <w:vAlign w:val="center"/>
          </w:tcPr>
          <w:p w14:paraId="68130835">
            <w:pPr>
              <w:shd w:val="clear"/>
              <w:jc w:val="center"/>
              <w:rPr>
                <w:rFonts w:hint="eastAsia" w:ascii="宋体" w:hAnsi="宋体" w:cs="宋体"/>
                <w:b/>
                <w:szCs w:val="21"/>
                <w:highlight w:val="none"/>
              </w:rPr>
            </w:pPr>
          </w:p>
        </w:tc>
        <w:tc>
          <w:tcPr>
            <w:tcW w:w="1159" w:type="dxa"/>
            <w:tcBorders>
              <w:tl2br w:val="nil"/>
              <w:tr2bl w:val="nil"/>
            </w:tcBorders>
            <w:vAlign w:val="center"/>
          </w:tcPr>
          <w:p w14:paraId="3D2EC65A">
            <w:pPr>
              <w:shd w:val="clear"/>
              <w:jc w:val="center"/>
              <w:rPr>
                <w:rFonts w:hint="eastAsia" w:ascii="宋体" w:hAnsi="宋体" w:cs="宋体"/>
                <w:b/>
                <w:szCs w:val="21"/>
                <w:highlight w:val="none"/>
              </w:rPr>
            </w:pPr>
          </w:p>
        </w:tc>
        <w:tc>
          <w:tcPr>
            <w:tcW w:w="1092" w:type="dxa"/>
            <w:tcBorders>
              <w:tl2br w:val="nil"/>
              <w:tr2bl w:val="nil"/>
            </w:tcBorders>
            <w:vAlign w:val="center"/>
          </w:tcPr>
          <w:p w14:paraId="467C3027">
            <w:pPr>
              <w:shd w:val="clear"/>
              <w:jc w:val="center"/>
              <w:rPr>
                <w:rFonts w:hint="eastAsia" w:ascii="宋体" w:hAnsi="宋体" w:cs="宋体"/>
                <w:b/>
                <w:szCs w:val="21"/>
                <w:highlight w:val="none"/>
              </w:rPr>
            </w:pPr>
          </w:p>
        </w:tc>
      </w:tr>
    </w:tbl>
    <w:p w14:paraId="1065FF2F">
      <w:pPr>
        <w:shd w:val="clear"/>
        <w:ind w:left="939" w:leftChars="447" w:firstLine="2160" w:firstLineChars="900"/>
        <w:rPr>
          <w:rFonts w:hint="eastAsia" w:ascii="宋体" w:hAnsi="宋体" w:cs="宋体"/>
          <w:sz w:val="24"/>
          <w:highlight w:val="none"/>
        </w:rPr>
      </w:pPr>
    </w:p>
    <w:p w14:paraId="33FB6320">
      <w:pPr>
        <w:shd w:val="clear"/>
        <w:rPr>
          <w:rFonts w:hint="eastAsia" w:ascii="宋体" w:hAnsi="宋体" w:cs="宋体"/>
          <w:sz w:val="24"/>
          <w:highlight w:val="none"/>
        </w:rPr>
      </w:pPr>
    </w:p>
    <w:p w14:paraId="4E168D2E">
      <w:pPr>
        <w:shd w:val="clear"/>
        <w:ind w:firstLine="6240" w:firstLineChars="2600"/>
        <w:rPr>
          <w:rFonts w:hint="eastAsia" w:ascii="宋体" w:hAnsi="宋体" w:cs="宋体"/>
          <w:sz w:val="24"/>
          <w:highlight w:val="none"/>
          <w:u w:val="single"/>
        </w:rPr>
      </w:pPr>
      <w:r>
        <w:rPr>
          <w:rFonts w:hint="eastAsia" w:ascii="宋体" w:hAnsi="宋体" w:cs="宋体"/>
          <w:sz w:val="24"/>
          <w:highlight w:val="none"/>
        </w:rPr>
        <w:t>供应商公章：</w:t>
      </w:r>
    </w:p>
    <w:p w14:paraId="5232ED49">
      <w:pPr>
        <w:shd w:val="clear"/>
        <w:spacing w:line="420" w:lineRule="exact"/>
        <w:ind w:firstLine="6720" w:firstLineChars="2800"/>
        <w:rPr>
          <w:rFonts w:hint="eastAsia" w:ascii="宋体" w:hAnsi="宋体" w:cs="宋体"/>
          <w:sz w:val="24"/>
          <w:highlight w:val="none"/>
        </w:rPr>
      </w:pPr>
      <w:r>
        <w:rPr>
          <w:rFonts w:hint="eastAsia" w:ascii="宋体" w:hAnsi="宋体" w:cs="宋体"/>
          <w:sz w:val="24"/>
          <w:highlight w:val="none"/>
        </w:rPr>
        <w:t>日  期：</w:t>
      </w:r>
    </w:p>
    <w:p w14:paraId="06C5DF9E">
      <w:pPr>
        <w:shd w:val="clear"/>
        <w:adjustRightInd w:val="0"/>
        <w:snapToGrid w:val="0"/>
        <w:ind w:left="945" w:hanging="945"/>
        <w:rPr>
          <w:rFonts w:hint="eastAsia" w:ascii="宋体" w:hAnsi="宋体" w:cs="宋体"/>
          <w:szCs w:val="21"/>
          <w:highlight w:val="none"/>
        </w:rPr>
      </w:pPr>
    </w:p>
    <w:p w14:paraId="7020588F">
      <w:pPr>
        <w:shd w:val="clear"/>
        <w:spacing w:line="420" w:lineRule="exact"/>
        <w:ind w:left="945" w:hanging="945"/>
        <w:rPr>
          <w:rFonts w:hint="eastAsia" w:ascii="宋体" w:hAnsi="宋体" w:cs="宋体"/>
          <w:sz w:val="24"/>
          <w:highlight w:val="none"/>
        </w:rPr>
      </w:pPr>
    </w:p>
    <w:p w14:paraId="23F24D94">
      <w:pPr>
        <w:shd w:val="clear"/>
        <w:adjustRightInd w:val="0"/>
        <w:snapToGrid w:val="0"/>
        <w:rPr>
          <w:rFonts w:hint="eastAsia" w:ascii="宋体" w:hAnsi="宋体" w:cs="宋体"/>
          <w:sz w:val="24"/>
          <w:highlight w:val="none"/>
        </w:rPr>
      </w:pPr>
      <w:r>
        <w:rPr>
          <w:rFonts w:hint="eastAsia" w:ascii="宋体" w:hAnsi="宋体" w:cs="宋体"/>
          <w:sz w:val="24"/>
          <w:highlight w:val="none"/>
        </w:rPr>
        <w:t>备注：提供符合询比文件要求的业绩，同时须附合同复印件或验收报告复印件。</w:t>
      </w:r>
    </w:p>
    <w:p w14:paraId="2196E256">
      <w:pPr>
        <w:shd w:val="clear"/>
        <w:spacing w:line="360" w:lineRule="auto"/>
        <w:jc w:val="center"/>
        <w:rPr>
          <w:rFonts w:hint="eastAsia" w:ascii="宋体" w:hAnsi="宋体" w:cs="宋体"/>
          <w:b/>
          <w:bCs/>
          <w:sz w:val="32"/>
          <w:szCs w:val="30"/>
          <w:highlight w:val="none"/>
        </w:rPr>
      </w:pPr>
      <w:r>
        <w:rPr>
          <w:rFonts w:hint="eastAsia" w:ascii="宋体" w:hAnsi="宋体" w:cs="宋体"/>
          <w:sz w:val="24"/>
          <w:highlight w:val="none"/>
        </w:rPr>
        <w:br w:type="page"/>
      </w:r>
      <w:r>
        <w:rPr>
          <w:rFonts w:hint="eastAsia" w:ascii="宋体" w:hAnsi="宋体" w:cs="宋体"/>
          <w:b/>
          <w:bCs/>
          <w:sz w:val="28"/>
          <w:szCs w:val="28"/>
          <w:highlight w:val="none"/>
        </w:rPr>
        <w:t>六、法定代表人（单位负责人）授权书</w:t>
      </w:r>
    </w:p>
    <w:p w14:paraId="3475C03B">
      <w:pPr>
        <w:pStyle w:val="13"/>
        <w:shd w:val="clear"/>
        <w:snapToGrid w:val="0"/>
        <w:spacing w:line="360" w:lineRule="auto"/>
        <w:ind w:firstLine="480" w:firstLineChars="200"/>
        <w:rPr>
          <w:rFonts w:hint="eastAsia" w:hAnsi="宋体" w:cs="宋体"/>
          <w:sz w:val="24"/>
          <w:szCs w:val="28"/>
          <w:highlight w:val="none"/>
        </w:rPr>
      </w:pPr>
    </w:p>
    <w:p w14:paraId="245C59BF">
      <w:pPr>
        <w:pStyle w:val="13"/>
        <w:shd w:val="clear"/>
        <w:snapToGrid w:val="0"/>
        <w:spacing w:line="360" w:lineRule="auto"/>
        <w:ind w:firstLine="480" w:firstLineChars="200"/>
        <w:rPr>
          <w:rFonts w:hint="eastAsia" w:hAnsi="宋体" w:cs="宋体"/>
          <w:sz w:val="24"/>
          <w:szCs w:val="28"/>
          <w:highlight w:val="none"/>
        </w:rPr>
      </w:pPr>
      <w:r>
        <w:rPr>
          <w:rFonts w:hint="eastAsia" w:hAnsi="宋体" w:cs="宋体"/>
          <w:sz w:val="24"/>
          <w:szCs w:val="28"/>
          <w:highlight w:val="none"/>
        </w:rPr>
        <w:t>本授权书声明：本人</w:t>
      </w:r>
      <w:r>
        <w:rPr>
          <w:rFonts w:hint="eastAsia" w:hAnsi="宋体" w:cs="宋体"/>
          <w:sz w:val="24"/>
          <w:szCs w:val="28"/>
          <w:highlight w:val="none"/>
          <w:u w:val="single"/>
        </w:rPr>
        <w:tab/>
      </w:r>
      <w:r>
        <w:rPr>
          <w:rFonts w:hint="eastAsia" w:hAnsi="宋体" w:cs="宋体"/>
          <w:sz w:val="24"/>
          <w:szCs w:val="28"/>
          <w:highlight w:val="none"/>
          <w:u w:val="single"/>
        </w:rPr>
        <w:t xml:space="preserve">   </w:t>
      </w:r>
      <w:r>
        <w:rPr>
          <w:rFonts w:hint="eastAsia" w:hAnsi="宋体" w:cs="宋体"/>
          <w:sz w:val="24"/>
          <w:szCs w:val="28"/>
          <w:highlight w:val="none"/>
        </w:rPr>
        <w:t>（姓名）系</w:t>
      </w:r>
      <w:r>
        <w:rPr>
          <w:rFonts w:hint="eastAsia" w:hAnsi="宋体" w:cs="宋体"/>
          <w:sz w:val="24"/>
          <w:szCs w:val="28"/>
          <w:highlight w:val="none"/>
          <w:u w:val="single"/>
        </w:rPr>
        <w:tab/>
      </w:r>
      <w:r>
        <w:rPr>
          <w:rFonts w:hint="eastAsia" w:hAnsi="宋体" w:cs="宋体"/>
          <w:sz w:val="24"/>
          <w:szCs w:val="28"/>
          <w:highlight w:val="none"/>
          <w:u w:val="single"/>
        </w:rPr>
        <w:t xml:space="preserve">    </w:t>
      </w:r>
      <w:r>
        <w:rPr>
          <w:rFonts w:hint="eastAsia" w:hAnsi="宋体" w:cs="宋体"/>
          <w:sz w:val="24"/>
          <w:szCs w:val="28"/>
          <w:highlight w:val="none"/>
        </w:rPr>
        <w:t>（供应商名称）的法定代表人（单位负责人），授权（供应商授权代表姓名、职务）代表本公司（工厂）参加</w:t>
      </w:r>
      <w:r>
        <w:rPr>
          <w:rFonts w:hint="eastAsia" w:hAnsi="宋体" w:cs="宋体"/>
          <w:b/>
          <w:sz w:val="24"/>
          <w:szCs w:val="28"/>
          <w:highlight w:val="none"/>
        </w:rPr>
        <w:t>（项目名称）</w:t>
      </w:r>
      <w:r>
        <w:rPr>
          <w:rFonts w:hint="eastAsia" w:hAnsi="宋体" w:cs="宋体"/>
          <w:bCs/>
          <w:sz w:val="24"/>
          <w:szCs w:val="28"/>
          <w:highlight w:val="none"/>
        </w:rPr>
        <w:t>采购活动（项目编号：</w:t>
      </w:r>
      <w:r>
        <w:rPr>
          <w:rFonts w:hint="eastAsia" w:hAnsi="宋体" w:cs="宋体"/>
          <w:bCs/>
          <w:sz w:val="24"/>
          <w:szCs w:val="28"/>
          <w:highlight w:val="none"/>
          <w:u w:val="single"/>
        </w:rPr>
        <w:t xml:space="preserve">    </w:t>
      </w:r>
      <w:r>
        <w:rPr>
          <w:rFonts w:hint="eastAsia" w:hAnsi="宋体" w:cs="宋体"/>
          <w:bCs/>
          <w:sz w:val="24"/>
          <w:szCs w:val="28"/>
          <w:highlight w:val="none"/>
        </w:rPr>
        <w:t>）</w:t>
      </w:r>
      <w:r>
        <w:rPr>
          <w:rFonts w:hint="eastAsia" w:hAnsi="宋体" w:cs="宋体"/>
          <w:sz w:val="24"/>
          <w:szCs w:val="28"/>
          <w:highlight w:val="none"/>
        </w:rPr>
        <w:t>，全权代表本公司（工厂）处理询比过程的一切事宜。委托事宜包括但不限于：提交响应文件，参与澄清、谈判、签约等。供应商授权代表在询比过程中所签署的一切文件和处理与之有关的一切事务，本公司均予以认可并对此承担责任。供应商授权代表无转委托权。特此授权。</w:t>
      </w:r>
    </w:p>
    <w:p w14:paraId="05EBC4B7">
      <w:pPr>
        <w:pStyle w:val="13"/>
        <w:shd w:val="clear"/>
        <w:snapToGrid w:val="0"/>
        <w:spacing w:line="360" w:lineRule="auto"/>
        <w:ind w:firstLine="480" w:firstLineChars="200"/>
        <w:jc w:val="left"/>
        <w:rPr>
          <w:rFonts w:hint="eastAsia" w:hAnsi="宋体" w:cs="宋体"/>
          <w:sz w:val="24"/>
          <w:szCs w:val="28"/>
          <w:highlight w:val="none"/>
        </w:rPr>
      </w:pPr>
      <w:r>
        <w:rPr>
          <w:rFonts w:hint="eastAsia" w:hAnsi="宋体" w:cs="宋体"/>
          <w:sz w:val="24"/>
          <w:szCs w:val="28"/>
          <w:highlight w:val="none"/>
        </w:rPr>
        <w:t>本授权书自出具之日起生效。</w:t>
      </w:r>
    </w:p>
    <w:p w14:paraId="40E6492B">
      <w:pPr>
        <w:shd w:val="clear"/>
        <w:spacing w:line="360" w:lineRule="auto"/>
        <w:rPr>
          <w:rFonts w:hint="eastAsia" w:ascii="宋体" w:hAnsi="宋体" w:cs="宋体"/>
          <w:sz w:val="24"/>
          <w:szCs w:val="28"/>
          <w:highlight w:val="none"/>
        </w:rPr>
      </w:pPr>
    </w:p>
    <w:p w14:paraId="5D91C24C">
      <w:pPr>
        <w:shd w:val="clear"/>
        <w:spacing w:line="360" w:lineRule="auto"/>
        <w:ind w:firstLine="645"/>
        <w:rPr>
          <w:rFonts w:hint="eastAsia" w:ascii="宋体" w:hAnsi="宋体" w:cs="宋体"/>
          <w:sz w:val="24"/>
          <w:szCs w:val="28"/>
          <w:highlight w:val="none"/>
        </w:rPr>
      </w:pPr>
      <w:r>
        <w:rPr>
          <w:rFonts w:hint="eastAsia" w:ascii="宋体" w:hAnsi="宋体" w:cs="宋体"/>
          <w:sz w:val="24"/>
          <w:szCs w:val="28"/>
          <w:highlight w:val="none"/>
        </w:rPr>
        <w:t>特此声明。</w:t>
      </w:r>
    </w:p>
    <w:p w14:paraId="3BD7C8FB">
      <w:pPr>
        <w:shd w:val="clear"/>
        <w:spacing w:line="360" w:lineRule="auto"/>
        <w:rPr>
          <w:rFonts w:hint="eastAsia" w:ascii="宋体" w:hAnsi="宋体" w:cs="宋体"/>
          <w:sz w:val="24"/>
          <w:szCs w:val="28"/>
          <w:highlight w:val="none"/>
        </w:rPr>
      </w:pPr>
      <w:r>
        <w:rPr>
          <w:rFonts w:ascii="宋体" w:hAnsi="宋体" w:cs="宋体"/>
          <w:b/>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911225</wp:posOffset>
                </wp:positionH>
                <wp:positionV relativeFrom="paragraph">
                  <wp:posOffset>127000</wp:posOffset>
                </wp:positionV>
                <wp:extent cx="1774190" cy="1122680"/>
                <wp:effectExtent l="4445" t="4445" r="12065" b="15875"/>
                <wp:wrapNone/>
                <wp:docPr id="24"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C715E49"/>
                          <w:p w14:paraId="043AECFE">
                            <w:pPr>
                              <w:spacing w:before="62" w:beforeLines="20" w:after="62" w:afterLines="20" w:line="540" w:lineRule="exact"/>
                            </w:pPr>
                            <w:r>
                              <w:rPr>
                                <w:rFonts w:hint="eastAsia"/>
                              </w:rPr>
                              <w:t>法定代表人（单位负责人）</w:t>
                            </w:r>
                          </w:p>
                          <w:p w14:paraId="63A270E9">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圆角矩形 10" o:spid="_x0000_s1026" o:spt="2" style="position:absolute;left:0pt;margin-left:71.75pt;margin-top:10pt;height:88.4pt;width:139.7pt;z-index:251660288;mso-width-relative:page;mso-height-relative:page;" fillcolor="#FFFFFF" filled="t" stroked="t" coordsize="21600,21600" arcsize="0.166666666666667" o:gfxdata="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mv6e3VAAAACgEAAA8AAAAAAAAAAQAgAAAAIgAAAGRycy9kb3ducmV2LnhtbFBLAQIUABQAAAAI&#10;AIdO4kDkVTxYYgIAALQEAAAOAAAAAAAAAAEAIAAAACQBAABkcnMvZTJvRG9jLnhtbFBLBQYAAAAA&#10;BgAGAFkBAAD4BQAAAAA=&#10;">
                <v:fill on="t" focussize="0,0"/>
                <v:stroke color="#000000" joinstyle="round"/>
                <v:imagedata o:title=""/>
                <o:lock v:ext="edit" aspectratio="f"/>
                <v:textbox>
                  <w:txbxContent>
                    <w:p w14:paraId="5C715E49"/>
                    <w:p w14:paraId="043AECFE">
                      <w:pPr>
                        <w:spacing w:before="62" w:beforeLines="20" w:after="62" w:afterLines="20" w:line="540" w:lineRule="exact"/>
                      </w:pPr>
                      <w:r>
                        <w:rPr>
                          <w:rFonts w:hint="eastAsia"/>
                        </w:rPr>
                        <w:t>法定代表人（单位负责人）</w:t>
                      </w:r>
                    </w:p>
                    <w:p w14:paraId="63A270E9">
                      <w:r>
                        <w:rPr>
                          <w:rFonts w:hint="eastAsia"/>
                        </w:rPr>
                        <w:t>身份证明复制件</w:t>
                      </w:r>
                    </w:p>
                  </w:txbxContent>
                </v:textbox>
              </v:roundrect>
            </w:pict>
          </mc:Fallback>
        </mc:AlternateContent>
      </w:r>
      <w:r>
        <w:rPr>
          <w:rFonts w:ascii="宋体" w:hAnsi="宋体" w:cs="宋体"/>
          <w:highlight w:val="none"/>
        </w:rPr>
        <mc:AlternateContent>
          <mc:Choice Requires="wps">
            <w:drawing>
              <wp:anchor distT="0" distB="0" distL="114300" distR="114300" simplePos="0" relativeHeight="251659264" behindDoc="0" locked="0" layoutInCell="1" allowOverlap="1">
                <wp:simplePos x="0" y="0"/>
                <wp:positionH relativeFrom="column">
                  <wp:posOffset>3681730</wp:posOffset>
                </wp:positionH>
                <wp:positionV relativeFrom="paragraph">
                  <wp:posOffset>122555</wp:posOffset>
                </wp:positionV>
                <wp:extent cx="1774190" cy="1127125"/>
                <wp:effectExtent l="4445" t="4445" r="12065" b="11430"/>
                <wp:wrapNone/>
                <wp:docPr id="23"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4E85B446"/>
                          <w:p w14:paraId="7A61B233">
                            <w:pPr>
                              <w:jc w:val="right"/>
                            </w:pPr>
                          </w:p>
                          <w:p w14:paraId="10FE4764">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圆角矩形 10" o:spid="_x0000_s1026" o:spt="2" style="position:absolute;left:0pt;margin-left:289.9pt;margin-top:9.65pt;height:88.75pt;width:139.7pt;z-index:251659264;mso-width-relative:page;mso-height-relative:page;" fillcolor="#FFFFFF" filled="t" stroked="t" coordsize="21600,21600" arcsize="0.166666666666667" o:gfxdata="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4HRcF1gAAAAoBAAAPAAAAAAAAAAEAIAAAACIAAABkcnMvZG93bnJldi54bWxQSwECFAAUAAAA&#10;CACHTuJAEjOWPWICAAC0BAAADgAAAAAAAAABACAAAAAlAQAAZHJzL2Uyb0RvYy54bWxQSwUGAAAA&#10;AAYABgBZAQAA+QUAAAAA&#10;">
                <v:fill on="t" focussize="0,0"/>
                <v:stroke color="#000000" joinstyle="round"/>
                <v:imagedata o:title=""/>
                <o:lock v:ext="edit" aspectratio="f"/>
                <v:textbox>
                  <w:txbxContent>
                    <w:p w14:paraId="4E85B446"/>
                    <w:p w14:paraId="7A61B233">
                      <w:pPr>
                        <w:jc w:val="right"/>
                      </w:pPr>
                    </w:p>
                    <w:p w14:paraId="10FE4764">
                      <w:r>
                        <w:rPr>
                          <w:rFonts w:hint="eastAsia"/>
                        </w:rPr>
                        <w:t>授权代表身份证明复制件</w:t>
                      </w:r>
                    </w:p>
                  </w:txbxContent>
                </v:textbox>
              </v:roundrect>
            </w:pict>
          </mc:Fallback>
        </mc:AlternateContent>
      </w:r>
    </w:p>
    <w:p w14:paraId="60462A2F">
      <w:pPr>
        <w:shd w:val="clear"/>
        <w:spacing w:before="62" w:beforeLines="20" w:after="62" w:afterLines="20" w:line="540" w:lineRule="exact"/>
        <w:rPr>
          <w:rFonts w:hint="eastAsia" w:ascii="宋体" w:hAnsi="宋体" w:cs="宋体"/>
          <w:highlight w:val="none"/>
        </w:rPr>
      </w:pPr>
    </w:p>
    <w:p w14:paraId="7ECD4794">
      <w:pPr>
        <w:shd w:val="clear"/>
        <w:spacing w:line="360" w:lineRule="auto"/>
        <w:rPr>
          <w:rFonts w:hint="eastAsia" w:ascii="宋体" w:hAnsi="宋体" w:cs="宋体"/>
          <w:sz w:val="24"/>
          <w:szCs w:val="28"/>
          <w:highlight w:val="none"/>
        </w:rPr>
      </w:pPr>
      <w:r>
        <w:rPr>
          <w:rFonts w:hint="eastAsia" w:ascii="宋体" w:hAnsi="宋体" w:cs="宋体"/>
          <w:sz w:val="24"/>
          <w:szCs w:val="28"/>
          <w:highlight w:val="none"/>
        </w:rPr>
        <w:t xml:space="preserve">   </w:t>
      </w:r>
    </w:p>
    <w:p w14:paraId="243FF84C">
      <w:pPr>
        <w:shd w:val="clear"/>
        <w:spacing w:line="360" w:lineRule="auto"/>
        <w:rPr>
          <w:rFonts w:hint="eastAsia" w:ascii="宋体" w:hAnsi="宋体" w:cs="宋体"/>
          <w:sz w:val="24"/>
          <w:szCs w:val="28"/>
          <w:highlight w:val="none"/>
        </w:rPr>
      </w:pPr>
    </w:p>
    <w:p w14:paraId="45253514">
      <w:pPr>
        <w:shd w:val="clear"/>
        <w:spacing w:line="360" w:lineRule="auto"/>
        <w:rPr>
          <w:rFonts w:hint="eastAsia" w:ascii="宋体" w:hAnsi="宋体" w:cs="宋体"/>
          <w:sz w:val="24"/>
          <w:szCs w:val="28"/>
          <w:highlight w:val="none"/>
        </w:rPr>
      </w:pPr>
    </w:p>
    <w:p w14:paraId="3F722651">
      <w:pPr>
        <w:shd w:val="clear"/>
        <w:spacing w:line="360" w:lineRule="auto"/>
        <w:rPr>
          <w:rFonts w:hint="eastAsia" w:ascii="宋体" w:hAnsi="宋体" w:cs="宋体"/>
          <w:sz w:val="24"/>
          <w:szCs w:val="28"/>
          <w:highlight w:val="none"/>
        </w:rPr>
      </w:pPr>
    </w:p>
    <w:p w14:paraId="1934DA67">
      <w:pPr>
        <w:shd w:val="clear"/>
        <w:spacing w:line="360" w:lineRule="auto"/>
        <w:jc w:val="center"/>
        <w:rPr>
          <w:rFonts w:hint="eastAsia" w:ascii="宋体" w:hAnsi="宋体" w:cs="宋体"/>
          <w:bCs/>
          <w:sz w:val="24"/>
          <w:szCs w:val="28"/>
          <w:highlight w:val="none"/>
          <w:u w:val="single"/>
        </w:rPr>
      </w:pPr>
      <w:r>
        <w:rPr>
          <w:rFonts w:hint="eastAsia" w:ascii="宋体" w:hAnsi="宋体" w:cs="宋体"/>
          <w:bCs/>
          <w:sz w:val="24"/>
          <w:szCs w:val="28"/>
          <w:highlight w:val="none"/>
        </w:rPr>
        <w:t xml:space="preserve">                                           供应商公章：</w:t>
      </w:r>
    </w:p>
    <w:p w14:paraId="1BAB6741">
      <w:pPr>
        <w:shd w:val="clear"/>
        <w:spacing w:line="360" w:lineRule="auto"/>
        <w:rPr>
          <w:rFonts w:hint="eastAsia" w:ascii="宋体" w:hAnsi="宋体" w:cs="宋体"/>
          <w:bCs/>
          <w:sz w:val="24"/>
          <w:szCs w:val="28"/>
          <w:highlight w:val="none"/>
          <w:u w:val="single"/>
        </w:rPr>
      </w:pPr>
    </w:p>
    <w:p w14:paraId="19A4E72E">
      <w:pPr>
        <w:shd w:val="clear"/>
        <w:spacing w:line="360" w:lineRule="auto"/>
        <w:jc w:val="right"/>
        <w:rPr>
          <w:rFonts w:hint="eastAsia" w:ascii="宋体" w:hAnsi="宋体" w:cs="宋体"/>
          <w:sz w:val="24"/>
          <w:szCs w:val="28"/>
          <w:highlight w:val="none"/>
        </w:rPr>
      </w:pPr>
      <w:r>
        <w:rPr>
          <w:rFonts w:hint="eastAsia" w:ascii="宋体" w:hAnsi="宋体" w:cs="宋体"/>
          <w:sz w:val="24"/>
          <w:szCs w:val="28"/>
          <w:highlight w:val="none"/>
        </w:rPr>
        <w:t>日     期：    年   月   日</w:t>
      </w:r>
    </w:p>
    <w:p w14:paraId="66459CE3">
      <w:pPr>
        <w:pStyle w:val="13"/>
        <w:shd w:val="clear"/>
        <w:snapToGrid w:val="0"/>
        <w:spacing w:line="360" w:lineRule="auto"/>
        <w:rPr>
          <w:rStyle w:val="32"/>
          <w:rFonts w:ascii="Times New Roman" w:hAnsi="Times New Roman"/>
          <w:highlight w:val="none"/>
        </w:rPr>
      </w:pPr>
    </w:p>
    <w:p w14:paraId="17A08DC1">
      <w:pPr>
        <w:pStyle w:val="13"/>
        <w:shd w:val="clear"/>
        <w:snapToGrid w:val="0"/>
        <w:spacing w:line="360" w:lineRule="auto"/>
        <w:rPr>
          <w:rStyle w:val="32"/>
          <w:rFonts w:ascii="Times New Roman" w:hAnsi="Times New Roman"/>
          <w:highlight w:val="none"/>
        </w:rPr>
      </w:pPr>
    </w:p>
    <w:p w14:paraId="056ADE10">
      <w:pPr>
        <w:pStyle w:val="13"/>
        <w:shd w:val="clear"/>
        <w:snapToGrid w:val="0"/>
        <w:spacing w:line="360" w:lineRule="auto"/>
        <w:rPr>
          <w:rStyle w:val="32"/>
          <w:rFonts w:ascii="Times New Roman" w:hAnsi="Times New Roman"/>
          <w:highlight w:val="none"/>
        </w:rPr>
      </w:pPr>
    </w:p>
    <w:p w14:paraId="6FD5C115">
      <w:pPr>
        <w:pStyle w:val="13"/>
        <w:shd w:val="clear"/>
        <w:snapToGrid w:val="0"/>
        <w:spacing w:line="360" w:lineRule="auto"/>
        <w:rPr>
          <w:rFonts w:hint="eastAsia" w:hAnsi="宋体" w:cs="宋体"/>
          <w:sz w:val="24"/>
          <w:szCs w:val="24"/>
          <w:highlight w:val="none"/>
        </w:rPr>
      </w:pPr>
      <w:r>
        <w:rPr>
          <w:rStyle w:val="32"/>
          <w:rFonts w:hint="eastAsia" w:ascii="Times New Roman" w:hAnsi="Times New Roman"/>
          <w:highlight w:val="none"/>
        </w:rPr>
        <w:t>备</w:t>
      </w:r>
      <w:r>
        <w:rPr>
          <w:rFonts w:hint="eastAsia" w:hAnsi="宋体" w:cs="宋体"/>
          <w:sz w:val="24"/>
          <w:szCs w:val="24"/>
          <w:highlight w:val="none"/>
        </w:rPr>
        <w:t xml:space="preserve">注： </w:t>
      </w:r>
    </w:p>
    <w:p w14:paraId="765D4873">
      <w:pPr>
        <w:pStyle w:val="13"/>
        <w:shd w:val="clear"/>
        <w:snapToGrid w:val="0"/>
        <w:spacing w:line="360" w:lineRule="auto"/>
        <w:rPr>
          <w:rFonts w:hint="eastAsia" w:hAnsi="宋体" w:cs="宋体"/>
          <w:sz w:val="24"/>
          <w:szCs w:val="24"/>
          <w:highlight w:val="none"/>
        </w:rPr>
      </w:pPr>
      <w:r>
        <w:rPr>
          <w:rFonts w:hint="eastAsia" w:hAnsi="宋体" w:cs="宋体"/>
          <w:sz w:val="24"/>
          <w:szCs w:val="24"/>
          <w:highlight w:val="none"/>
        </w:rPr>
        <w:t xml:space="preserve">1. 本项目只允许有唯一的供应商授权代表，并提供身份证明复制件。 </w:t>
      </w:r>
    </w:p>
    <w:p w14:paraId="73B14D80">
      <w:pPr>
        <w:pStyle w:val="13"/>
        <w:shd w:val="clear"/>
        <w:snapToGrid w:val="0"/>
        <w:spacing w:line="360" w:lineRule="auto"/>
        <w:rPr>
          <w:rFonts w:hint="eastAsia" w:hAnsi="宋体" w:cs="宋体"/>
          <w:sz w:val="24"/>
          <w:szCs w:val="24"/>
          <w:highlight w:val="none"/>
        </w:rPr>
      </w:pPr>
      <w:r>
        <w:rPr>
          <w:rFonts w:hint="eastAsia" w:hAnsi="宋体" w:cs="宋体"/>
          <w:sz w:val="24"/>
          <w:szCs w:val="24"/>
          <w:highlight w:val="none"/>
        </w:rPr>
        <w:t>2. 法定代表人（单位负责人）参加询比采购活动的，无需授权书，需提供身份证明复制件。</w:t>
      </w:r>
    </w:p>
    <w:p w14:paraId="73F70CBA">
      <w:pPr>
        <w:shd w:val="clear"/>
        <w:spacing w:line="360" w:lineRule="auto"/>
        <w:jc w:val="center"/>
        <w:rPr>
          <w:rFonts w:hint="eastAsia" w:ascii="宋体" w:hAnsi="宋体" w:cs="宋体"/>
          <w:b/>
          <w:highlight w:val="none"/>
        </w:rPr>
      </w:pPr>
      <w:r>
        <w:rPr>
          <w:rFonts w:hint="eastAsia" w:ascii="宋体" w:hAnsi="宋体" w:cs="宋体"/>
          <w:b/>
          <w:bCs/>
          <w:sz w:val="28"/>
          <w:highlight w:val="none"/>
        </w:rPr>
        <w:br w:type="page"/>
      </w:r>
      <w:r>
        <w:rPr>
          <w:rFonts w:hint="eastAsia" w:ascii="宋体" w:hAnsi="宋体" w:cs="宋体"/>
          <w:b/>
          <w:bCs/>
          <w:sz w:val="28"/>
          <w:highlight w:val="none"/>
        </w:rPr>
        <w:t>七</w:t>
      </w:r>
      <w:r>
        <w:rPr>
          <w:rFonts w:hint="eastAsia" w:ascii="宋体" w:hAnsi="宋体" w:cs="宋体"/>
          <w:b/>
          <w:bCs/>
          <w:sz w:val="28"/>
          <w:szCs w:val="28"/>
          <w:highlight w:val="none"/>
        </w:rPr>
        <w:t>、法定代表人（单位负责人）身份证明</w:t>
      </w:r>
    </w:p>
    <w:p w14:paraId="67B024B1">
      <w:pPr>
        <w:shd w:val="clear"/>
        <w:spacing w:before="62" w:beforeLines="20" w:after="62" w:afterLines="20" w:line="540" w:lineRule="exact"/>
        <w:ind w:firstLine="610"/>
        <w:rPr>
          <w:rFonts w:hint="eastAsia" w:ascii="宋体" w:hAnsi="宋体" w:cs="宋体"/>
          <w:sz w:val="24"/>
          <w:szCs w:val="28"/>
          <w:highlight w:val="none"/>
        </w:rPr>
      </w:pPr>
      <w:r>
        <w:rPr>
          <w:rFonts w:hint="eastAsia" w:ascii="宋体" w:hAnsi="宋体" w:cs="宋体"/>
          <w:sz w:val="24"/>
          <w:szCs w:val="28"/>
          <w:highlight w:val="none"/>
        </w:rPr>
        <w:t>单位名称：</w:t>
      </w:r>
    </w:p>
    <w:p w14:paraId="6B7C9482">
      <w:pPr>
        <w:shd w:val="clear"/>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单位性质：</w:t>
      </w:r>
    </w:p>
    <w:p w14:paraId="255A22E2">
      <w:pPr>
        <w:shd w:val="clear"/>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p>
    <w:p w14:paraId="0DF9020F">
      <w:pPr>
        <w:shd w:val="clear"/>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成立时间： 年 月 日</w:t>
      </w:r>
    </w:p>
    <w:p w14:paraId="24D0B7A4">
      <w:pPr>
        <w:shd w:val="clear"/>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经营期限：</w:t>
      </w:r>
      <w:r>
        <w:rPr>
          <w:rFonts w:hint="eastAsia" w:ascii="宋体" w:hAnsi="宋体" w:cs="宋体"/>
          <w:sz w:val="24"/>
          <w:highlight w:val="none"/>
        </w:rPr>
        <w:tab/>
      </w:r>
    </w:p>
    <w:p w14:paraId="7621DF46">
      <w:pPr>
        <w:shd w:val="clear"/>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姓    名：   性别：</w:t>
      </w:r>
    </w:p>
    <w:p w14:paraId="0C7F7253">
      <w:pPr>
        <w:shd w:val="clear"/>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年    龄：   职务：</w:t>
      </w:r>
      <w:r>
        <w:rPr>
          <w:rFonts w:hint="eastAsia" w:ascii="宋体" w:hAnsi="宋体" w:cs="宋体"/>
          <w:sz w:val="24"/>
          <w:highlight w:val="none"/>
          <w:u w:val="single"/>
        </w:rPr>
        <w:tab/>
      </w:r>
    </w:p>
    <w:p w14:paraId="1051913A">
      <w:pPr>
        <w:shd w:val="clear"/>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 xml:space="preserve">系  </w:t>
      </w:r>
      <w:r>
        <w:rPr>
          <w:rFonts w:hint="eastAsia" w:ascii="宋体" w:hAnsi="宋体" w:cs="宋体"/>
          <w:sz w:val="24"/>
          <w:highlight w:val="none"/>
          <w:u w:val="single"/>
        </w:rPr>
        <w:t xml:space="preserve">        （供应商单位名称）        </w:t>
      </w:r>
      <w:r>
        <w:rPr>
          <w:rFonts w:hint="eastAsia" w:ascii="宋体" w:hAnsi="宋体" w:cs="宋体"/>
          <w:sz w:val="24"/>
          <w:highlight w:val="none"/>
        </w:rPr>
        <w:t xml:space="preserve"> 的法定代表人（单位负责人）。</w:t>
      </w:r>
    </w:p>
    <w:p w14:paraId="243D24F4">
      <w:pPr>
        <w:shd w:val="clear"/>
        <w:spacing w:before="62" w:beforeLines="20" w:after="62" w:afterLines="20" w:line="540" w:lineRule="exact"/>
        <w:ind w:firstLine="610"/>
        <w:rPr>
          <w:rFonts w:hint="eastAsia" w:ascii="宋体" w:hAnsi="宋体" w:cs="宋体"/>
          <w:highlight w:val="none"/>
        </w:rPr>
      </w:pPr>
    </w:p>
    <w:p w14:paraId="58BF7809">
      <w:pPr>
        <w:pStyle w:val="11"/>
        <w:shd w:val="clear"/>
        <w:spacing w:before="62" w:beforeLines="20" w:after="62" w:afterLines="20" w:line="540" w:lineRule="exact"/>
        <w:ind w:firstLine="240" w:firstLineChars="100"/>
        <w:rPr>
          <w:rFonts w:hint="eastAsia" w:ascii="宋体" w:hAnsi="宋体" w:cs="宋体"/>
          <w:sz w:val="24"/>
          <w:highlight w:val="none"/>
        </w:rPr>
      </w:pPr>
      <w:r>
        <w:rPr>
          <w:rFonts w:hint="eastAsia" w:ascii="宋体" w:hAnsi="宋体" w:cs="宋体"/>
          <w:sz w:val="24"/>
          <w:highlight w:val="none"/>
        </w:rPr>
        <w:t>特此证明。</w:t>
      </w:r>
    </w:p>
    <w:p w14:paraId="446CD17A">
      <w:pPr>
        <w:shd w:val="clear"/>
        <w:tabs>
          <w:tab w:val="left" w:pos="720"/>
          <w:tab w:val="left" w:pos="900"/>
        </w:tabs>
        <w:spacing w:before="62" w:beforeLines="20" w:after="62" w:afterLines="20" w:line="540" w:lineRule="exact"/>
        <w:ind w:firstLine="4560" w:firstLineChars="1900"/>
        <w:rPr>
          <w:rFonts w:hint="eastAsia" w:ascii="宋体" w:hAnsi="宋体" w:cs="宋体"/>
          <w:sz w:val="24"/>
          <w:highlight w:val="none"/>
        </w:rPr>
      </w:pP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1478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4794" w:type="dxa"/>
            <w:vAlign w:val="center"/>
          </w:tcPr>
          <w:p w14:paraId="1DAD17DA">
            <w:pPr>
              <w:shd w:val="clear"/>
              <w:spacing w:before="62" w:beforeLines="20" w:after="62" w:afterLines="20" w:line="540" w:lineRule="exact"/>
              <w:jc w:val="center"/>
              <w:rPr>
                <w:rFonts w:hint="eastAsia" w:ascii="宋体" w:hAnsi="宋体" w:cs="宋体"/>
                <w:highlight w:val="none"/>
              </w:rPr>
            </w:pPr>
            <w:r>
              <w:rPr>
                <w:rFonts w:hint="eastAsia" w:ascii="宋体" w:hAnsi="宋体" w:cs="宋体"/>
                <w:highlight w:val="none"/>
              </w:rPr>
              <w:t>法定代表人（单位负责人）身份证明复制件</w:t>
            </w:r>
          </w:p>
        </w:tc>
      </w:tr>
    </w:tbl>
    <w:p w14:paraId="7B65B461">
      <w:pPr>
        <w:shd w:val="clear"/>
        <w:tabs>
          <w:tab w:val="left" w:pos="720"/>
          <w:tab w:val="left" w:pos="900"/>
        </w:tabs>
        <w:spacing w:before="62" w:beforeLines="20" w:after="62" w:afterLines="20" w:line="540" w:lineRule="exact"/>
        <w:ind w:firstLine="4920" w:firstLineChars="2050"/>
        <w:rPr>
          <w:rFonts w:hint="eastAsia" w:ascii="宋体" w:hAnsi="宋体" w:cs="宋体"/>
          <w:sz w:val="24"/>
          <w:highlight w:val="none"/>
        </w:rPr>
      </w:pPr>
    </w:p>
    <w:p w14:paraId="07C5E6ED">
      <w:pPr>
        <w:shd w:val="clear"/>
        <w:tabs>
          <w:tab w:val="left" w:pos="720"/>
          <w:tab w:val="left" w:pos="900"/>
        </w:tabs>
        <w:spacing w:before="62" w:beforeLines="20" w:after="62" w:afterLines="20" w:line="540" w:lineRule="exact"/>
        <w:ind w:firstLine="4920" w:firstLineChars="2050"/>
        <w:rPr>
          <w:rFonts w:hint="eastAsia" w:ascii="宋体" w:hAnsi="宋体" w:cs="宋体"/>
          <w:sz w:val="24"/>
          <w:highlight w:val="none"/>
        </w:rPr>
      </w:pPr>
    </w:p>
    <w:p w14:paraId="4E38C4F9">
      <w:pPr>
        <w:shd w:val="clear"/>
        <w:tabs>
          <w:tab w:val="left" w:pos="720"/>
          <w:tab w:val="left" w:pos="900"/>
        </w:tabs>
        <w:spacing w:before="62" w:beforeLines="20" w:after="62" w:afterLines="20" w:line="540" w:lineRule="exact"/>
        <w:ind w:firstLine="4920" w:firstLineChars="2050"/>
        <w:rPr>
          <w:rFonts w:hint="eastAsia" w:ascii="宋体" w:hAnsi="宋体" w:cs="宋体"/>
          <w:sz w:val="24"/>
          <w:highlight w:val="none"/>
        </w:rPr>
      </w:pPr>
      <w:r>
        <w:rPr>
          <w:rFonts w:hint="eastAsia" w:ascii="宋体" w:hAnsi="宋体" w:cs="宋体"/>
          <w:sz w:val="24"/>
          <w:highlight w:val="none"/>
        </w:rPr>
        <w:t>供应商：</w:t>
      </w:r>
      <w:r>
        <w:rPr>
          <w:rFonts w:hint="eastAsia" w:ascii="宋体" w:hAnsi="宋体" w:cs="宋体"/>
          <w:sz w:val="24"/>
          <w:highlight w:val="none"/>
          <w:u w:val="single"/>
        </w:rPr>
        <w:t xml:space="preserve">         （单位公章）</w:t>
      </w:r>
    </w:p>
    <w:p w14:paraId="72E96B1B">
      <w:pPr>
        <w:shd w:val="clear"/>
        <w:spacing w:before="62" w:beforeLines="20" w:after="62" w:afterLines="20" w:line="540" w:lineRule="exact"/>
        <w:ind w:firstLine="4920" w:firstLineChars="2050"/>
        <w:rPr>
          <w:rFonts w:hint="eastAsia" w:ascii="宋体" w:hAnsi="宋体" w:cs="宋体"/>
          <w:b/>
          <w:sz w:val="32"/>
          <w:highlight w:val="none"/>
        </w:rPr>
      </w:pPr>
      <w:r>
        <w:rPr>
          <w:rFonts w:hint="eastAsia" w:ascii="宋体" w:hAnsi="宋体" w:cs="宋体"/>
          <w:sz w:val="24"/>
          <w:highlight w:val="none"/>
        </w:rPr>
        <w:t>日  期：   年  月  日</w:t>
      </w:r>
    </w:p>
    <w:p w14:paraId="7FBEE52A">
      <w:pPr>
        <w:shd w:val="clear"/>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rPr>
        <w:br w:type="page"/>
      </w:r>
      <w:r>
        <w:rPr>
          <w:rFonts w:hint="eastAsia" w:ascii="宋体" w:hAnsi="宋体" w:cs="宋体"/>
          <w:b/>
          <w:bCs/>
          <w:sz w:val="28"/>
          <w:szCs w:val="28"/>
          <w:highlight w:val="none"/>
        </w:rPr>
        <w:t>八、无重大违法记录等情形声明函</w:t>
      </w:r>
    </w:p>
    <w:p w14:paraId="596A6DEC">
      <w:pPr>
        <w:shd w:val="clear"/>
        <w:spacing w:line="360" w:lineRule="auto"/>
        <w:ind w:firstLine="480" w:firstLineChars="200"/>
        <w:rPr>
          <w:rFonts w:hint="eastAsia" w:ascii="宋体" w:hAnsi="宋体" w:cs="宋体"/>
          <w:kern w:val="0"/>
          <w:sz w:val="24"/>
          <w:highlight w:val="none"/>
        </w:rPr>
      </w:pPr>
    </w:p>
    <w:p w14:paraId="6307E5B4">
      <w:pPr>
        <w:shd w:val="clea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本单位郑重声明，根据询比采购活动的规定，本单位无以下规定的被限制性情形：</w:t>
      </w:r>
    </w:p>
    <w:p w14:paraId="4104049B">
      <w:pPr>
        <w:pStyle w:val="9"/>
        <w:shd w:val="clear"/>
        <w:spacing w:line="360" w:lineRule="auto"/>
        <w:ind w:firstLine="480" w:firstLineChars="200"/>
        <w:rPr>
          <w:rFonts w:hint="eastAsia"/>
          <w:sz w:val="24"/>
          <w:highlight w:val="none"/>
        </w:rPr>
      </w:pPr>
      <w:r>
        <w:rPr>
          <w:sz w:val="24"/>
          <w:highlight w:val="none"/>
        </w:rPr>
        <w:t>（1）</w:t>
      </w:r>
      <w:r>
        <w:rPr>
          <w:rFonts w:hint="eastAsia"/>
          <w:sz w:val="24"/>
          <w:highlight w:val="none"/>
          <w:lang w:eastAsia="zh-CN"/>
        </w:rPr>
        <w:t>供应商被税务部门列入重大税收违法案件当事人名单的</w:t>
      </w:r>
      <w:r>
        <w:rPr>
          <w:rFonts w:hint="eastAsia"/>
          <w:sz w:val="24"/>
          <w:highlight w:val="none"/>
        </w:rPr>
        <w:t>（以“信用中国”网站（www.creditchina.gov.cn）查询结果为准）</w:t>
      </w:r>
      <w:r>
        <w:rPr>
          <w:sz w:val="24"/>
          <w:highlight w:val="none"/>
        </w:rPr>
        <w:t>；</w:t>
      </w:r>
    </w:p>
    <w:p w14:paraId="52317C75">
      <w:pPr>
        <w:pStyle w:val="9"/>
        <w:shd w:val="clear"/>
        <w:spacing w:line="360" w:lineRule="auto"/>
        <w:ind w:firstLine="480" w:firstLineChars="200"/>
        <w:rPr>
          <w:rFonts w:hint="eastAsia"/>
          <w:sz w:val="24"/>
          <w:highlight w:val="none"/>
          <w:lang w:eastAsia="zh-CN"/>
        </w:rPr>
      </w:pPr>
      <w:r>
        <w:rPr>
          <w:sz w:val="24"/>
          <w:highlight w:val="none"/>
          <w:lang w:eastAsia="zh-CN"/>
        </w:rPr>
        <w:t>（</w:t>
      </w:r>
      <w:r>
        <w:rPr>
          <w:rFonts w:hint="eastAsia"/>
          <w:sz w:val="24"/>
          <w:highlight w:val="none"/>
          <w:lang w:eastAsia="zh-CN"/>
        </w:rPr>
        <w:t>2</w:t>
      </w:r>
      <w:r>
        <w:rPr>
          <w:sz w:val="24"/>
          <w:highlight w:val="none"/>
          <w:lang w:eastAsia="zh-CN"/>
        </w:rPr>
        <w:t>）被最高人民法院在“信用中国”网站（</w:t>
      </w:r>
      <w:r>
        <w:rPr>
          <w:highlight w:val="none"/>
        </w:rPr>
        <w:fldChar w:fldCharType="begin"/>
      </w:r>
      <w:r>
        <w:rPr>
          <w:highlight w:val="none"/>
        </w:rPr>
        <w:instrText xml:space="preserve"> HYPERLINK "http://www.creditchina.gov.cn/" \h </w:instrText>
      </w:r>
      <w:r>
        <w:rPr>
          <w:highlight w:val="none"/>
        </w:rPr>
        <w:fldChar w:fldCharType="separate"/>
      </w:r>
      <w:r>
        <w:rPr>
          <w:sz w:val="24"/>
          <w:highlight w:val="none"/>
          <w:lang w:eastAsia="zh-CN"/>
        </w:rPr>
        <w:t>www.creditchina.gov.cn</w:t>
      </w:r>
      <w:r>
        <w:rPr>
          <w:sz w:val="24"/>
          <w:highlight w:val="none"/>
          <w:lang w:eastAsia="zh-CN"/>
        </w:rPr>
        <w:fldChar w:fldCharType="end"/>
      </w:r>
      <w:r>
        <w:rPr>
          <w:sz w:val="24"/>
          <w:highlight w:val="none"/>
          <w:lang w:eastAsia="zh-CN"/>
        </w:rPr>
        <w:t>）或各级信用信息共享平台中列入失信被执行人名单；</w:t>
      </w:r>
    </w:p>
    <w:p w14:paraId="4F807FA7">
      <w:pPr>
        <w:shd w:val="clea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（3）《供应商须知》规定的被限制参与采购活动情形。</w:t>
      </w:r>
    </w:p>
    <w:p w14:paraId="0FADF9C5">
      <w:pPr>
        <w:pStyle w:val="9"/>
        <w:shd w:val="clear"/>
        <w:tabs>
          <w:tab w:val="left" w:pos="2812"/>
          <w:tab w:val="left" w:pos="4300"/>
        </w:tabs>
        <w:spacing w:line="360" w:lineRule="auto"/>
        <w:ind w:left="101" w:leftChars="48" w:right="161" w:firstLine="480" w:firstLineChars="200"/>
        <w:rPr>
          <w:rFonts w:hint="eastAsia"/>
          <w:sz w:val="24"/>
          <w:highlight w:val="none"/>
          <w:lang w:eastAsia="zh-CN"/>
        </w:rPr>
      </w:pPr>
      <w:r>
        <w:rPr>
          <w:rFonts w:hint="eastAsia"/>
          <w:sz w:val="24"/>
          <w:highlight w:val="none"/>
          <w:lang w:eastAsia="zh-CN"/>
        </w:rPr>
        <w:t>组建联合体参选的，保证联合体各成员均无上述被限制性情形（如本项目接受联合体参选的话）。</w:t>
      </w:r>
    </w:p>
    <w:p w14:paraId="2053B4B7">
      <w:pPr>
        <w:shd w:val="clea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 xml:space="preserve">我单位已就上述各被限制性情形，按照上述规定进行了查询及确认。我单位承诺：合同签订前，若我单位具有上述情形，贵方可取消我单位成交资格或者不授予合同，所有责任由我单位自行承担。同时，我单位愿意无条件接受监管部门的调查处理。 </w:t>
      </w:r>
    </w:p>
    <w:p w14:paraId="46488228">
      <w:pPr>
        <w:shd w:val="clea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我单位对上述声明的真实性负责。如有虚假，将依法承担相应责任。</w:t>
      </w:r>
    </w:p>
    <w:p w14:paraId="66B622C7">
      <w:pPr>
        <w:pStyle w:val="14"/>
        <w:shd w:val="clear"/>
        <w:spacing w:line="360" w:lineRule="auto"/>
        <w:ind w:left="5250" w:right="960" w:firstLine="480" w:firstLineChars="200"/>
        <w:jc w:val="center"/>
        <w:rPr>
          <w:rFonts w:hint="eastAsia" w:ascii="宋体" w:hAnsi="宋体" w:cs="宋体"/>
          <w:kern w:val="0"/>
          <w:sz w:val="24"/>
          <w:szCs w:val="24"/>
          <w:highlight w:val="none"/>
        </w:rPr>
      </w:pPr>
    </w:p>
    <w:p w14:paraId="74611BDC">
      <w:pPr>
        <w:pStyle w:val="9"/>
        <w:shd w:val="clear"/>
        <w:tabs>
          <w:tab w:val="left" w:pos="7122"/>
        </w:tabs>
        <w:spacing w:line="360" w:lineRule="auto"/>
        <w:ind w:left="2413" w:leftChars="1149" w:right="21" w:firstLine="720" w:firstLineChars="300"/>
        <w:jc w:val="right"/>
        <w:rPr>
          <w:rFonts w:hint="eastAsia"/>
          <w:kern w:val="0"/>
          <w:sz w:val="24"/>
          <w:szCs w:val="24"/>
          <w:highlight w:val="none"/>
          <w:lang w:eastAsia="zh-CN"/>
        </w:rPr>
      </w:pPr>
      <w:r>
        <w:rPr>
          <w:rFonts w:hint="eastAsia"/>
          <w:kern w:val="0"/>
          <w:sz w:val="24"/>
          <w:szCs w:val="24"/>
          <w:highlight w:val="none"/>
          <w:lang w:eastAsia="zh-CN"/>
        </w:rPr>
        <w:t xml:space="preserve">            </w:t>
      </w:r>
    </w:p>
    <w:p w14:paraId="4C76B285">
      <w:pPr>
        <w:pStyle w:val="9"/>
        <w:shd w:val="clear"/>
        <w:tabs>
          <w:tab w:val="left" w:pos="7122"/>
        </w:tabs>
        <w:spacing w:line="360" w:lineRule="auto"/>
        <w:ind w:left="2413" w:leftChars="1149" w:right="21" w:firstLine="720" w:firstLineChars="300"/>
        <w:jc w:val="right"/>
        <w:rPr>
          <w:rFonts w:hint="eastAsia"/>
          <w:sz w:val="24"/>
          <w:highlight w:val="none"/>
          <w:lang w:eastAsia="zh-CN"/>
        </w:rPr>
      </w:pPr>
      <w:r>
        <w:rPr>
          <w:rFonts w:hint="eastAsia"/>
          <w:kern w:val="0"/>
          <w:sz w:val="24"/>
          <w:szCs w:val="24"/>
          <w:highlight w:val="none"/>
          <w:lang w:eastAsia="zh-CN"/>
        </w:rPr>
        <w:t xml:space="preserve">         供应商 （单位公章）：</w:t>
      </w:r>
      <w:r>
        <w:rPr>
          <w:sz w:val="24"/>
          <w:highlight w:val="none"/>
          <w:lang w:eastAsia="zh-CN"/>
        </w:rPr>
        <w:tab/>
      </w:r>
    </w:p>
    <w:p w14:paraId="00AB6BDE">
      <w:pPr>
        <w:pStyle w:val="9"/>
        <w:shd w:val="clear"/>
        <w:spacing w:line="360" w:lineRule="auto"/>
        <w:ind w:firstLine="480" w:firstLineChars="200"/>
        <w:rPr>
          <w:rFonts w:hint="eastAsia"/>
          <w:sz w:val="24"/>
          <w:highlight w:val="none"/>
          <w:lang w:eastAsia="zh-CN"/>
        </w:rPr>
      </w:pPr>
    </w:p>
    <w:p w14:paraId="4B55C511">
      <w:pPr>
        <w:pStyle w:val="3"/>
        <w:shd w:val="clear"/>
        <w:ind w:firstLine="5280" w:firstLineChars="220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年   月   日</w:t>
      </w:r>
    </w:p>
    <w:p w14:paraId="3475F777">
      <w:pPr>
        <w:pStyle w:val="5"/>
        <w:shd w:val="clear"/>
        <w:spacing w:before="0" w:beforeAutospacing="0" w:after="0" w:afterAutospacing="0" w:line="360" w:lineRule="auto"/>
        <w:jc w:val="center"/>
        <w:rPr>
          <w:rFonts w:cs="宋体"/>
          <w:kern w:val="2"/>
          <w:sz w:val="28"/>
          <w:szCs w:val="28"/>
          <w:highlight w:val="none"/>
        </w:rPr>
      </w:pPr>
      <w:r>
        <w:rPr>
          <w:rFonts w:cs="宋体"/>
          <w:bCs/>
          <w:sz w:val="28"/>
          <w:szCs w:val="28"/>
          <w:highlight w:val="none"/>
        </w:rPr>
        <w:br w:type="page"/>
      </w:r>
      <w:r>
        <w:rPr>
          <w:sz w:val="28"/>
          <w:szCs w:val="28"/>
          <w:highlight w:val="none"/>
        </w:rPr>
        <w:t>九、</w:t>
      </w:r>
      <w:r>
        <w:rPr>
          <w:rFonts w:cs="宋体"/>
          <w:kern w:val="2"/>
          <w:sz w:val="28"/>
          <w:szCs w:val="28"/>
          <w:highlight w:val="none"/>
        </w:rPr>
        <w:t>拟投入本项目的人员情况</w:t>
      </w:r>
    </w:p>
    <w:p w14:paraId="2CA370D1">
      <w:pPr>
        <w:pStyle w:val="6"/>
        <w:shd w:val="clear"/>
        <w:jc w:val="center"/>
        <w:rPr>
          <w:rFonts w:hint="eastAsia" w:ascii="宋体" w:hAnsi="宋体" w:cs="宋体"/>
          <w:szCs w:val="21"/>
          <w:highlight w:val="none"/>
        </w:rPr>
      </w:pPr>
      <w:r>
        <w:rPr>
          <w:rFonts w:hint="eastAsia" w:ascii="宋体" w:hAnsi="宋体" w:cs="宋体"/>
          <w:highlight w:val="none"/>
        </w:rPr>
        <w:t>（一）项目管理机构组成表</w:t>
      </w:r>
    </w:p>
    <w:tbl>
      <w:tblPr>
        <w:tblStyle w:val="27"/>
        <w:tblW w:w="97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1"/>
        <w:gridCol w:w="831"/>
        <w:gridCol w:w="845"/>
        <w:gridCol w:w="1203"/>
        <w:gridCol w:w="900"/>
        <w:gridCol w:w="1080"/>
        <w:gridCol w:w="1286"/>
        <w:gridCol w:w="1328"/>
        <w:gridCol w:w="1546"/>
      </w:tblGrid>
      <w:tr w14:paraId="069C9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vMerge w:val="restart"/>
            <w:tcBorders>
              <w:tl2br w:val="nil"/>
              <w:tr2bl w:val="nil"/>
            </w:tcBorders>
            <w:vAlign w:val="center"/>
          </w:tcPr>
          <w:p w14:paraId="152BBA93">
            <w:pPr>
              <w:shd w:val="clear"/>
              <w:jc w:val="center"/>
              <w:rPr>
                <w:rFonts w:hint="eastAsia" w:ascii="宋体" w:hAnsi="宋体" w:cs="宋体"/>
                <w:szCs w:val="21"/>
                <w:highlight w:val="none"/>
              </w:rPr>
            </w:pPr>
            <w:r>
              <w:rPr>
                <w:rFonts w:hint="eastAsia" w:ascii="宋体" w:hAnsi="宋体" w:cs="宋体"/>
                <w:szCs w:val="21"/>
                <w:highlight w:val="none"/>
              </w:rPr>
              <w:t>职务</w:t>
            </w:r>
          </w:p>
        </w:tc>
        <w:tc>
          <w:tcPr>
            <w:tcW w:w="831" w:type="dxa"/>
            <w:vMerge w:val="restart"/>
            <w:tcBorders>
              <w:tl2br w:val="nil"/>
              <w:tr2bl w:val="nil"/>
            </w:tcBorders>
            <w:vAlign w:val="center"/>
          </w:tcPr>
          <w:p w14:paraId="49A1592B">
            <w:pPr>
              <w:shd w:val="clear"/>
              <w:jc w:val="center"/>
              <w:rPr>
                <w:rFonts w:hint="eastAsia" w:ascii="宋体" w:hAnsi="宋体" w:cs="宋体"/>
                <w:szCs w:val="21"/>
                <w:highlight w:val="none"/>
              </w:rPr>
            </w:pPr>
            <w:r>
              <w:rPr>
                <w:rFonts w:hint="eastAsia" w:ascii="宋体" w:hAnsi="宋体" w:cs="宋体"/>
                <w:szCs w:val="21"/>
                <w:highlight w:val="none"/>
              </w:rPr>
              <w:t>姓名</w:t>
            </w:r>
          </w:p>
        </w:tc>
        <w:tc>
          <w:tcPr>
            <w:tcW w:w="845" w:type="dxa"/>
            <w:vMerge w:val="restart"/>
            <w:tcBorders>
              <w:tl2br w:val="nil"/>
              <w:tr2bl w:val="nil"/>
            </w:tcBorders>
            <w:vAlign w:val="center"/>
          </w:tcPr>
          <w:p w14:paraId="4DE69033">
            <w:pPr>
              <w:shd w:val="clear"/>
              <w:jc w:val="center"/>
              <w:rPr>
                <w:rFonts w:hint="eastAsia" w:ascii="宋体" w:hAnsi="宋体" w:cs="宋体"/>
                <w:szCs w:val="21"/>
                <w:highlight w:val="none"/>
              </w:rPr>
            </w:pPr>
            <w:r>
              <w:rPr>
                <w:rFonts w:hint="eastAsia" w:ascii="宋体" w:hAnsi="宋体" w:cs="宋体"/>
                <w:szCs w:val="21"/>
                <w:highlight w:val="none"/>
              </w:rPr>
              <w:t>职称</w:t>
            </w:r>
          </w:p>
        </w:tc>
        <w:tc>
          <w:tcPr>
            <w:tcW w:w="5797" w:type="dxa"/>
            <w:gridSpan w:val="5"/>
            <w:tcBorders>
              <w:tl2br w:val="nil"/>
              <w:tr2bl w:val="nil"/>
            </w:tcBorders>
            <w:vAlign w:val="center"/>
          </w:tcPr>
          <w:p w14:paraId="2136DC9B">
            <w:pPr>
              <w:shd w:val="clear"/>
              <w:jc w:val="center"/>
              <w:rPr>
                <w:rFonts w:hint="eastAsia" w:ascii="宋体" w:hAnsi="宋体" w:cs="宋体"/>
                <w:szCs w:val="21"/>
                <w:highlight w:val="none"/>
              </w:rPr>
            </w:pPr>
            <w:r>
              <w:rPr>
                <w:rFonts w:hint="eastAsia" w:ascii="宋体" w:hAnsi="宋体" w:cs="宋体"/>
                <w:szCs w:val="21"/>
                <w:highlight w:val="none"/>
              </w:rPr>
              <w:t>执业或职业资格证明</w:t>
            </w:r>
          </w:p>
        </w:tc>
        <w:tc>
          <w:tcPr>
            <w:tcW w:w="1546" w:type="dxa"/>
            <w:vMerge w:val="restart"/>
            <w:tcBorders>
              <w:tl2br w:val="nil"/>
              <w:tr2bl w:val="nil"/>
            </w:tcBorders>
            <w:vAlign w:val="center"/>
          </w:tcPr>
          <w:p w14:paraId="50B9E53F">
            <w:pPr>
              <w:shd w:val="clear"/>
              <w:jc w:val="center"/>
              <w:rPr>
                <w:rFonts w:hint="eastAsia" w:ascii="宋体" w:hAnsi="宋体" w:cs="宋体"/>
                <w:szCs w:val="21"/>
                <w:highlight w:val="none"/>
              </w:rPr>
            </w:pPr>
            <w:r>
              <w:rPr>
                <w:rFonts w:hint="eastAsia" w:ascii="宋体" w:hAnsi="宋体" w:cs="宋体"/>
                <w:szCs w:val="21"/>
                <w:highlight w:val="none"/>
              </w:rPr>
              <w:t>备注</w:t>
            </w:r>
          </w:p>
        </w:tc>
      </w:tr>
      <w:tr w14:paraId="27C91F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vMerge w:val="continue"/>
            <w:tcBorders>
              <w:tl2br w:val="nil"/>
              <w:tr2bl w:val="nil"/>
            </w:tcBorders>
          </w:tcPr>
          <w:p w14:paraId="3F9639F6">
            <w:pPr>
              <w:shd w:val="clear"/>
              <w:rPr>
                <w:rFonts w:hint="eastAsia" w:ascii="宋体" w:hAnsi="宋体" w:cs="宋体"/>
                <w:szCs w:val="21"/>
                <w:highlight w:val="none"/>
              </w:rPr>
            </w:pPr>
          </w:p>
        </w:tc>
        <w:tc>
          <w:tcPr>
            <w:tcW w:w="831" w:type="dxa"/>
            <w:vMerge w:val="continue"/>
            <w:tcBorders>
              <w:tl2br w:val="nil"/>
              <w:tr2bl w:val="nil"/>
            </w:tcBorders>
          </w:tcPr>
          <w:p w14:paraId="013A738E">
            <w:pPr>
              <w:shd w:val="clear"/>
              <w:rPr>
                <w:rFonts w:hint="eastAsia" w:ascii="宋体" w:hAnsi="宋体" w:cs="宋体"/>
                <w:szCs w:val="21"/>
                <w:highlight w:val="none"/>
              </w:rPr>
            </w:pPr>
          </w:p>
        </w:tc>
        <w:tc>
          <w:tcPr>
            <w:tcW w:w="845" w:type="dxa"/>
            <w:vMerge w:val="continue"/>
            <w:tcBorders>
              <w:tl2br w:val="nil"/>
              <w:tr2bl w:val="nil"/>
            </w:tcBorders>
          </w:tcPr>
          <w:p w14:paraId="3A6FB241">
            <w:pPr>
              <w:shd w:val="clear"/>
              <w:rPr>
                <w:rFonts w:hint="eastAsia" w:ascii="宋体" w:hAnsi="宋体" w:cs="宋体"/>
                <w:szCs w:val="21"/>
                <w:highlight w:val="none"/>
              </w:rPr>
            </w:pPr>
          </w:p>
        </w:tc>
        <w:tc>
          <w:tcPr>
            <w:tcW w:w="1203" w:type="dxa"/>
            <w:tcBorders>
              <w:tl2br w:val="nil"/>
              <w:tr2bl w:val="nil"/>
            </w:tcBorders>
            <w:vAlign w:val="center"/>
          </w:tcPr>
          <w:p w14:paraId="6A162CC5">
            <w:pPr>
              <w:shd w:val="clear"/>
              <w:jc w:val="center"/>
              <w:rPr>
                <w:rFonts w:hint="eastAsia" w:ascii="宋体" w:hAnsi="宋体" w:cs="宋体"/>
                <w:szCs w:val="21"/>
                <w:highlight w:val="none"/>
              </w:rPr>
            </w:pPr>
            <w:r>
              <w:rPr>
                <w:rFonts w:hint="eastAsia" w:ascii="宋体" w:hAnsi="宋体" w:cs="宋体"/>
                <w:szCs w:val="21"/>
                <w:highlight w:val="none"/>
              </w:rPr>
              <w:t>证书名称</w:t>
            </w:r>
          </w:p>
        </w:tc>
        <w:tc>
          <w:tcPr>
            <w:tcW w:w="900" w:type="dxa"/>
            <w:tcBorders>
              <w:tl2br w:val="nil"/>
              <w:tr2bl w:val="nil"/>
            </w:tcBorders>
            <w:vAlign w:val="center"/>
          </w:tcPr>
          <w:p w14:paraId="6FC07FF8">
            <w:pPr>
              <w:shd w:val="clear"/>
              <w:jc w:val="center"/>
              <w:rPr>
                <w:rFonts w:hint="eastAsia" w:ascii="宋体" w:hAnsi="宋体" w:cs="宋体"/>
                <w:szCs w:val="21"/>
                <w:highlight w:val="none"/>
              </w:rPr>
            </w:pPr>
            <w:r>
              <w:rPr>
                <w:rFonts w:hint="eastAsia" w:ascii="宋体" w:hAnsi="宋体" w:cs="宋体"/>
                <w:szCs w:val="21"/>
                <w:highlight w:val="none"/>
              </w:rPr>
              <w:t>级别</w:t>
            </w:r>
          </w:p>
        </w:tc>
        <w:tc>
          <w:tcPr>
            <w:tcW w:w="1080" w:type="dxa"/>
            <w:tcBorders>
              <w:tl2br w:val="nil"/>
              <w:tr2bl w:val="nil"/>
            </w:tcBorders>
            <w:vAlign w:val="center"/>
          </w:tcPr>
          <w:p w14:paraId="46FA3758">
            <w:pPr>
              <w:shd w:val="clear"/>
              <w:jc w:val="center"/>
              <w:rPr>
                <w:rFonts w:hint="eastAsia" w:ascii="宋体" w:hAnsi="宋体" w:cs="宋体"/>
                <w:szCs w:val="21"/>
                <w:highlight w:val="none"/>
              </w:rPr>
            </w:pPr>
            <w:r>
              <w:rPr>
                <w:rFonts w:hint="eastAsia" w:ascii="宋体" w:hAnsi="宋体" w:cs="宋体"/>
                <w:szCs w:val="21"/>
                <w:highlight w:val="none"/>
              </w:rPr>
              <w:t>证号</w:t>
            </w:r>
          </w:p>
        </w:tc>
        <w:tc>
          <w:tcPr>
            <w:tcW w:w="1286" w:type="dxa"/>
            <w:tcBorders>
              <w:tl2br w:val="nil"/>
              <w:tr2bl w:val="nil"/>
            </w:tcBorders>
            <w:vAlign w:val="center"/>
          </w:tcPr>
          <w:p w14:paraId="0829F454">
            <w:pPr>
              <w:shd w:val="clear"/>
              <w:jc w:val="center"/>
              <w:rPr>
                <w:rFonts w:hint="eastAsia" w:ascii="宋体" w:hAnsi="宋体" w:cs="宋体"/>
                <w:szCs w:val="21"/>
                <w:highlight w:val="none"/>
              </w:rPr>
            </w:pPr>
            <w:r>
              <w:rPr>
                <w:rFonts w:hint="eastAsia" w:ascii="宋体" w:hAnsi="宋体" w:cs="宋体"/>
                <w:szCs w:val="21"/>
                <w:highlight w:val="none"/>
              </w:rPr>
              <w:t>专业</w:t>
            </w:r>
          </w:p>
        </w:tc>
        <w:tc>
          <w:tcPr>
            <w:tcW w:w="1328" w:type="dxa"/>
            <w:tcBorders>
              <w:tl2br w:val="nil"/>
              <w:tr2bl w:val="nil"/>
            </w:tcBorders>
            <w:vAlign w:val="center"/>
          </w:tcPr>
          <w:p w14:paraId="4C8EE753">
            <w:pPr>
              <w:shd w:val="clear"/>
              <w:jc w:val="center"/>
              <w:rPr>
                <w:rFonts w:hint="eastAsia" w:ascii="宋体" w:hAnsi="宋体" w:cs="宋体"/>
                <w:szCs w:val="21"/>
                <w:highlight w:val="none"/>
              </w:rPr>
            </w:pPr>
            <w:r>
              <w:rPr>
                <w:rFonts w:hint="eastAsia" w:ascii="宋体" w:hAnsi="宋体" w:cs="宋体"/>
                <w:szCs w:val="21"/>
                <w:highlight w:val="none"/>
              </w:rPr>
              <w:t>养老保险</w:t>
            </w:r>
          </w:p>
        </w:tc>
        <w:tc>
          <w:tcPr>
            <w:tcW w:w="1546" w:type="dxa"/>
            <w:vMerge w:val="continue"/>
            <w:tcBorders>
              <w:tl2br w:val="nil"/>
              <w:tr2bl w:val="nil"/>
            </w:tcBorders>
          </w:tcPr>
          <w:p w14:paraId="214D2675">
            <w:pPr>
              <w:shd w:val="clear"/>
              <w:rPr>
                <w:rFonts w:hint="eastAsia" w:ascii="宋体" w:hAnsi="宋体" w:cs="宋体"/>
                <w:szCs w:val="21"/>
                <w:highlight w:val="none"/>
              </w:rPr>
            </w:pPr>
          </w:p>
        </w:tc>
      </w:tr>
      <w:tr w14:paraId="63F656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tcBorders>
              <w:tl2br w:val="nil"/>
              <w:tr2bl w:val="nil"/>
            </w:tcBorders>
          </w:tcPr>
          <w:p w14:paraId="69B86F83">
            <w:pPr>
              <w:shd w:val="clear"/>
              <w:spacing w:line="360" w:lineRule="auto"/>
              <w:rPr>
                <w:rFonts w:hint="eastAsia" w:ascii="宋体" w:hAnsi="宋体" w:cs="宋体"/>
                <w:szCs w:val="21"/>
                <w:highlight w:val="none"/>
              </w:rPr>
            </w:pPr>
          </w:p>
        </w:tc>
        <w:tc>
          <w:tcPr>
            <w:tcW w:w="831" w:type="dxa"/>
            <w:tcBorders>
              <w:tl2br w:val="nil"/>
              <w:tr2bl w:val="nil"/>
            </w:tcBorders>
          </w:tcPr>
          <w:p w14:paraId="639AED39">
            <w:pPr>
              <w:shd w:val="clear"/>
              <w:spacing w:line="360" w:lineRule="auto"/>
              <w:rPr>
                <w:rFonts w:hint="eastAsia" w:ascii="宋体" w:hAnsi="宋体" w:cs="宋体"/>
                <w:szCs w:val="21"/>
                <w:highlight w:val="none"/>
              </w:rPr>
            </w:pPr>
          </w:p>
        </w:tc>
        <w:tc>
          <w:tcPr>
            <w:tcW w:w="845" w:type="dxa"/>
            <w:tcBorders>
              <w:tl2br w:val="nil"/>
              <w:tr2bl w:val="nil"/>
            </w:tcBorders>
          </w:tcPr>
          <w:p w14:paraId="498B8E7B">
            <w:pPr>
              <w:shd w:val="clear"/>
              <w:spacing w:line="360" w:lineRule="auto"/>
              <w:rPr>
                <w:rFonts w:hint="eastAsia" w:ascii="宋体" w:hAnsi="宋体" w:cs="宋体"/>
                <w:szCs w:val="21"/>
                <w:highlight w:val="none"/>
              </w:rPr>
            </w:pPr>
          </w:p>
        </w:tc>
        <w:tc>
          <w:tcPr>
            <w:tcW w:w="1203" w:type="dxa"/>
            <w:tcBorders>
              <w:tl2br w:val="nil"/>
              <w:tr2bl w:val="nil"/>
            </w:tcBorders>
          </w:tcPr>
          <w:p w14:paraId="09E5D84F">
            <w:pPr>
              <w:shd w:val="clear"/>
              <w:spacing w:line="360" w:lineRule="auto"/>
              <w:rPr>
                <w:rFonts w:hint="eastAsia" w:ascii="宋体" w:hAnsi="宋体" w:cs="宋体"/>
                <w:szCs w:val="21"/>
                <w:highlight w:val="none"/>
              </w:rPr>
            </w:pPr>
          </w:p>
        </w:tc>
        <w:tc>
          <w:tcPr>
            <w:tcW w:w="900" w:type="dxa"/>
            <w:tcBorders>
              <w:tl2br w:val="nil"/>
              <w:tr2bl w:val="nil"/>
            </w:tcBorders>
          </w:tcPr>
          <w:p w14:paraId="51A7F716">
            <w:pPr>
              <w:shd w:val="clear"/>
              <w:spacing w:line="360" w:lineRule="auto"/>
              <w:rPr>
                <w:rFonts w:hint="eastAsia" w:ascii="宋体" w:hAnsi="宋体" w:cs="宋体"/>
                <w:szCs w:val="21"/>
                <w:highlight w:val="none"/>
              </w:rPr>
            </w:pPr>
          </w:p>
        </w:tc>
        <w:tc>
          <w:tcPr>
            <w:tcW w:w="1080" w:type="dxa"/>
            <w:tcBorders>
              <w:tl2br w:val="nil"/>
              <w:tr2bl w:val="nil"/>
            </w:tcBorders>
          </w:tcPr>
          <w:p w14:paraId="33BEDD29">
            <w:pPr>
              <w:shd w:val="clear"/>
              <w:spacing w:line="360" w:lineRule="auto"/>
              <w:rPr>
                <w:rFonts w:hint="eastAsia" w:ascii="宋体" w:hAnsi="宋体" w:cs="宋体"/>
                <w:szCs w:val="21"/>
                <w:highlight w:val="none"/>
              </w:rPr>
            </w:pPr>
          </w:p>
        </w:tc>
        <w:tc>
          <w:tcPr>
            <w:tcW w:w="1286" w:type="dxa"/>
            <w:tcBorders>
              <w:tl2br w:val="nil"/>
              <w:tr2bl w:val="nil"/>
            </w:tcBorders>
          </w:tcPr>
          <w:p w14:paraId="3C374363">
            <w:pPr>
              <w:shd w:val="clear"/>
              <w:spacing w:line="360" w:lineRule="auto"/>
              <w:rPr>
                <w:rFonts w:hint="eastAsia" w:ascii="宋体" w:hAnsi="宋体" w:cs="宋体"/>
                <w:szCs w:val="21"/>
                <w:highlight w:val="none"/>
              </w:rPr>
            </w:pPr>
          </w:p>
        </w:tc>
        <w:tc>
          <w:tcPr>
            <w:tcW w:w="1328" w:type="dxa"/>
            <w:tcBorders>
              <w:tl2br w:val="nil"/>
              <w:tr2bl w:val="nil"/>
            </w:tcBorders>
          </w:tcPr>
          <w:p w14:paraId="2F211079">
            <w:pPr>
              <w:shd w:val="clear"/>
              <w:spacing w:line="360" w:lineRule="auto"/>
              <w:ind w:firstLine="420" w:firstLineChars="200"/>
              <w:rPr>
                <w:rFonts w:hint="eastAsia" w:ascii="宋体" w:hAnsi="宋体" w:cs="宋体"/>
                <w:szCs w:val="21"/>
                <w:highlight w:val="none"/>
              </w:rPr>
            </w:pPr>
          </w:p>
        </w:tc>
        <w:tc>
          <w:tcPr>
            <w:tcW w:w="1546" w:type="dxa"/>
            <w:tcBorders>
              <w:tl2br w:val="nil"/>
              <w:tr2bl w:val="nil"/>
            </w:tcBorders>
          </w:tcPr>
          <w:p w14:paraId="2281ADD4">
            <w:pPr>
              <w:shd w:val="clear"/>
              <w:spacing w:line="360" w:lineRule="auto"/>
              <w:rPr>
                <w:rFonts w:hint="eastAsia" w:ascii="宋体" w:hAnsi="宋体" w:cs="宋体"/>
                <w:szCs w:val="21"/>
                <w:highlight w:val="none"/>
              </w:rPr>
            </w:pPr>
          </w:p>
        </w:tc>
      </w:tr>
      <w:tr w14:paraId="63459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tcBorders>
              <w:tl2br w:val="nil"/>
              <w:tr2bl w:val="nil"/>
            </w:tcBorders>
          </w:tcPr>
          <w:p w14:paraId="7C61B7C7">
            <w:pPr>
              <w:shd w:val="clear"/>
              <w:spacing w:line="360" w:lineRule="auto"/>
              <w:rPr>
                <w:rFonts w:hint="eastAsia" w:ascii="宋体" w:hAnsi="宋体" w:cs="宋体"/>
                <w:szCs w:val="21"/>
                <w:highlight w:val="none"/>
              </w:rPr>
            </w:pPr>
          </w:p>
        </w:tc>
        <w:tc>
          <w:tcPr>
            <w:tcW w:w="831" w:type="dxa"/>
            <w:tcBorders>
              <w:tl2br w:val="nil"/>
              <w:tr2bl w:val="nil"/>
            </w:tcBorders>
          </w:tcPr>
          <w:p w14:paraId="4BD4457A">
            <w:pPr>
              <w:shd w:val="clear"/>
              <w:spacing w:line="360" w:lineRule="auto"/>
              <w:rPr>
                <w:rFonts w:hint="eastAsia" w:ascii="宋体" w:hAnsi="宋体" w:cs="宋体"/>
                <w:szCs w:val="21"/>
                <w:highlight w:val="none"/>
              </w:rPr>
            </w:pPr>
          </w:p>
        </w:tc>
        <w:tc>
          <w:tcPr>
            <w:tcW w:w="845" w:type="dxa"/>
            <w:tcBorders>
              <w:tl2br w:val="nil"/>
              <w:tr2bl w:val="nil"/>
            </w:tcBorders>
          </w:tcPr>
          <w:p w14:paraId="297A40A6">
            <w:pPr>
              <w:shd w:val="clear"/>
              <w:spacing w:line="360" w:lineRule="auto"/>
              <w:rPr>
                <w:rFonts w:hint="eastAsia" w:ascii="宋体" w:hAnsi="宋体" w:cs="宋体"/>
                <w:szCs w:val="21"/>
                <w:highlight w:val="none"/>
              </w:rPr>
            </w:pPr>
          </w:p>
        </w:tc>
        <w:tc>
          <w:tcPr>
            <w:tcW w:w="1203" w:type="dxa"/>
            <w:tcBorders>
              <w:tl2br w:val="nil"/>
              <w:tr2bl w:val="nil"/>
            </w:tcBorders>
          </w:tcPr>
          <w:p w14:paraId="520EE649">
            <w:pPr>
              <w:shd w:val="clear"/>
              <w:spacing w:line="360" w:lineRule="auto"/>
              <w:rPr>
                <w:rFonts w:hint="eastAsia" w:ascii="宋体" w:hAnsi="宋体" w:cs="宋体"/>
                <w:szCs w:val="21"/>
                <w:highlight w:val="none"/>
              </w:rPr>
            </w:pPr>
          </w:p>
        </w:tc>
        <w:tc>
          <w:tcPr>
            <w:tcW w:w="900" w:type="dxa"/>
            <w:tcBorders>
              <w:tl2br w:val="nil"/>
              <w:tr2bl w:val="nil"/>
            </w:tcBorders>
          </w:tcPr>
          <w:p w14:paraId="20A57163">
            <w:pPr>
              <w:shd w:val="clear"/>
              <w:spacing w:line="360" w:lineRule="auto"/>
              <w:rPr>
                <w:rFonts w:hint="eastAsia" w:ascii="宋体" w:hAnsi="宋体" w:cs="宋体"/>
                <w:szCs w:val="21"/>
                <w:highlight w:val="none"/>
              </w:rPr>
            </w:pPr>
          </w:p>
        </w:tc>
        <w:tc>
          <w:tcPr>
            <w:tcW w:w="1080" w:type="dxa"/>
            <w:tcBorders>
              <w:tl2br w:val="nil"/>
              <w:tr2bl w:val="nil"/>
            </w:tcBorders>
          </w:tcPr>
          <w:p w14:paraId="05FBA7E7">
            <w:pPr>
              <w:shd w:val="clear"/>
              <w:spacing w:line="360" w:lineRule="auto"/>
              <w:rPr>
                <w:rFonts w:hint="eastAsia" w:ascii="宋体" w:hAnsi="宋体" w:cs="宋体"/>
                <w:szCs w:val="21"/>
                <w:highlight w:val="none"/>
              </w:rPr>
            </w:pPr>
          </w:p>
        </w:tc>
        <w:tc>
          <w:tcPr>
            <w:tcW w:w="1286" w:type="dxa"/>
            <w:tcBorders>
              <w:tl2br w:val="nil"/>
              <w:tr2bl w:val="nil"/>
            </w:tcBorders>
          </w:tcPr>
          <w:p w14:paraId="22650098">
            <w:pPr>
              <w:shd w:val="clear"/>
              <w:spacing w:line="360" w:lineRule="auto"/>
              <w:rPr>
                <w:rFonts w:hint="eastAsia" w:ascii="宋体" w:hAnsi="宋体" w:cs="宋体"/>
                <w:szCs w:val="21"/>
                <w:highlight w:val="none"/>
              </w:rPr>
            </w:pPr>
          </w:p>
        </w:tc>
        <w:tc>
          <w:tcPr>
            <w:tcW w:w="1328" w:type="dxa"/>
            <w:tcBorders>
              <w:tl2br w:val="nil"/>
              <w:tr2bl w:val="nil"/>
            </w:tcBorders>
          </w:tcPr>
          <w:p w14:paraId="17D47920">
            <w:pPr>
              <w:shd w:val="clear"/>
              <w:spacing w:line="360" w:lineRule="auto"/>
              <w:rPr>
                <w:rFonts w:hint="eastAsia" w:ascii="宋体" w:hAnsi="宋体" w:cs="宋体"/>
                <w:szCs w:val="21"/>
                <w:highlight w:val="none"/>
              </w:rPr>
            </w:pPr>
          </w:p>
        </w:tc>
        <w:tc>
          <w:tcPr>
            <w:tcW w:w="1546" w:type="dxa"/>
            <w:tcBorders>
              <w:tl2br w:val="nil"/>
              <w:tr2bl w:val="nil"/>
            </w:tcBorders>
          </w:tcPr>
          <w:p w14:paraId="4D37730D">
            <w:pPr>
              <w:shd w:val="clear"/>
              <w:spacing w:line="360" w:lineRule="auto"/>
              <w:rPr>
                <w:rFonts w:hint="eastAsia" w:ascii="宋体" w:hAnsi="宋体" w:cs="宋体"/>
                <w:szCs w:val="21"/>
                <w:highlight w:val="none"/>
              </w:rPr>
            </w:pPr>
          </w:p>
        </w:tc>
      </w:tr>
      <w:tr w14:paraId="603AAE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tcBorders>
              <w:tl2br w:val="nil"/>
              <w:tr2bl w:val="nil"/>
            </w:tcBorders>
          </w:tcPr>
          <w:p w14:paraId="00A21CD3">
            <w:pPr>
              <w:shd w:val="clear"/>
              <w:spacing w:line="360" w:lineRule="auto"/>
              <w:rPr>
                <w:rFonts w:hint="eastAsia" w:ascii="宋体" w:hAnsi="宋体" w:cs="宋体"/>
                <w:szCs w:val="21"/>
                <w:highlight w:val="none"/>
              </w:rPr>
            </w:pPr>
          </w:p>
        </w:tc>
        <w:tc>
          <w:tcPr>
            <w:tcW w:w="831" w:type="dxa"/>
            <w:tcBorders>
              <w:tl2br w:val="nil"/>
              <w:tr2bl w:val="nil"/>
            </w:tcBorders>
          </w:tcPr>
          <w:p w14:paraId="66386D44">
            <w:pPr>
              <w:shd w:val="clear"/>
              <w:spacing w:line="360" w:lineRule="auto"/>
              <w:rPr>
                <w:rFonts w:hint="eastAsia" w:ascii="宋体" w:hAnsi="宋体" w:cs="宋体"/>
                <w:szCs w:val="21"/>
                <w:highlight w:val="none"/>
              </w:rPr>
            </w:pPr>
          </w:p>
        </w:tc>
        <w:tc>
          <w:tcPr>
            <w:tcW w:w="845" w:type="dxa"/>
            <w:tcBorders>
              <w:tl2br w:val="nil"/>
              <w:tr2bl w:val="nil"/>
            </w:tcBorders>
          </w:tcPr>
          <w:p w14:paraId="1DC4C6C3">
            <w:pPr>
              <w:shd w:val="clear"/>
              <w:spacing w:line="360" w:lineRule="auto"/>
              <w:rPr>
                <w:rFonts w:hint="eastAsia" w:ascii="宋体" w:hAnsi="宋体" w:cs="宋体"/>
                <w:szCs w:val="21"/>
                <w:highlight w:val="none"/>
              </w:rPr>
            </w:pPr>
          </w:p>
        </w:tc>
        <w:tc>
          <w:tcPr>
            <w:tcW w:w="1203" w:type="dxa"/>
            <w:tcBorders>
              <w:tl2br w:val="nil"/>
              <w:tr2bl w:val="nil"/>
            </w:tcBorders>
          </w:tcPr>
          <w:p w14:paraId="2109EBDA">
            <w:pPr>
              <w:shd w:val="clear"/>
              <w:spacing w:line="360" w:lineRule="auto"/>
              <w:rPr>
                <w:rFonts w:hint="eastAsia" w:ascii="宋体" w:hAnsi="宋体" w:cs="宋体"/>
                <w:szCs w:val="21"/>
                <w:highlight w:val="none"/>
              </w:rPr>
            </w:pPr>
          </w:p>
        </w:tc>
        <w:tc>
          <w:tcPr>
            <w:tcW w:w="900" w:type="dxa"/>
            <w:tcBorders>
              <w:tl2br w:val="nil"/>
              <w:tr2bl w:val="nil"/>
            </w:tcBorders>
          </w:tcPr>
          <w:p w14:paraId="14A9C8D7">
            <w:pPr>
              <w:shd w:val="clear"/>
              <w:spacing w:line="360" w:lineRule="auto"/>
              <w:rPr>
                <w:rFonts w:hint="eastAsia" w:ascii="宋体" w:hAnsi="宋体" w:cs="宋体"/>
                <w:szCs w:val="21"/>
                <w:highlight w:val="none"/>
              </w:rPr>
            </w:pPr>
          </w:p>
        </w:tc>
        <w:tc>
          <w:tcPr>
            <w:tcW w:w="1080" w:type="dxa"/>
            <w:tcBorders>
              <w:tl2br w:val="nil"/>
              <w:tr2bl w:val="nil"/>
            </w:tcBorders>
          </w:tcPr>
          <w:p w14:paraId="508A8DE3">
            <w:pPr>
              <w:shd w:val="clear"/>
              <w:spacing w:line="360" w:lineRule="auto"/>
              <w:rPr>
                <w:rFonts w:hint="eastAsia" w:ascii="宋体" w:hAnsi="宋体" w:cs="宋体"/>
                <w:szCs w:val="21"/>
                <w:highlight w:val="none"/>
              </w:rPr>
            </w:pPr>
          </w:p>
        </w:tc>
        <w:tc>
          <w:tcPr>
            <w:tcW w:w="1286" w:type="dxa"/>
            <w:tcBorders>
              <w:tl2br w:val="nil"/>
              <w:tr2bl w:val="nil"/>
            </w:tcBorders>
          </w:tcPr>
          <w:p w14:paraId="6E7216A1">
            <w:pPr>
              <w:shd w:val="clear"/>
              <w:spacing w:line="360" w:lineRule="auto"/>
              <w:rPr>
                <w:rFonts w:hint="eastAsia" w:ascii="宋体" w:hAnsi="宋体" w:cs="宋体"/>
                <w:szCs w:val="21"/>
                <w:highlight w:val="none"/>
              </w:rPr>
            </w:pPr>
          </w:p>
        </w:tc>
        <w:tc>
          <w:tcPr>
            <w:tcW w:w="1328" w:type="dxa"/>
            <w:tcBorders>
              <w:tl2br w:val="nil"/>
              <w:tr2bl w:val="nil"/>
            </w:tcBorders>
          </w:tcPr>
          <w:p w14:paraId="29DAFE2C">
            <w:pPr>
              <w:shd w:val="clear"/>
              <w:spacing w:line="360" w:lineRule="auto"/>
              <w:rPr>
                <w:rFonts w:hint="eastAsia" w:ascii="宋体" w:hAnsi="宋体" w:cs="宋体"/>
                <w:szCs w:val="21"/>
                <w:highlight w:val="none"/>
              </w:rPr>
            </w:pPr>
          </w:p>
        </w:tc>
        <w:tc>
          <w:tcPr>
            <w:tcW w:w="1546" w:type="dxa"/>
            <w:tcBorders>
              <w:tl2br w:val="nil"/>
              <w:tr2bl w:val="nil"/>
            </w:tcBorders>
          </w:tcPr>
          <w:p w14:paraId="5155B62D">
            <w:pPr>
              <w:shd w:val="clear"/>
              <w:spacing w:line="360" w:lineRule="auto"/>
              <w:rPr>
                <w:rFonts w:hint="eastAsia" w:ascii="宋体" w:hAnsi="宋体" w:cs="宋体"/>
                <w:szCs w:val="21"/>
                <w:highlight w:val="none"/>
              </w:rPr>
            </w:pPr>
          </w:p>
        </w:tc>
      </w:tr>
      <w:tr w14:paraId="7C539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1" w:type="dxa"/>
            <w:tcBorders>
              <w:tl2br w:val="nil"/>
              <w:tr2bl w:val="nil"/>
            </w:tcBorders>
          </w:tcPr>
          <w:p w14:paraId="46388EF2">
            <w:pPr>
              <w:shd w:val="clear"/>
              <w:spacing w:line="360" w:lineRule="auto"/>
              <w:rPr>
                <w:rFonts w:hint="eastAsia" w:ascii="宋体" w:hAnsi="宋体" w:cs="宋体"/>
                <w:szCs w:val="21"/>
                <w:highlight w:val="none"/>
              </w:rPr>
            </w:pPr>
            <w:r>
              <w:rPr>
                <w:rFonts w:hint="eastAsia" w:ascii="宋体" w:hAnsi="宋体" w:cs="宋体"/>
                <w:szCs w:val="21"/>
                <w:highlight w:val="none"/>
              </w:rPr>
              <w:t>……</w:t>
            </w:r>
          </w:p>
        </w:tc>
        <w:tc>
          <w:tcPr>
            <w:tcW w:w="831" w:type="dxa"/>
            <w:tcBorders>
              <w:tl2br w:val="nil"/>
              <w:tr2bl w:val="nil"/>
            </w:tcBorders>
          </w:tcPr>
          <w:p w14:paraId="02D0C644">
            <w:pPr>
              <w:shd w:val="clear"/>
              <w:spacing w:line="360" w:lineRule="auto"/>
              <w:rPr>
                <w:rFonts w:hint="eastAsia" w:ascii="宋体" w:hAnsi="宋体" w:cs="宋体"/>
                <w:szCs w:val="21"/>
                <w:highlight w:val="none"/>
              </w:rPr>
            </w:pPr>
          </w:p>
        </w:tc>
        <w:tc>
          <w:tcPr>
            <w:tcW w:w="845" w:type="dxa"/>
            <w:tcBorders>
              <w:tl2br w:val="nil"/>
              <w:tr2bl w:val="nil"/>
            </w:tcBorders>
          </w:tcPr>
          <w:p w14:paraId="1E52C4D8">
            <w:pPr>
              <w:shd w:val="clear"/>
              <w:spacing w:line="360" w:lineRule="auto"/>
              <w:rPr>
                <w:rFonts w:hint="eastAsia" w:ascii="宋体" w:hAnsi="宋体" w:cs="宋体"/>
                <w:szCs w:val="21"/>
                <w:highlight w:val="none"/>
              </w:rPr>
            </w:pPr>
          </w:p>
        </w:tc>
        <w:tc>
          <w:tcPr>
            <w:tcW w:w="1203" w:type="dxa"/>
            <w:tcBorders>
              <w:tl2br w:val="nil"/>
              <w:tr2bl w:val="nil"/>
            </w:tcBorders>
          </w:tcPr>
          <w:p w14:paraId="68565767">
            <w:pPr>
              <w:shd w:val="clear"/>
              <w:spacing w:line="360" w:lineRule="auto"/>
              <w:rPr>
                <w:rFonts w:hint="eastAsia" w:ascii="宋体" w:hAnsi="宋体" w:cs="宋体"/>
                <w:szCs w:val="21"/>
                <w:highlight w:val="none"/>
              </w:rPr>
            </w:pPr>
          </w:p>
        </w:tc>
        <w:tc>
          <w:tcPr>
            <w:tcW w:w="900" w:type="dxa"/>
            <w:tcBorders>
              <w:tl2br w:val="nil"/>
              <w:tr2bl w:val="nil"/>
            </w:tcBorders>
          </w:tcPr>
          <w:p w14:paraId="5363FF75">
            <w:pPr>
              <w:shd w:val="clear"/>
              <w:spacing w:line="360" w:lineRule="auto"/>
              <w:rPr>
                <w:rFonts w:hint="eastAsia" w:ascii="宋体" w:hAnsi="宋体" w:cs="宋体"/>
                <w:szCs w:val="21"/>
                <w:highlight w:val="none"/>
              </w:rPr>
            </w:pPr>
          </w:p>
        </w:tc>
        <w:tc>
          <w:tcPr>
            <w:tcW w:w="1080" w:type="dxa"/>
            <w:tcBorders>
              <w:tl2br w:val="nil"/>
              <w:tr2bl w:val="nil"/>
            </w:tcBorders>
          </w:tcPr>
          <w:p w14:paraId="3E4BFAB4">
            <w:pPr>
              <w:shd w:val="clear"/>
              <w:spacing w:line="360" w:lineRule="auto"/>
              <w:rPr>
                <w:rFonts w:hint="eastAsia" w:ascii="宋体" w:hAnsi="宋体" w:cs="宋体"/>
                <w:szCs w:val="21"/>
                <w:highlight w:val="none"/>
              </w:rPr>
            </w:pPr>
          </w:p>
        </w:tc>
        <w:tc>
          <w:tcPr>
            <w:tcW w:w="1286" w:type="dxa"/>
            <w:tcBorders>
              <w:tl2br w:val="nil"/>
              <w:tr2bl w:val="nil"/>
            </w:tcBorders>
          </w:tcPr>
          <w:p w14:paraId="03DDA502">
            <w:pPr>
              <w:shd w:val="clear"/>
              <w:spacing w:line="360" w:lineRule="auto"/>
              <w:rPr>
                <w:rFonts w:hint="eastAsia" w:ascii="宋体" w:hAnsi="宋体" w:cs="宋体"/>
                <w:szCs w:val="21"/>
                <w:highlight w:val="none"/>
              </w:rPr>
            </w:pPr>
          </w:p>
        </w:tc>
        <w:tc>
          <w:tcPr>
            <w:tcW w:w="1328" w:type="dxa"/>
            <w:tcBorders>
              <w:tl2br w:val="nil"/>
              <w:tr2bl w:val="nil"/>
            </w:tcBorders>
          </w:tcPr>
          <w:p w14:paraId="690FFA7E">
            <w:pPr>
              <w:shd w:val="clear"/>
              <w:spacing w:line="360" w:lineRule="auto"/>
              <w:rPr>
                <w:rFonts w:hint="eastAsia" w:ascii="宋体" w:hAnsi="宋体" w:cs="宋体"/>
                <w:szCs w:val="21"/>
                <w:highlight w:val="none"/>
              </w:rPr>
            </w:pPr>
          </w:p>
        </w:tc>
        <w:tc>
          <w:tcPr>
            <w:tcW w:w="1546" w:type="dxa"/>
            <w:tcBorders>
              <w:tl2br w:val="nil"/>
              <w:tr2bl w:val="nil"/>
            </w:tcBorders>
          </w:tcPr>
          <w:p w14:paraId="25099987">
            <w:pPr>
              <w:shd w:val="clear"/>
              <w:spacing w:line="360" w:lineRule="auto"/>
              <w:rPr>
                <w:rFonts w:hint="eastAsia" w:ascii="宋体" w:hAnsi="宋体" w:cs="宋体"/>
                <w:szCs w:val="21"/>
                <w:highlight w:val="none"/>
              </w:rPr>
            </w:pPr>
          </w:p>
        </w:tc>
      </w:tr>
    </w:tbl>
    <w:p w14:paraId="2EC06AC3">
      <w:pPr>
        <w:shd w:val="clear"/>
        <w:rPr>
          <w:highlight w:val="none"/>
        </w:rPr>
      </w:pPr>
    </w:p>
    <w:p w14:paraId="26CC77E9">
      <w:pPr>
        <w:pStyle w:val="6"/>
        <w:shd w:val="clear"/>
        <w:jc w:val="center"/>
        <w:rPr>
          <w:rFonts w:hint="eastAsia" w:ascii="宋体" w:hAnsi="宋体" w:cs="宋体"/>
          <w:highlight w:val="none"/>
        </w:rPr>
      </w:pPr>
      <w:r>
        <w:rPr>
          <w:rFonts w:hint="eastAsia" w:ascii="宋体" w:hAnsi="宋体" w:cs="宋体"/>
          <w:highlight w:val="none"/>
        </w:rPr>
        <w:t>（二）主要人员简历表</w:t>
      </w:r>
    </w:p>
    <w:p w14:paraId="0D20DA8C">
      <w:pPr>
        <w:shd w:val="clear"/>
        <w:spacing w:line="360" w:lineRule="auto"/>
        <w:ind w:firstLine="420" w:firstLineChars="200"/>
        <w:rPr>
          <w:rFonts w:hint="eastAsia" w:ascii="宋体" w:hAnsi="宋体" w:cs="宋体"/>
          <w:szCs w:val="21"/>
          <w:highlight w:val="none"/>
        </w:rPr>
      </w:pPr>
    </w:p>
    <w:tbl>
      <w:tblPr>
        <w:tblStyle w:val="27"/>
        <w:tblW w:w="982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355"/>
        <w:gridCol w:w="1625"/>
        <w:gridCol w:w="1080"/>
        <w:gridCol w:w="900"/>
        <w:gridCol w:w="540"/>
        <w:gridCol w:w="1252"/>
        <w:gridCol w:w="728"/>
        <w:gridCol w:w="1868"/>
      </w:tblGrid>
      <w:tr w14:paraId="294C6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28" w:type="dxa"/>
            <w:gridSpan w:val="2"/>
            <w:tcBorders>
              <w:tl2br w:val="nil"/>
              <w:tr2bl w:val="nil"/>
            </w:tcBorders>
            <w:vAlign w:val="center"/>
          </w:tcPr>
          <w:p w14:paraId="406CE97A">
            <w:pPr>
              <w:shd w:val="clear"/>
              <w:jc w:val="center"/>
              <w:rPr>
                <w:rFonts w:hint="eastAsia" w:ascii="宋体" w:hAnsi="宋体" w:cs="宋体"/>
                <w:szCs w:val="21"/>
                <w:highlight w:val="none"/>
              </w:rPr>
            </w:pPr>
            <w:r>
              <w:rPr>
                <w:rFonts w:hint="eastAsia" w:ascii="宋体" w:hAnsi="宋体" w:cs="宋体"/>
                <w:szCs w:val="21"/>
                <w:highlight w:val="none"/>
              </w:rPr>
              <w:t>姓名</w:t>
            </w:r>
          </w:p>
        </w:tc>
        <w:tc>
          <w:tcPr>
            <w:tcW w:w="1625" w:type="dxa"/>
            <w:tcBorders>
              <w:tl2br w:val="nil"/>
              <w:tr2bl w:val="nil"/>
            </w:tcBorders>
          </w:tcPr>
          <w:p w14:paraId="2D45C523">
            <w:pPr>
              <w:shd w:val="clear"/>
              <w:rPr>
                <w:rFonts w:hint="eastAsia" w:ascii="宋体" w:hAnsi="宋体" w:cs="宋体"/>
                <w:szCs w:val="21"/>
                <w:highlight w:val="none"/>
              </w:rPr>
            </w:pPr>
          </w:p>
        </w:tc>
        <w:tc>
          <w:tcPr>
            <w:tcW w:w="1080" w:type="dxa"/>
            <w:tcBorders>
              <w:tl2br w:val="nil"/>
              <w:tr2bl w:val="nil"/>
            </w:tcBorders>
            <w:vAlign w:val="center"/>
          </w:tcPr>
          <w:p w14:paraId="68A8A50E">
            <w:pPr>
              <w:shd w:val="clear"/>
              <w:jc w:val="center"/>
              <w:rPr>
                <w:rFonts w:hint="eastAsia" w:ascii="宋体" w:hAnsi="宋体" w:cs="宋体"/>
                <w:szCs w:val="21"/>
                <w:highlight w:val="none"/>
              </w:rPr>
            </w:pPr>
            <w:r>
              <w:rPr>
                <w:rFonts w:hint="eastAsia" w:ascii="宋体" w:hAnsi="宋体" w:cs="宋体"/>
                <w:szCs w:val="21"/>
                <w:highlight w:val="none"/>
              </w:rPr>
              <w:t>年龄</w:t>
            </w:r>
          </w:p>
        </w:tc>
        <w:tc>
          <w:tcPr>
            <w:tcW w:w="1440" w:type="dxa"/>
            <w:gridSpan w:val="2"/>
            <w:tcBorders>
              <w:tl2br w:val="nil"/>
              <w:tr2bl w:val="nil"/>
            </w:tcBorders>
          </w:tcPr>
          <w:p w14:paraId="28D10605">
            <w:pPr>
              <w:shd w:val="clear"/>
              <w:rPr>
                <w:rFonts w:hint="eastAsia" w:ascii="宋体" w:hAnsi="宋体" w:cs="宋体"/>
                <w:szCs w:val="21"/>
                <w:highlight w:val="none"/>
              </w:rPr>
            </w:pPr>
          </w:p>
        </w:tc>
        <w:tc>
          <w:tcPr>
            <w:tcW w:w="1980" w:type="dxa"/>
            <w:gridSpan w:val="2"/>
            <w:tcBorders>
              <w:tl2br w:val="nil"/>
              <w:tr2bl w:val="nil"/>
            </w:tcBorders>
            <w:vAlign w:val="center"/>
          </w:tcPr>
          <w:p w14:paraId="75E0B1EC">
            <w:pPr>
              <w:shd w:val="clear"/>
              <w:jc w:val="center"/>
              <w:rPr>
                <w:rFonts w:hint="eastAsia" w:ascii="宋体" w:hAnsi="宋体" w:cs="宋体"/>
                <w:szCs w:val="21"/>
                <w:highlight w:val="none"/>
              </w:rPr>
            </w:pPr>
            <w:r>
              <w:rPr>
                <w:rFonts w:hint="eastAsia" w:ascii="宋体" w:hAnsi="宋体" w:cs="宋体"/>
                <w:szCs w:val="21"/>
                <w:highlight w:val="none"/>
              </w:rPr>
              <w:t>学          历</w:t>
            </w:r>
          </w:p>
        </w:tc>
        <w:tc>
          <w:tcPr>
            <w:tcW w:w="1868" w:type="dxa"/>
            <w:tcBorders>
              <w:tl2br w:val="nil"/>
              <w:tr2bl w:val="nil"/>
            </w:tcBorders>
          </w:tcPr>
          <w:p w14:paraId="4816AF35">
            <w:pPr>
              <w:shd w:val="clear"/>
              <w:rPr>
                <w:rFonts w:hint="eastAsia" w:ascii="宋体" w:hAnsi="宋体" w:cs="宋体"/>
                <w:szCs w:val="21"/>
                <w:highlight w:val="none"/>
              </w:rPr>
            </w:pPr>
          </w:p>
        </w:tc>
      </w:tr>
      <w:tr w14:paraId="5549A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28" w:type="dxa"/>
            <w:gridSpan w:val="2"/>
            <w:tcBorders>
              <w:tl2br w:val="nil"/>
              <w:tr2bl w:val="nil"/>
            </w:tcBorders>
            <w:vAlign w:val="center"/>
          </w:tcPr>
          <w:p w14:paraId="72918714">
            <w:pPr>
              <w:shd w:val="clear"/>
              <w:jc w:val="center"/>
              <w:rPr>
                <w:rFonts w:hint="eastAsia" w:ascii="宋体" w:hAnsi="宋体" w:cs="宋体"/>
                <w:szCs w:val="21"/>
                <w:highlight w:val="none"/>
              </w:rPr>
            </w:pPr>
            <w:r>
              <w:rPr>
                <w:rFonts w:hint="eastAsia" w:ascii="宋体" w:hAnsi="宋体" w:cs="宋体"/>
                <w:szCs w:val="21"/>
                <w:highlight w:val="none"/>
              </w:rPr>
              <w:t>职称</w:t>
            </w:r>
          </w:p>
        </w:tc>
        <w:tc>
          <w:tcPr>
            <w:tcW w:w="1625" w:type="dxa"/>
            <w:tcBorders>
              <w:tl2br w:val="nil"/>
              <w:tr2bl w:val="nil"/>
            </w:tcBorders>
          </w:tcPr>
          <w:p w14:paraId="53F7EDD8">
            <w:pPr>
              <w:shd w:val="clear"/>
              <w:rPr>
                <w:rFonts w:hint="eastAsia" w:ascii="宋体" w:hAnsi="宋体" w:cs="宋体"/>
                <w:szCs w:val="21"/>
                <w:highlight w:val="none"/>
              </w:rPr>
            </w:pPr>
          </w:p>
        </w:tc>
        <w:tc>
          <w:tcPr>
            <w:tcW w:w="1080" w:type="dxa"/>
            <w:tcBorders>
              <w:tl2br w:val="nil"/>
              <w:tr2bl w:val="nil"/>
            </w:tcBorders>
            <w:vAlign w:val="center"/>
          </w:tcPr>
          <w:p w14:paraId="696C60BE">
            <w:pPr>
              <w:shd w:val="clear"/>
              <w:jc w:val="center"/>
              <w:rPr>
                <w:rFonts w:hint="eastAsia" w:ascii="宋体" w:hAnsi="宋体" w:cs="宋体"/>
                <w:szCs w:val="21"/>
                <w:highlight w:val="none"/>
              </w:rPr>
            </w:pPr>
            <w:r>
              <w:rPr>
                <w:rFonts w:hint="eastAsia" w:ascii="宋体" w:hAnsi="宋体" w:cs="宋体"/>
                <w:szCs w:val="21"/>
                <w:highlight w:val="none"/>
              </w:rPr>
              <w:t>职务</w:t>
            </w:r>
          </w:p>
        </w:tc>
        <w:tc>
          <w:tcPr>
            <w:tcW w:w="1440" w:type="dxa"/>
            <w:gridSpan w:val="2"/>
            <w:tcBorders>
              <w:tl2br w:val="nil"/>
              <w:tr2bl w:val="nil"/>
            </w:tcBorders>
          </w:tcPr>
          <w:p w14:paraId="7DC83ABA">
            <w:pPr>
              <w:shd w:val="clear"/>
              <w:rPr>
                <w:rFonts w:hint="eastAsia" w:ascii="宋体" w:hAnsi="宋体" w:cs="宋体"/>
                <w:szCs w:val="21"/>
                <w:highlight w:val="none"/>
              </w:rPr>
            </w:pPr>
          </w:p>
        </w:tc>
        <w:tc>
          <w:tcPr>
            <w:tcW w:w="1980" w:type="dxa"/>
            <w:gridSpan w:val="2"/>
            <w:tcBorders>
              <w:tl2br w:val="nil"/>
              <w:tr2bl w:val="nil"/>
            </w:tcBorders>
            <w:vAlign w:val="center"/>
          </w:tcPr>
          <w:p w14:paraId="0581EC62">
            <w:pPr>
              <w:shd w:val="clear"/>
              <w:jc w:val="center"/>
              <w:rPr>
                <w:rFonts w:hint="eastAsia" w:ascii="宋体" w:hAnsi="宋体" w:cs="宋体"/>
                <w:szCs w:val="21"/>
                <w:highlight w:val="none"/>
              </w:rPr>
            </w:pPr>
            <w:r>
              <w:rPr>
                <w:rFonts w:hint="eastAsia" w:ascii="宋体" w:hAnsi="宋体" w:cs="宋体"/>
                <w:szCs w:val="21"/>
                <w:highlight w:val="none"/>
              </w:rPr>
              <w:t>拟在本合同任职</w:t>
            </w:r>
          </w:p>
        </w:tc>
        <w:tc>
          <w:tcPr>
            <w:tcW w:w="1868" w:type="dxa"/>
            <w:tcBorders>
              <w:tl2br w:val="nil"/>
              <w:tr2bl w:val="nil"/>
            </w:tcBorders>
          </w:tcPr>
          <w:p w14:paraId="645613FC">
            <w:pPr>
              <w:shd w:val="clear"/>
              <w:rPr>
                <w:rFonts w:hint="eastAsia" w:ascii="宋体" w:hAnsi="宋体" w:cs="宋体"/>
                <w:szCs w:val="21"/>
                <w:highlight w:val="none"/>
              </w:rPr>
            </w:pPr>
          </w:p>
        </w:tc>
      </w:tr>
      <w:tr w14:paraId="28A83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28" w:type="dxa"/>
            <w:gridSpan w:val="2"/>
            <w:tcBorders>
              <w:tl2br w:val="nil"/>
              <w:tr2bl w:val="nil"/>
            </w:tcBorders>
            <w:vAlign w:val="center"/>
          </w:tcPr>
          <w:p w14:paraId="059B7FC3">
            <w:pPr>
              <w:shd w:val="clear"/>
              <w:jc w:val="center"/>
              <w:rPr>
                <w:rFonts w:hint="eastAsia" w:ascii="宋体" w:hAnsi="宋体" w:cs="宋体"/>
                <w:szCs w:val="21"/>
                <w:highlight w:val="none"/>
              </w:rPr>
            </w:pPr>
            <w:r>
              <w:rPr>
                <w:rFonts w:hint="eastAsia" w:ascii="宋体" w:hAnsi="宋体" w:cs="宋体"/>
                <w:szCs w:val="21"/>
                <w:highlight w:val="none"/>
              </w:rPr>
              <w:t>毕业学校</w:t>
            </w:r>
          </w:p>
        </w:tc>
        <w:tc>
          <w:tcPr>
            <w:tcW w:w="7993" w:type="dxa"/>
            <w:gridSpan w:val="7"/>
            <w:tcBorders>
              <w:tl2br w:val="nil"/>
              <w:tr2bl w:val="nil"/>
            </w:tcBorders>
          </w:tcPr>
          <w:p w14:paraId="398118FB">
            <w:pPr>
              <w:shd w:val="clear"/>
              <w:ind w:firstLine="525" w:firstLineChars="250"/>
              <w:rPr>
                <w:rFonts w:hint="eastAsia" w:ascii="宋体" w:hAnsi="宋体" w:cs="宋体"/>
                <w:szCs w:val="21"/>
                <w:highlight w:val="none"/>
              </w:rPr>
            </w:pPr>
            <w:r>
              <w:rPr>
                <w:rFonts w:hint="eastAsia" w:ascii="宋体" w:hAnsi="宋体" w:cs="宋体"/>
                <w:szCs w:val="21"/>
                <w:highlight w:val="none"/>
              </w:rPr>
              <w:t>年毕业于                 学校         专业</w:t>
            </w:r>
          </w:p>
        </w:tc>
      </w:tr>
      <w:tr w14:paraId="5EE13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821" w:type="dxa"/>
            <w:gridSpan w:val="9"/>
            <w:tcBorders>
              <w:tl2br w:val="nil"/>
              <w:tr2bl w:val="nil"/>
            </w:tcBorders>
          </w:tcPr>
          <w:p w14:paraId="5862BC5E">
            <w:pPr>
              <w:shd w:val="clear"/>
              <w:rPr>
                <w:rFonts w:hint="eastAsia" w:ascii="宋体" w:hAnsi="宋体" w:cs="宋体"/>
                <w:szCs w:val="21"/>
                <w:highlight w:val="none"/>
              </w:rPr>
            </w:pPr>
            <w:r>
              <w:rPr>
                <w:rFonts w:hint="eastAsia" w:ascii="宋体" w:hAnsi="宋体" w:cs="宋体"/>
                <w:szCs w:val="21"/>
                <w:highlight w:val="none"/>
              </w:rPr>
              <w:t>主要工作经历</w:t>
            </w:r>
          </w:p>
        </w:tc>
      </w:tr>
      <w:tr w14:paraId="67D25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73" w:type="dxa"/>
            <w:tcBorders>
              <w:tl2br w:val="nil"/>
              <w:tr2bl w:val="nil"/>
            </w:tcBorders>
            <w:vAlign w:val="center"/>
          </w:tcPr>
          <w:p w14:paraId="0187ED6E">
            <w:pPr>
              <w:shd w:val="clear"/>
              <w:jc w:val="center"/>
              <w:rPr>
                <w:rFonts w:hint="eastAsia" w:ascii="宋体" w:hAnsi="宋体" w:cs="宋体"/>
                <w:szCs w:val="21"/>
                <w:highlight w:val="none"/>
              </w:rPr>
            </w:pPr>
            <w:r>
              <w:rPr>
                <w:rFonts w:hint="eastAsia" w:ascii="宋体" w:hAnsi="宋体" w:cs="宋体"/>
                <w:szCs w:val="21"/>
                <w:highlight w:val="none"/>
              </w:rPr>
              <w:t>时间</w:t>
            </w:r>
          </w:p>
        </w:tc>
        <w:tc>
          <w:tcPr>
            <w:tcW w:w="3960" w:type="dxa"/>
            <w:gridSpan w:val="4"/>
            <w:tcBorders>
              <w:tl2br w:val="nil"/>
              <w:tr2bl w:val="nil"/>
            </w:tcBorders>
            <w:vAlign w:val="center"/>
          </w:tcPr>
          <w:p w14:paraId="56AC55EC">
            <w:pPr>
              <w:shd w:val="clear"/>
              <w:jc w:val="center"/>
              <w:rPr>
                <w:rFonts w:hint="eastAsia" w:ascii="宋体" w:hAnsi="宋体" w:cs="宋体"/>
                <w:szCs w:val="21"/>
                <w:highlight w:val="none"/>
              </w:rPr>
            </w:pPr>
            <w:r>
              <w:rPr>
                <w:rFonts w:hint="eastAsia" w:ascii="宋体" w:hAnsi="宋体" w:cs="宋体"/>
                <w:szCs w:val="21"/>
                <w:highlight w:val="none"/>
              </w:rPr>
              <w:t>参加过的类似项目</w:t>
            </w:r>
          </w:p>
        </w:tc>
        <w:tc>
          <w:tcPr>
            <w:tcW w:w="1792" w:type="dxa"/>
            <w:gridSpan w:val="2"/>
            <w:tcBorders>
              <w:tl2br w:val="nil"/>
              <w:tr2bl w:val="nil"/>
            </w:tcBorders>
            <w:vAlign w:val="center"/>
          </w:tcPr>
          <w:p w14:paraId="2C692B15">
            <w:pPr>
              <w:shd w:val="clear"/>
              <w:jc w:val="center"/>
              <w:rPr>
                <w:rFonts w:hint="eastAsia" w:ascii="宋体" w:hAnsi="宋体" w:cs="宋体"/>
                <w:szCs w:val="21"/>
                <w:highlight w:val="none"/>
              </w:rPr>
            </w:pPr>
            <w:r>
              <w:rPr>
                <w:rFonts w:hint="eastAsia" w:ascii="宋体" w:hAnsi="宋体" w:cs="宋体"/>
                <w:szCs w:val="21"/>
                <w:highlight w:val="none"/>
              </w:rPr>
              <w:t>担任职务</w:t>
            </w:r>
          </w:p>
        </w:tc>
        <w:tc>
          <w:tcPr>
            <w:tcW w:w="2596" w:type="dxa"/>
            <w:gridSpan w:val="2"/>
            <w:tcBorders>
              <w:tl2br w:val="nil"/>
              <w:tr2bl w:val="nil"/>
            </w:tcBorders>
            <w:vAlign w:val="center"/>
          </w:tcPr>
          <w:p w14:paraId="59A69C98">
            <w:pPr>
              <w:shd w:val="clear"/>
              <w:jc w:val="center"/>
              <w:rPr>
                <w:rFonts w:hint="eastAsia" w:ascii="宋体" w:hAnsi="宋体" w:cs="宋体"/>
                <w:szCs w:val="21"/>
                <w:highlight w:val="none"/>
              </w:rPr>
            </w:pPr>
            <w:r>
              <w:rPr>
                <w:rFonts w:hint="eastAsia" w:ascii="宋体" w:hAnsi="宋体" w:cs="宋体"/>
                <w:szCs w:val="21"/>
                <w:highlight w:val="none"/>
              </w:rPr>
              <w:t>发包人及联系电话</w:t>
            </w:r>
          </w:p>
        </w:tc>
      </w:tr>
      <w:tr w14:paraId="3D2B3E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73" w:type="dxa"/>
            <w:tcBorders>
              <w:tl2br w:val="nil"/>
              <w:tr2bl w:val="nil"/>
            </w:tcBorders>
          </w:tcPr>
          <w:p w14:paraId="0B4D39D4">
            <w:pPr>
              <w:shd w:val="clear"/>
              <w:rPr>
                <w:rFonts w:hint="eastAsia" w:ascii="宋体" w:hAnsi="宋体" w:cs="宋体"/>
                <w:szCs w:val="21"/>
                <w:highlight w:val="none"/>
              </w:rPr>
            </w:pPr>
          </w:p>
        </w:tc>
        <w:tc>
          <w:tcPr>
            <w:tcW w:w="3960" w:type="dxa"/>
            <w:gridSpan w:val="4"/>
            <w:tcBorders>
              <w:tl2br w:val="nil"/>
              <w:tr2bl w:val="nil"/>
            </w:tcBorders>
          </w:tcPr>
          <w:p w14:paraId="2CB03EE0">
            <w:pPr>
              <w:shd w:val="clear"/>
              <w:rPr>
                <w:rFonts w:hint="eastAsia" w:ascii="宋体" w:hAnsi="宋体" w:cs="宋体"/>
                <w:szCs w:val="21"/>
                <w:highlight w:val="none"/>
              </w:rPr>
            </w:pPr>
          </w:p>
        </w:tc>
        <w:tc>
          <w:tcPr>
            <w:tcW w:w="1792" w:type="dxa"/>
            <w:gridSpan w:val="2"/>
            <w:tcBorders>
              <w:tl2br w:val="nil"/>
              <w:tr2bl w:val="nil"/>
            </w:tcBorders>
          </w:tcPr>
          <w:p w14:paraId="0068EE72">
            <w:pPr>
              <w:shd w:val="clear"/>
              <w:rPr>
                <w:rFonts w:hint="eastAsia" w:ascii="宋体" w:hAnsi="宋体" w:cs="宋体"/>
                <w:szCs w:val="21"/>
                <w:highlight w:val="none"/>
              </w:rPr>
            </w:pPr>
          </w:p>
        </w:tc>
        <w:tc>
          <w:tcPr>
            <w:tcW w:w="2596" w:type="dxa"/>
            <w:gridSpan w:val="2"/>
            <w:tcBorders>
              <w:tl2br w:val="nil"/>
              <w:tr2bl w:val="nil"/>
            </w:tcBorders>
          </w:tcPr>
          <w:p w14:paraId="54904170">
            <w:pPr>
              <w:shd w:val="clear"/>
              <w:rPr>
                <w:rFonts w:hint="eastAsia" w:ascii="宋体" w:hAnsi="宋体" w:cs="宋体"/>
                <w:szCs w:val="21"/>
                <w:highlight w:val="none"/>
              </w:rPr>
            </w:pPr>
          </w:p>
        </w:tc>
      </w:tr>
      <w:tr w14:paraId="4ED978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73" w:type="dxa"/>
            <w:tcBorders>
              <w:tl2br w:val="nil"/>
              <w:tr2bl w:val="nil"/>
            </w:tcBorders>
          </w:tcPr>
          <w:p w14:paraId="3EFA608F">
            <w:pPr>
              <w:shd w:val="clear"/>
              <w:rPr>
                <w:rFonts w:hint="eastAsia" w:ascii="宋体" w:hAnsi="宋体" w:cs="宋体"/>
                <w:szCs w:val="21"/>
                <w:highlight w:val="none"/>
              </w:rPr>
            </w:pPr>
          </w:p>
        </w:tc>
        <w:tc>
          <w:tcPr>
            <w:tcW w:w="3960" w:type="dxa"/>
            <w:gridSpan w:val="4"/>
            <w:tcBorders>
              <w:tl2br w:val="nil"/>
              <w:tr2bl w:val="nil"/>
            </w:tcBorders>
          </w:tcPr>
          <w:p w14:paraId="2657241E">
            <w:pPr>
              <w:shd w:val="clear"/>
              <w:rPr>
                <w:rFonts w:hint="eastAsia" w:ascii="宋体" w:hAnsi="宋体" w:cs="宋体"/>
                <w:szCs w:val="21"/>
                <w:highlight w:val="none"/>
              </w:rPr>
            </w:pPr>
          </w:p>
        </w:tc>
        <w:tc>
          <w:tcPr>
            <w:tcW w:w="1792" w:type="dxa"/>
            <w:gridSpan w:val="2"/>
            <w:tcBorders>
              <w:tl2br w:val="nil"/>
              <w:tr2bl w:val="nil"/>
            </w:tcBorders>
          </w:tcPr>
          <w:p w14:paraId="78116863">
            <w:pPr>
              <w:shd w:val="clear"/>
              <w:rPr>
                <w:rFonts w:hint="eastAsia" w:ascii="宋体" w:hAnsi="宋体" w:cs="宋体"/>
                <w:szCs w:val="21"/>
                <w:highlight w:val="none"/>
              </w:rPr>
            </w:pPr>
          </w:p>
        </w:tc>
        <w:tc>
          <w:tcPr>
            <w:tcW w:w="2596" w:type="dxa"/>
            <w:gridSpan w:val="2"/>
            <w:tcBorders>
              <w:tl2br w:val="nil"/>
              <w:tr2bl w:val="nil"/>
            </w:tcBorders>
          </w:tcPr>
          <w:p w14:paraId="4EDEA7D5">
            <w:pPr>
              <w:shd w:val="clear"/>
              <w:rPr>
                <w:rFonts w:hint="eastAsia" w:ascii="宋体" w:hAnsi="宋体" w:cs="宋体"/>
                <w:szCs w:val="21"/>
                <w:highlight w:val="none"/>
              </w:rPr>
            </w:pPr>
          </w:p>
        </w:tc>
      </w:tr>
      <w:tr w14:paraId="35DF3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73" w:type="dxa"/>
            <w:tcBorders>
              <w:tl2br w:val="nil"/>
              <w:tr2bl w:val="nil"/>
            </w:tcBorders>
          </w:tcPr>
          <w:p w14:paraId="07F4D789">
            <w:pPr>
              <w:shd w:val="clear"/>
              <w:rPr>
                <w:rFonts w:hint="eastAsia" w:ascii="宋体" w:hAnsi="宋体" w:cs="宋体"/>
                <w:szCs w:val="21"/>
                <w:highlight w:val="none"/>
              </w:rPr>
            </w:pPr>
          </w:p>
        </w:tc>
        <w:tc>
          <w:tcPr>
            <w:tcW w:w="3960" w:type="dxa"/>
            <w:gridSpan w:val="4"/>
            <w:tcBorders>
              <w:tl2br w:val="nil"/>
              <w:tr2bl w:val="nil"/>
            </w:tcBorders>
          </w:tcPr>
          <w:p w14:paraId="56FD5499">
            <w:pPr>
              <w:shd w:val="clear"/>
              <w:rPr>
                <w:rFonts w:hint="eastAsia" w:ascii="宋体" w:hAnsi="宋体" w:cs="宋体"/>
                <w:szCs w:val="21"/>
                <w:highlight w:val="none"/>
              </w:rPr>
            </w:pPr>
          </w:p>
        </w:tc>
        <w:tc>
          <w:tcPr>
            <w:tcW w:w="1792" w:type="dxa"/>
            <w:gridSpan w:val="2"/>
            <w:tcBorders>
              <w:tl2br w:val="nil"/>
              <w:tr2bl w:val="nil"/>
            </w:tcBorders>
          </w:tcPr>
          <w:p w14:paraId="4FA34367">
            <w:pPr>
              <w:shd w:val="clear"/>
              <w:rPr>
                <w:rFonts w:hint="eastAsia" w:ascii="宋体" w:hAnsi="宋体" w:cs="宋体"/>
                <w:szCs w:val="21"/>
                <w:highlight w:val="none"/>
              </w:rPr>
            </w:pPr>
          </w:p>
        </w:tc>
        <w:tc>
          <w:tcPr>
            <w:tcW w:w="2596" w:type="dxa"/>
            <w:gridSpan w:val="2"/>
            <w:tcBorders>
              <w:tl2br w:val="nil"/>
              <w:tr2bl w:val="nil"/>
            </w:tcBorders>
          </w:tcPr>
          <w:p w14:paraId="455DADBE">
            <w:pPr>
              <w:shd w:val="clear"/>
              <w:rPr>
                <w:rFonts w:hint="eastAsia" w:ascii="宋体" w:hAnsi="宋体" w:cs="宋体"/>
                <w:szCs w:val="21"/>
                <w:highlight w:val="none"/>
              </w:rPr>
            </w:pPr>
          </w:p>
        </w:tc>
      </w:tr>
      <w:tr w14:paraId="690E6A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73" w:type="dxa"/>
            <w:tcBorders>
              <w:tl2br w:val="nil"/>
              <w:tr2bl w:val="nil"/>
            </w:tcBorders>
          </w:tcPr>
          <w:p w14:paraId="50688F03">
            <w:pPr>
              <w:shd w:val="clear"/>
              <w:rPr>
                <w:rFonts w:hint="eastAsia" w:ascii="宋体" w:hAnsi="宋体" w:cs="宋体"/>
                <w:szCs w:val="21"/>
                <w:highlight w:val="none"/>
              </w:rPr>
            </w:pPr>
            <w:r>
              <w:rPr>
                <w:rFonts w:hint="eastAsia" w:ascii="宋体" w:hAnsi="宋体" w:cs="宋体"/>
                <w:szCs w:val="21"/>
                <w:highlight w:val="none"/>
              </w:rPr>
              <w:t>……</w:t>
            </w:r>
          </w:p>
        </w:tc>
        <w:tc>
          <w:tcPr>
            <w:tcW w:w="3960" w:type="dxa"/>
            <w:gridSpan w:val="4"/>
            <w:tcBorders>
              <w:tl2br w:val="nil"/>
              <w:tr2bl w:val="nil"/>
            </w:tcBorders>
          </w:tcPr>
          <w:p w14:paraId="56435163">
            <w:pPr>
              <w:shd w:val="clear"/>
              <w:rPr>
                <w:rFonts w:hint="eastAsia" w:ascii="宋体" w:hAnsi="宋体" w:cs="宋体"/>
                <w:szCs w:val="21"/>
                <w:highlight w:val="none"/>
              </w:rPr>
            </w:pPr>
          </w:p>
        </w:tc>
        <w:tc>
          <w:tcPr>
            <w:tcW w:w="1792" w:type="dxa"/>
            <w:gridSpan w:val="2"/>
            <w:tcBorders>
              <w:tl2br w:val="nil"/>
              <w:tr2bl w:val="nil"/>
            </w:tcBorders>
          </w:tcPr>
          <w:p w14:paraId="6F9620FF">
            <w:pPr>
              <w:shd w:val="clear"/>
              <w:rPr>
                <w:rFonts w:hint="eastAsia" w:ascii="宋体" w:hAnsi="宋体" w:cs="宋体"/>
                <w:szCs w:val="21"/>
                <w:highlight w:val="none"/>
              </w:rPr>
            </w:pPr>
          </w:p>
        </w:tc>
        <w:tc>
          <w:tcPr>
            <w:tcW w:w="2596" w:type="dxa"/>
            <w:gridSpan w:val="2"/>
            <w:tcBorders>
              <w:tl2br w:val="nil"/>
              <w:tr2bl w:val="nil"/>
            </w:tcBorders>
          </w:tcPr>
          <w:p w14:paraId="6D7CD543">
            <w:pPr>
              <w:shd w:val="clear"/>
              <w:rPr>
                <w:rFonts w:hint="eastAsia" w:ascii="宋体" w:hAnsi="宋体" w:cs="宋体"/>
                <w:szCs w:val="21"/>
                <w:highlight w:val="none"/>
              </w:rPr>
            </w:pPr>
          </w:p>
        </w:tc>
      </w:tr>
    </w:tbl>
    <w:p w14:paraId="691E06CB">
      <w:pPr>
        <w:shd w:val="clear"/>
        <w:jc w:val="center"/>
        <w:rPr>
          <w:rFonts w:hint="eastAsia" w:ascii="宋体" w:hAnsi="宋体" w:cs="宋体"/>
          <w:b/>
          <w:bCs/>
          <w:sz w:val="28"/>
          <w:szCs w:val="28"/>
          <w:highlight w:val="none"/>
        </w:rPr>
      </w:pPr>
      <w:r>
        <w:rPr>
          <w:rFonts w:hint="eastAsia" w:ascii="宋体" w:hAnsi="宋体" w:cs="宋体"/>
          <w:b/>
          <w:bCs/>
          <w:sz w:val="28"/>
          <w:szCs w:val="28"/>
          <w:highlight w:val="none"/>
        </w:rPr>
        <w:br w:type="page"/>
      </w:r>
      <w:r>
        <w:rPr>
          <w:rFonts w:hint="eastAsia" w:ascii="宋体" w:hAnsi="宋体" w:cs="宋体"/>
          <w:b/>
          <w:bCs/>
          <w:sz w:val="28"/>
          <w:szCs w:val="28"/>
          <w:highlight w:val="none"/>
        </w:rPr>
        <w:t>十、供应商简介</w:t>
      </w:r>
    </w:p>
    <w:p w14:paraId="3FF78532">
      <w:pPr>
        <w:shd w:val="clear"/>
        <w:spacing w:before="156" w:beforeLines="50" w:after="156" w:afterLines="50"/>
        <w:jc w:val="center"/>
        <w:rPr>
          <w:highlight w:val="none"/>
        </w:rPr>
      </w:pPr>
      <w:r>
        <w:rPr>
          <w:rFonts w:hint="eastAsia" w:ascii="宋体" w:hAnsi="宋体" w:cs="宋体"/>
          <w:szCs w:val="21"/>
          <w:highlight w:val="none"/>
        </w:rPr>
        <w:t>（格式自拟）</w:t>
      </w:r>
    </w:p>
    <w:p w14:paraId="15BD94C6">
      <w:pPr>
        <w:shd w:val="clear"/>
        <w:spacing w:before="156" w:beforeLines="50" w:after="156" w:afterLines="50"/>
        <w:jc w:val="left"/>
        <w:rPr>
          <w:rFonts w:hint="eastAsia" w:ascii="宋体" w:hAnsi="宋体" w:cs="宋体"/>
          <w:b/>
          <w:bCs/>
          <w:sz w:val="28"/>
          <w:szCs w:val="28"/>
          <w:highlight w:val="none"/>
        </w:rPr>
      </w:pPr>
    </w:p>
    <w:p w14:paraId="25013FF4">
      <w:pPr>
        <w:pStyle w:val="9"/>
        <w:shd w:val="clear"/>
        <w:rPr>
          <w:rFonts w:hint="eastAsia"/>
          <w:highlight w:val="none"/>
        </w:rPr>
      </w:pPr>
    </w:p>
    <w:p w14:paraId="3BFF4D2E">
      <w:pPr>
        <w:shd w:val="clear"/>
        <w:rPr>
          <w:highlight w:val="none"/>
        </w:rPr>
      </w:pPr>
    </w:p>
    <w:p w14:paraId="4C40B9DF">
      <w:pPr>
        <w:shd w:val="clear"/>
        <w:spacing w:before="156" w:beforeLines="50" w:after="156" w:afterLines="50"/>
        <w:jc w:val="center"/>
        <w:rPr>
          <w:rFonts w:hint="eastAsia" w:ascii="宋体" w:hAnsi="宋体" w:cs="宋体"/>
          <w:b/>
          <w:bCs/>
          <w:sz w:val="28"/>
          <w:szCs w:val="28"/>
          <w:highlight w:val="none"/>
        </w:rPr>
      </w:pPr>
      <w:r>
        <w:rPr>
          <w:rFonts w:hint="eastAsia" w:ascii="宋体" w:hAnsi="宋体" w:cs="宋体"/>
          <w:b/>
          <w:bCs/>
          <w:sz w:val="28"/>
          <w:szCs w:val="28"/>
          <w:highlight w:val="none"/>
        </w:rPr>
        <w:t>十一、有效的营业执照及相关资质证书复制件</w:t>
      </w:r>
    </w:p>
    <w:p w14:paraId="6A2789E2">
      <w:pPr>
        <w:shd w:val="clear"/>
        <w:spacing w:before="156" w:beforeLines="50" w:after="156" w:afterLines="50"/>
        <w:jc w:val="left"/>
        <w:rPr>
          <w:rFonts w:hint="eastAsia" w:ascii="宋体" w:hAnsi="宋体" w:cs="宋体"/>
          <w:b/>
          <w:bCs/>
          <w:sz w:val="28"/>
          <w:szCs w:val="28"/>
          <w:highlight w:val="none"/>
        </w:rPr>
      </w:pPr>
    </w:p>
    <w:p w14:paraId="09E19632">
      <w:pPr>
        <w:shd w:val="clear"/>
        <w:spacing w:before="156" w:beforeLines="50" w:after="156" w:afterLines="50"/>
        <w:jc w:val="center"/>
        <w:rPr>
          <w:rFonts w:hint="eastAsia" w:ascii="宋体" w:hAnsi="宋体" w:cs="宋体"/>
          <w:b/>
          <w:bCs/>
          <w:sz w:val="28"/>
          <w:szCs w:val="28"/>
          <w:highlight w:val="none"/>
        </w:rPr>
      </w:pPr>
    </w:p>
    <w:p w14:paraId="2E4BAFA4">
      <w:pPr>
        <w:pStyle w:val="9"/>
        <w:shd w:val="clear"/>
        <w:rPr>
          <w:rFonts w:hint="eastAsia"/>
          <w:highlight w:val="none"/>
          <w:lang w:eastAsia="zh-CN"/>
        </w:rPr>
      </w:pPr>
    </w:p>
    <w:p w14:paraId="289DF840">
      <w:pPr>
        <w:pStyle w:val="14"/>
        <w:shd w:val="clear"/>
        <w:ind w:left="5250"/>
        <w:rPr>
          <w:highlight w:val="none"/>
        </w:rPr>
      </w:pPr>
    </w:p>
    <w:p w14:paraId="4F4988A4">
      <w:pPr>
        <w:shd w:val="clear"/>
        <w:jc w:val="center"/>
        <w:rPr>
          <w:rFonts w:hint="eastAsia" w:ascii="宋体" w:hAnsi="宋体" w:cs="宋体"/>
          <w:b/>
          <w:bCs/>
          <w:sz w:val="28"/>
          <w:szCs w:val="28"/>
          <w:highlight w:val="none"/>
        </w:rPr>
      </w:pPr>
      <w:r>
        <w:rPr>
          <w:rFonts w:hint="eastAsia" w:ascii="宋体" w:hAnsi="宋体" w:cs="宋体"/>
          <w:b/>
          <w:bCs/>
          <w:sz w:val="28"/>
          <w:szCs w:val="28"/>
          <w:highlight w:val="none"/>
        </w:rPr>
        <w:t>十二、技术方案</w:t>
      </w:r>
    </w:p>
    <w:p w14:paraId="530BC9CD">
      <w:pPr>
        <w:shd w:val="clear"/>
        <w:spacing w:before="156" w:beforeLines="50" w:after="156" w:afterLines="50"/>
        <w:jc w:val="center"/>
        <w:rPr>
          <w:highlight w:val="none"/>
        </w:rPr>
      </w:pPr>
      <w:r>
        <w:rPr>
          <w:rFonts w:hint="eastAsia" w:ascii="宋体" w:hAnsi="宋体" w:cs="宋体"/>
          <w:szCs w:val="21"/>
          <w:highlight w:val="none"/>
        </w:rPr>
        <w:t>（格式自拟）</w:t>
      </w:r>
    </w:p>
    <w:p w14:paraId="0649AF98">
      <w:pPr>
        <w:shd w:val="clear"/>
        <w:spacing w:before="156" w:beforeLines="50" w:after="156" w:afterLines="50"/>
        <w:jc w:val="left"/>
        <w:rPr>
          <w:rFonts w:hint="eastAsia" w:ascii="宋体" w:hAnsi="宋体" w:cs="宋体"/>
          <w:b/>
          <w:bCs/>
          <w:sz w:val="28"/>
          <w:szCs w:val="28"/>
          <w:highlight w:val="none"/>
        </w:rPr>
      </w:pPr>
    </w:p>
    <w:p w14:paraId="53E1FFD5">
      <w:pPr>
        <w:shd w:val="clear"/>
        <w:spacing w:before="156" w:beforeLines="50" w:after="156" w:afterLines="50"/>
        <w:jc w:val="center"/>
        <w:rPr>
          <w:rFonts w:hint="eastAsia" w:ascii="宋体" w:hAnsi="宋体" w:cs="宋体"/>
          <w:b/>
          <w:bCs/>
          <w:sz w:val="28"/>
          <w:szCs w:val="28"/>
          <w:highlight w:val="none"/>
        </w:rPr>
      </w:pPr>
    </w:p>
    <w:p w14:paraId="20206F43">
      <w:pPr>
        <w:pStyle w:val="9"/>
        <w:shd w:val="clear"/>
        <w:rPr>
          <w:rFonts w:hint="eastAsia"/>
          <w:highlight w:val="none"/>
          <w:lang w:eastAsia="zh-CN"/>
        </w:rPr>
      </w:pPr>
    </w:p>
    <w:p w14:paraId="175931DD">
      <w:pPr>
        <w:pStyle w:val="9"/>
        <w:shd w:val="clear"/>
        <w:rPr>
          <w:rFonts w:hint="eastAsia"/>
          <w:b/>
          <w:bCs/>
          <w:sz w:val="28"/>
          <w:szCs w:val="28"/>
          <w:highlight w:val="none"/>
          <w:lang w:eastAsia="zh-CN"/>
        </w:rPr>
      </w:pPr>
    </w:p>
    <w:p w14:paraId="53DA9A90">
      <w:pPr>
        <w:shd w:val="clear"/>
        <w:spacing w:before="156" w:beforeLines="50" w:after="156" w:afterLines="50"/>
        <w:jc w:val="center"/>
        <w:rPr>
          <w:rFonts w:hint="eastAsia" w:ascii="宋体" w:hAnsi="宋体" w:cs="宋体"/>
          <w:b/>
          <w:bCs/>
          <w:sz w:val="28"/>
          <w:szCs w:val="28"/>
          <w:highlight w:val="none"/>
        </w:rPr>
      </w:pPr>
      <w:r>
        <w:rPr>
          <w:rFonts w:hint="eastAsia" w:ascii="宋体" w:hAnsi="宋体" w:cs="宋体"/>
          <w:b/>
          <w:bCs/>
          <w:sz w:val="28"/>
          <w:szCs w:val="28"/>
          <w:highlight w:val="none"/>
        </w:rPr>
        <w:t>十三、资格条件和评审方法中规定需要提交的其他证明文件及承诺或供应商认为需要提供的其他资料。</w:t>
      </w:r>
    </w:p>
    <w:p w14:paraId="046877C2">
      <w:pPr>
        <w:shd w:val="clear"/>
        <w:spacing w:line="360" w:lineRule="auto"/>
        <w:jc w:val="center"/>
        <w:rPr>
          <w:rFonts w:hint="eastAsia" w:ascii="宋体" w:hAnsi="宋体" w:cs="宋体"/>
          <w:b/>
          <w:bCs/>
          <w:sz w:val="28"/>
          <w:szCs w:val="28"/>
          <w:highlight w:val="none"/>
        </w:rPr>
      </w:pPr>
      <w:r>
        <w:rPr>
          <w:rFonts w:hint="eastAsia" w:ascii="宋体" w:hAnsi="宋体" w:cs="宋体"/>
          <w:szCs w:val="21"/>
          <w:highlight w:val="none"/>
        </w:rPr>
        <w:t>（格式自拟）</w:t>
      </w:r>
      <w:r>
        <w:rPr>
          <w:rFonts w:hint="eastAsia" w:ascii="宋体" w:hAnsi="宋体" w:cs="宋体"/>
          <w:szCs w:val="21"/>
          <w:highlight w:val="none"/>
        </w:rPr>
        <w:br w:type="page"/>
      </w:r>
      <w:r>
        <w:rPr>
          <w:rFonts w:hint="eastAsia" w:ascii="宋体" w:hAnsi="宋体" w:cs="宋体"/>
          <w:b/>
          <w:bCs/>
          <w:sz w:val="28"/>
          <w:szCs w:val="28"/>
          <w:highlight w:val="none"/>
        </w:rPr>
        <w:t>十四、评审指标对应资料索引表</w:t>
      </w:r>
    </w:p>
    <w:p w14:paraId="36C7011A">
      <w:pPr>
        <w:pStyle w:val="34"/>
        <w:shd w:val="clear"/>
        <w:ind w:firstLine="420"/>
        <w:rPr>
          <w:highlight w:val="none"/>
        </w:rPr>
      </w:pP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5"/>
        <w:gridCol w:w="3451"/>
        <w:gridCol w:w="2730"/>
        <w:gridCol w:w="2538"/>
      </w:tblGrid>
      <w:tr w14:paraId="62EF8C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0B82220F">
            <w:pPr>
              <w:shd w:val="clear"/>
              <w:jc w:val="center"/>
              <w:rPr>
                <w:rFonts w:hint="eastAsia" w:ascii="宋体" w:hAnsi="宋体" w:cs="宋体"/>
                <w:b/>
                <w:sz w:val="24"/>
                <w:highlight w:val="none"/>
              </w:rPr>
            </w:pPr>
            <w:r>
              <w:rPr>
                <w:rFonts w:hint="eastAsia" w:ascii="宋体" w:hAnsi="宋体" w:cs="宋体"/>
                <w:b/>
                <w:sz w:val="24"/>
                <w:highlight w:val="none"/>
              </w:rPr>
              <w:t>序号</w:t>
            </w:r>
          </w:p>
        </w:tc>
        <w:tc>
          <w:tcPr>
            <w:tcW w:w="3451" w:type="dxa"/>
            <w:tcBorders>
              <w:tl2br w:val="nil"/>
              <w:tr2bl w:val="nil"/>
            </w:tcBorders>
            <w:vAlign w:val="center"/>
          </w:tcPr>
          <w:p w14:paraId="1A61443C">
            <w:pPr>
              <w:shd w:val="clear"/>
              <w:jc w:val="center"/>
              <w:rPr>
                <w:rFonts w:hint="eastAsia" w:ascii="宋体" w:hAnsi="宋体" w:cs="宋体"/>
                <w:b/>
                <w:sz w:val="24"/>
                <w:highlight w:val="none"/>
              </w:rPr>
            </w:pPr>
            <w:r>
              <w:rPr>
                <w:rFonts w:hint="eastAsia" w:ascii="宋体" w:hAnsi="宋体" w:cs="宋体"/>
                <w:b/>
                <w:sz w:val="24"/>
                <w:highlight w:val="none"/>
              </w:rPr>
              <w:t>询比文件“评审方法”评审对应指标</w:t>
            </w:r>
          </w:p>
        </w:tc>
        <w:tc>
          <w:tcPr>
            <w:tcW w:w="2730" w:type="dxa"/>
            <w:tcBorders>
              <w:tl2br w:val="nil"/>
              <w:tr2bl w:val="nil"/>
            </w:tcBorders>
            <w:vAlign w:val="center"/>
          </w:tcPr>
          <w:p w14:paraId="208380C6">
            <w:pPr>
              <w:shd w:val="clear"/>
              <w:jc w:val="center"/>
              <w:rPr>
                <w:rFonts w:hint="eastAsia" w:ascii="宋体" w:hAnsi="宋体" w:cs="宋体"/>
                <w:b/>
                <w:sz w:val="24"/>
                <w:highlight w:val="none"/>
              </w:rPr>
            </w:pPr>
            <w:r>
              <w:rPr>
                <w:rFonts w:hint="eastAsia" w:ascii="宋体" w:hAnsi="宋体" w:cs="宋体"/>
                <w:b/>
                <w:sz w:val="24"/>
                <w:highlight w:val="none"/>
              </w:rPr>
              <w:t>陈述、说明、方案及</w:t>
            </w:r>
            <w:r>
              <w:rPr>
                <w:rFonts w:hint="eastAsia" w:ascii="宋体" w:hAnsi="宋体" w:cs="宋体"/>
                <w:b/>
                <w:sz w:val="24"/>
                <w:highlight w:val="none"/>
              </w:rPr>
              <w:br w:type="textWrapping"/>
            </w:r>
            <w:r>
              <w:rPr>
                <w:rFonts w:hint="eastAsia" w:ascii="宋体" w:hAnsi="宋体" w:cs="宋体"/>
                <w:b/>
                <w:sz w:val="24"/>
                <w:highlight w:val="none"/>
              </w:rPr>
              <w:t>证明资料名称</w:t>
            </w:r>
          </w:p>
        </w:tc>
        <w:tc>
          <w:tcPr>
            <w:tcW w:w="2538" w:type="dxa"/>
            <w:tcBorders>
              <w:tl2br w:val="nil"/>
              <w:tr2bl w:val="nil"/>
            </w:tcBorders>
            <w:vAlign w:val="center"/>
          </w:tcPr>
          <w:p w14:paraId="6FEFF0A3">
            <w:pPr>
              <w:shd w:val="clear"/>
              <w:jc w:val="center"/>
              <w:rPr>
                <w:rFonts w:hint="eastAsia" w:ascii="宋体" w:hAnsi="宋体" w:cs="宋体"/>
                <w:b/>
                <w:sz w:val="24"/>
                <w:highlight w:val="none"/>
              </w:rPr>
            </w:pPr>
            <w:r>
              <w:rPr>
                <w:rFonts w:hint="eastAsia" w:ascii="宋体" w:hAnsi="宋体" w:cs="宋体"/>
                <w:b/>
                <w:sz w:val="24"/>
                <w:highlight w:val="none"/>
              </w:rPr>
              <w:t>响应文件对应页码范围</w:t>
            </w:r>
          </w:p>
        </w:tc>
      </w:tr>
      <w:tr w14:paraId="0570FC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1AF5E063">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一</w:t>
            </w:r>
          </w:p>
        </w:tc>
        <w:tc>
          <w:tcPr>
            <w:tcW w:w="3451" w:type="dxa"/>
            <w:tcBorders>
              <w:tl2br w:val="nil"/>
              <w:tr2bl w:val="nil"/>
            </w:tcBorders>
            <w:vAlign w:val="center"/>
          </w:tcPr>
          <w:p w14:paraId="65ADE744">
            <w:pPr>
              <w:widowControl/>
              <w:shd w:val="clear"/>
              <w:jc w:val="left"/>
              <w:rPr>
                <w:rFonts w:hint="eastAsia" w:ascii="宋体" w:hAnsi="宋体" w:cs="宋体"/>
                <w:kern w:val="0"/>
                <w:sz w:val="24"/>
                <w:highlight w:val="none"/>
              </w:rPr>
            </w:pPr>
            <w:r>
              <w:rPr>
                <w:rFonts w:hint="eastAsia" w:ascii="宋体" w:hAnsi="宋体" w:cs="宋体"/>
                <w:kern w:val="0"/>
                <w:sz w:val="24"/>
                <w:highlight w:val="none"/>
              </w:rPr>
              <w:t>初步审查指标</w:t>
            </w:r>
          </w:p>
        </w:tc>
        <w:tc>
          <w:tcPr>
            <w:tcW w:w="2730" w:type="dxa"/>
            <w:tcBorders>
              <w:tl2br w:val="nil"/>
              <w:tr2bl w:val="nil"/>
            </w:tcBorders>
            <w:vAlign w:val="center"/>
          </w:tcPr>
          <w:p w14:paraId="5B8E097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730E44C4">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38C5B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5AA3F553">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1</w:t>
            </w:r>
          </w:p>
        </w:tc>
        <w:tc>
          <w:tcPr>
            <w:tcW w:w="3451" w:type="dxa"/>
            <w:tcBorders>
              <w:tl2br w:val="nil"/>
              <w:tr2bl w:val="nil"/>
            </w:tcBorders>
            <w:vAlign w:val="center"/>
          </w:tcPr>
          <w:p w14:paraId="5F075A33">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381C49B1">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3043EC1C">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7EDF7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14BF81F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2</w:t>
            </w:r>
          </w:p>
        </w:tc>
        <w:tc>
          <w:tcPr>
            <w:tcW w:w="3451" w:type="dxa"/>
            <w:tcBorders>
              <w:tl2br w:val="nil"/>
              <w:tr2bl w:val="nil"/>
            </w:tcBorders>
            <w:vAlign w:val="center"/>
          </w:tcPr>
          <w:p w14:paraId="11E9F82A">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57E21A67">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181BD5A2">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2FCC7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5DE9E735">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3</w:t>
            </w:r>
          </w:p>
        </w:tc>
        <w:tc>
          <w:tcPr>
            <w:tcW w:w="3451" w:type="dxa"/>
            <w:tcBorders>
              <w:tl2br w:val="nil"/>
              <w:tr2bl w:val="nil"/>
            </w:tcBorders>
            <w:vAlign w:val="center"/>
          </w:tcPr>
          <w:p w14:paraId="7157BB56">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4DBABF56">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104B3211">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1797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522E841F">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w:t>
            </w:r>
          </w:p>
        </w:tc>
        <w:tc>
          <w:tcPr>
            <w:tcW w:w="3451" w:type="dxa"/>
            <w:tcBorders>
              <w:tl2br w:val="nil"/>
              <w:tr2bl w:val="nil"/>
            </w:tcBorders>
            <w:vAlign w:val="center"/>
          </w:tcPr>
          <w:p w14:paraId="5D8F74AC">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637BDB66">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219CCDFE">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7808F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253267AD">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3451" w:type="dxa"/>
            <w:tcBorders>
              <w:tl2br w:val="nil"/>
              <w:tr2bl w:val="nil"/>
            </w:tcBorders>
            <w:vAlign w:val="center"/>
          </w:tcPr>
          <w:p w14:paraId="19C0191D">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79902906">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2A82D3ED">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716C19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0A299E3B">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3451" w:type="dxa"/>
            <w:tcBorders>
              <w:tl2br w:val="nil"/>
              <w:tr2bl w:val="nil"/>
            </w:tcBorders>
            <w:vAlign w:val="center"/>
          </w:tcPr>
          <w:p w14:paraId="79A7E584">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391CFFFA">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2894D996">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1E3C3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5B0AAF9D">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二</w:t>
            </w:r>
          </w:p>
        </w:tc>
        <w:tc>
          <w:tcPr>
            <w:tcW w:w="3451" w:type="dxa"/>
            <w:tcBorders>
              <w:tl2br w:val="nil"/>
              <w:tr2bl w:val="nil"/>
            </w:tcBorders>
            <w:vAlign w:val="center"/>
          </w:tcPr>
          <w:p w14:paraId="43FFFF6A">
            <w:pPr>
              <w:widowControl/>
              <w:shd w:val="clear"/>
              <w:jc w:val="left"/>
              <w:rPr>
                <w:rFonts w:hint="eastAsia" w:ascii="宋体" w:hAnsi="宋体" w:cs="宋体"/>
                <w:kern w:val="0"/>
                <w:sz w:val="24"/>
                <w:highlight w:val="none"/>
              </w:rPr>
            </w:pPr>
            <w:r>
              <w:rPr>
                <w:rFonts w:hint="eastAsia" w:ascii="宋体" w:hAnsi="宋体" w:cs="宋体"/>
                <w:kern w:val="0"/>
                <w:sz w:val="24"/>
                <w:highlight w:val="none"/>
              </w:rPr>
              <w:t>详审指标</w:t>
            </w:r>
          </w:p>
        </w:tc>
        <w:tc>
          <w:tcPr>
            <w:tcW w:w="2730" w:type="dxa"/>
            <w:tcBorders>
              <w:tl2br w:val="nil"/>
              <w:tr2bl w:val="nil"/>
            </w:tcBorders>
            <w:vAlign w:val="center"/>
          </w:tcPr>
          <w:p w14:paraId="4EF65621">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5B531AE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388D41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082B1767">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1</w:t>
            </w:r>
          </w:p>
        </w:tc>
        <w:tc>
          <w:tcPr>
            <w:tcW w:w="3451" w:type="dxa"/>
            <w:tcBorders>
              <w:tl2br w:val="nil"/>
              <w:tr2bl w:val="nil"/>
            </w:tcBorders>
            <w:vAlign w:val="center"/>
          </w:tcPr>
          <w:p w14:paraId="782D7AF8">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03D370E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619F5503">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296AE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1E04D428">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2</w:t>
            </w:r>
          </w:p>
        </w:tc>
        <w:tc>
          <w:tcPr>
            <w:tcW w:w="3451" w:type="dxa"/>
            <w:tcBorders>
              <w:tl2br w:val="nil"/>
              <w:tr2bl w:val="nil"/>
            </w:tcBorders>
            <w:vAlign w:val="center"/>
          </w:tcPr>
          <w:p w14:paraId="3A4BCCDC">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08FEF4F5">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3808171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0499B4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053F4BE1">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3</w:t>
            </w:r>
          </w:p>
        </w:tc>
        <w:tc>
          <w:tcPr>
            <w:tcW w:w="3451" w:type="dxa"/>
            <w:tcBorders>
              <w:tl2br w:val="nil"/>
              <w:tr2bl w:val="nil"/>
            </w:tcBorders>
            <w:vAlign w:val="center"/>
          </w:tcPr>
          <w:p w14:paraId="684EA352">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2BDC5D8D">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3FFDBF1E">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7BDEA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179C00A8">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w:t>
            </w:r>
          </w:p>
        </w:tc>
        <w:tc>
          <w:tcPr>
            <w:tcW w:w="3451" w:type="dxa"/>
            <w:tcBorders>
              <w:tl2br w:val="nil"/>
              <w:tr2bl w:val="nil"/>
            </w:tcBorders>
            <w:vAlign w:val="center"/>
          </w:tcPr>
          <w:p w14:paraId="56D1E287">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4CEC4968">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1FC8F7FF">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010D8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27379DCC">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3451" w:type="dxa"/>
            <w:tcBorders>
              <w:tl2br w:val="nil"/>
              <w:tr2bl w:val="nil"/>
            </w:tcBorders>
            <w:vAlign w:val="center"/>
          </w:tcPr>
          <w:p w14:paraId="1BAD53FC">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637B98DA">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17A3C6C7">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r w14:paraId="3CFA15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25" w:type="dxa"/>
            <w:tcBorders>
              <w:tl2br w:val="nil"/>
              <w:tr2bl w:val="nil"/>
            </w:tcBorders>
            <w:vAlign w:val="center"/>
          </w:tcPr>
          <w:p w14:paraId="7E6C63B9">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3451" w:type="dxa"/>
            <w:tcBorders>
              <w:tl2br w:val="nil"/>
              <w:tr2bl w:val="nil"/>
            </w:tcBorders>
            <w:vAlign w:val="center"/>
          </w:tcPr>
          <w:p w14:paraId="1F3AAF24">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730" w:type="dxa"/>
            <w:tcBorders>
              <w:tl2br w:val="nil"/>
              <w:tr2bl w:val="nil"/>
            </w:tcBorders>
            <w:vAlign w:val="center"/>
          </w:tcPr>
          <w:p w14:paraId="295DAB8E">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c>
          <w:tcPr>
            <w:tcW w:w="2538" w:type="dxa"/>
            <w:tcBorders>
              <w:tl2br w:val="nil"/>
              <w:tr2bl w:val="nil"/>
            </w:tcBorders>
            <w:vAlign w:val="center"/>
          </w:tcPr>
          <w:p w14:paraId="098B3843">
            <w:pPr>
              <w:widowControl/>
              <w:shd w:val="clear"/>
              <w:jc w:val="center"/>
              <w:rPr>
                <w:rFonts w:hint="eastAsia" w:ascii="宋体" w:hAnsi="宋体" w:cs="宋体"/>
                <w:kern w:val="0"/>
                <w:sz w:val="24"/>
                <w:highlight w:val="none"/>
              </w:rPr>
            </w:pPr>
            <w:r>
              <w:rPr>
                <w:rFonts w:hint="eastAsia" w:ascii="宋体" w:hAnsi="宋体" w:cs="宋体"/>
                <w:kern w:val="0"/>
                <w:sz w:val="24"/>
                <w:highlight w:val="none"/>
              </w:rPr>
              <w:t>　</w:t>
            </w:r>
          </w:p>
        </w:tc>
      </w:tr>
    </w:tbl>
    <w:p w14:paraId="6112855F">
      <w:pPr>
        <w:shd w:val="clear"/>
        <w:jc w:val="center"/>
        <w:rPr>
          <w:rFonts w:hint="eastAsia" w:ascii="宋体" w:hAnsi="宋体" w:cs="宋体"/>
          <w:sz w:val="28"/>
          <w:highlight w:val="none"/>
        </w:rPr>
      </w:pPr>
    </w:p>
    <w:p w14:paraId="1E937FA1">
      <w:pPr>
        <w:shd w:val="clear"/>
        <w:adjustRightInd w:val="0"/>
        <w:snapToGrid w:val="0"/>
        <w:spacing w:line="360" w:lineRule="auto"/>
        <w:jc w:val="left"/>
        <w:rPr>
          <w:rFonts w:hint="eastAsia" w:ascii="宋体" w:hAnsi="宋体" w:cs="宋体"/>
          <w:b/>
          <w:bCs/>
          <w:sz w:val="24"/>
          <w:szCs w:val="28"/>
          <w:highlight w:val="none"/>
        </w:rPr>
      </w:pPr>
      <w:r>
        <w:rPr>
          <w:rFonts w:hint="eastAsia" w:ascii="宋体" w:hAnsi="宋体" w:cs="宋体"/>
          <w:b/>
          <w:bCs/>
          <w:sz w:val="24"/>
          <w:szCs w:val="28"/>
          <w:highlight w:val="none"/>
        </w:rPr>
        <w:t>备注：供应商应根据询比文件评审方法的要求填写上述表格，并在响应文件中提供与初审指标和详审指标（可就某一指标分开列明）逐条相对应的陈述、说明、方案、证明资料及对应页码范围。</w:t>
      </w:r>
    </w:p>
    <w:p w14:paraId="1B940F78">
      <w:pPr>
        <w:shd w:val="clear"/>
        <w:jc w:val="center"/>
        <w:rPr>
          <w:rFonts w:hint="eastAsia" w:ascii="宋体" w:hAnsi="宋体" w:cs="宋体"/>
          <w:b/>
          <w:sz w:val="48"/>
          <w:szCs w:val="48"/>
          <w:highlight w:val="none"/>
        </w:rPr>
      </w:pPr>
      <w:r>
        <w:rPr>
          <w:rFonts w:hint="eastAsia" w:ascii="宋体" w:hAnsi="宋体" w:cs="宋体"/>
          <w:b/>
          <w:sz w:val="28"/>
          <w:szCs w:val="28"/>
          <w:highlight w:val="none"/>
        </w:rPr>
        <w:br w:type="page"/>
      </w:r>
    </w:p>
    <w:p w14:paraId="1A22291E">
      <w:pPr>
        <w:shd w:val="clear"/>
        <w:jc w:val="center"/>
        <w:rPr>
          <w:rFonts w:hint="eastAsia" w:ascii="宋体" w:hAnsi="宋体" w:cs="宋体"/>
          <w:b/>
          <w:sz w:val="48"/>
          <w:szCs w:val="48"/>
          <w:highlight w:val="none"/>
        </w:rPr>
      </w:pPr>
    </w:p>
    <w:p w14:paraId="2B90120E">
      <w:pPr>
        <w:shd w:val="clear"/>
        <w:jc w:val="center"/>
        <w:rPr>
          <w:rFonts w:hint="eastAsia" w:ascii="宋体" w:hAnsi="宋体" w:cs="宋体"/>
          <w:b/>
          <w:sz w:val="48"/>
          <w:szCs w:val="48"/>
          <w:highlight w:val="none"/>
        </w:rPr>
      </w:pPr>
    </w:p>
    <w:p w14:paraId="511178BA">
      <w:pPr>
        <w:shd w:val="clear"/>
        <w:jc w:val="center"/>
        <w:rPr>
          <w:rFonts w:hint="eastAsia" w:ascii="宋体" w:hAnsi="宋体" w:cs="宋体"/>
          <w:b/>
          <w:sz w:val="48"/>
          <w:szCs w:val="48"/>
          <w:highlight w:val="none"/>
        </w:rPr>
      </w:pPr>
    </w:p>
    <w:p w14:paraId="26516903">
      <w:pPr>
        <w:shd w:val="clear"/>
        <w:jc w:val="center"/>
        <w:rPr>
          <w:rFonts w:hint="eastAsia" w:ascii="宋体" w:hAnsi="宋体" w:cs="宋体"/>
          <w:b/>
          <w:sz w:val="48"/>
          <w:szCs w:val="48"/>
          <w:highlight w:val="none"/>
        </w:rPr>
      </w:pPr>
    </w:p>
    <w:p w14:paraId="1C367215">
      <w:pPr>
        <w:shd w:val="clear"/>
        <w:jc w:val="center"/>
        <w:rPr>
          <w:rFonts w:hint="eastAsia" w:ascii="宋体" w:hAnsi="宋体" w:cs="宋体"/>
          <w:b/>
          <w:sz w:val="48"/>
          <w:szCs w:val="48"/>
          <w:highlight w:val="none"/>
        </w:rPr>
      </w:pPr>
    </w:p>
    <w:p w14:paraId="6FC348DF">
      <w:pPr>
        <w:shd w:val="clear"/>
        <w:jc w:val="center"/>
        <w:rPr>
          <w:rFonts w:hint="eastAsia" w:ascii="宋体" w:hAnsi="宋体" w:cs="宋体"/>
          <w:b/>
          <w:sz w:val="48"/>
          <w:szCs w:val="48"/>
          <w:highlight w:val="none"/>
        </w:rPr>
      </w:pPr>
    </w:p>
    <w:p w14:paraId="31CF8A86">
      <w:pPr>
        <w:pStyle w:val="2"/>
        <w:shd w:val="clear"/>
        <w:rPr>
          <w:rFonts w:hint="eastAsia" w:hAnsi="黑体" w:eastAsia="黑体" w:cs="黑体"/>
          <w:b w:val="0"/>
          <w:bCs/>
          <w:sz w:val="52"/>
          <w:szCs w:val="52"/>
          <w:highlight w:val="none"/>
        </w:rPr>
      </w:pPr>
      <w:bookmarkStart w:id="250" w:name="_Toc1688"/>
      <w:r>
        <w:rPr>
          <w:rFonts w:hint="eastAsia" w:hAnsi="黑体" w:eastAsia="黑体" w:cs="黑体"/>
          <w:b w:val="0"/>
          <w:bCs/>
          <w:sz w:val="52"/>
          <w:szCs w:val="52"/>
          <w:highlight w:val="none"/>
        </w:rPr>
        <w:t>第五章 评审方法</w:t>
      </w:r>
      <w:bookmarkEnd w:id="250"/>
    </w:p>
    <w:p w14:paraId="020205BC">
      <w:pPr>
        <w:shd w:val="clear"/>
        <w:jc w:val="center"/>
        <w:rPr>
          <w:sz w:val="32"/>
          <w:szCs w:val="32"/>
          <w:highlight w:val="none"/>
        </w:rPr>
      </w:pPr>
      <w:bookmarkStart w:id="251" w:name="_Toc231"/>
      <w:r>
        <w:rPr>
          <w:rFonts w:hint="eastAsia"/>
          <w:sz w:val="32"/>
          <w:szCs w:val="32"/>
          <w:highlight w:val="none"/>
        </w:rPr>
        <w:t>（综合评分法）</w:t>
      </w:r>
      <w:bookmarkEnd w:id="251"/>
    </w:p>
    <w:p w14:paraId="22A2A29D">
      <w:pPr>
        <w:shd w:val="clea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br w:type="page"/>
      </w:r>
      <w:r>
        <w:rPr>
          <w:rFonts w:hint="eastAsia" w:ascii="宋体" w:hAnsi="宋体" w:cs="宋体"/>
          <w:bCs/>
          <w:sz w:val="24"/>
          <w:highlight w:val="none"/>
        </w:rPr>
        <w:t>综合评分法：</w:t>
      </w:r>
      <w:r>
        <w:rPr>
          <w:rFonts w:hint="eastAsia" w:ascii="宋体" w:hAnsi="宋体"/>
          <w:sz w:val="24"/>
          <w:highlight w:val="none"/>
        </w:rPr>
        <w:t>本项目满分为1</w:t>
      </w:r>
      <w:r>
        <w:rPr>
          <w:rFonts w:ascii="宋体" w:hAnsi="宋体"/>
          <w:sz w:val="24"/>
          <w:highlight w:val="none"/>
        </w:rPr>
        <w:t>00</w:t>
      </w:r>
      <w:r>
        <w:rPr>
          <w:rFonts w:hint="eastAsia" w:ascii="宋体" w:hAnsi="宋体"/>
          <w:sz w:val="24"/>
          <w:highlight w:val="none"/>
        </w:rPr>
        <w:t>分，其中：技术分值占总分值的权重为</w:t>
      </w:r>
      <w:r>
        <w:rPr>
          <w:rFonts w:hint="eastAsia" w:ascii="宋体" w:hAnsi="宋体"/>
          <w:sz w:val="24"/>
          <w:highlight w:val="none"/>
          <w:u w:val="single"/>
        </w:rPr>
        <w:t>80</w:t>
      </w:r>
      <w:r>
        <w:rPr>
          <w:rFonts w:ascii="宋体" w:hAnsi="宋体"/>
          <w:sz w:val="24"/>
          <w:highlight w:val="none"/>
          <w:u w:val="single"/>
        </w:rPr>
        <w:t>%</w:t>
      </w:r>
      <w:r>
        <w:rPr>
          <w:rFonts w:ascii="宋体" w:hAnsi="宋体"/>
          <w:sz w:val="24"/>
          <w:highlight w:val="none"/>
        </w:rPr>
        <w:t>，</w:t>
      </w:r>
      <w:r>
        <w:rPr>
          <w:rFonts w:hint="eastAsia" w:ascii="宋体" w:hAnsi="宋体"/>
          <w:sz w:val="24"/>
          <w:highlight w:val="none"/>
        </w:rPr>
        <w:t>商务（</w:t>
      </w:r>
      <w:r>
        <w:rPr>
          <w:rFonts w:ascii="宋体" w:hAnsi="宋体"/>
          <w:sz w:val="24"/>
          <w:highlight w:val="none"/>
        </w:rPr>
        <w:t>价格</w:t>
      </w:r>
      <w:r>
        <w:rPr>
          <w:rFonts w:hint="eastAsia" w:ascii="宋体" w:hAnsi="宋体"/>
          <w:sz w:val="24"/>
          <w:highlight w:val="none"/>
        </w:rPr>
        <w:t>）</w:t>
      </w:r>
      <w:r>
        <w:rPr>
          <w:rFonts w:ascii="宋体" w:hAnsi="宋体"/>
          <w:sz w:val="24"/>
          <w:highlight w:val="none"/>
        </w:rPr>
        <w:t>分值占总分值的权重为</w:t>
      </w:r>
      <w:r>
        <w:rPr>
          <w:rFonts w:hint="eastAsia" w:ascii="宋体" w:hAnsi="宋体"/>
          <w:sz w:val="24"/>
          <w:highlight w:val="none"/>
          <w:u w:val="single"/>
        </w:rPr>
        <w:t>20</w:t>
      </w:r>
      <w:r>
        <w:rPr>
          <w:rFonts w:ascii="宋体" w:hAnsi="宋体"/>
          <w:sz w:val="24"/>
          <w:highlight w:val="none"/>
          <w:u w:val="single"/>
        </w:rPr>
        <w:t>%</w:t>
      </w:r>
      <w:r>
        <w:rPr>
          <w:rFonts w:ascii="宋体" w:hAnsi="宋体"/>
          <w:sz w:val="24"/>
          <w:highlight w:val="none"/>
        </w:rPr>
        <w:t>。</w:t>
      </w:r>
      <w:r>
        <w:rPr>
          <w:rFonts w:hint="eastAsia" w:ascii="宋体" w:hAnsi="宋体" w:cs="宋体"/>
          <w:bCs/>
          <w:sz w:val="24"/>
          <w:highlight w:val="none"/>
        </w:rPr>
        <w:t>即评审小组根据询比文件的要求，对通过询比文件初审和详细审查的供应商的技术分、价格分进行综合评审后，选择能最大限度地满足询比文件规定的各项综合评价标准，以综合得分由高到低的顺序，向采购人推荐1-3名有排序的合格的成交候选人，总得分相等时，按技术分由高到低的顺序推荐；技术分也相等时，按商务分由高到低的顺序推荐；商务分仍然相等时，由评审小组投票决定成交人。（计算过程和结果均保留2位小数，第3位四舍五入。）</w:t>
      </w:r>
    </w:p>
    <w:p w14:paraId="5445260C">
      <w:pPr>
        <w:shd w:val="clear"/>
        <w:spacing w:line="360" w:lineRule="exact"/>
        <w:ind w:firstLine="480" w:firstLineChars="200"/>
        <w:rPr>
          <w:rFonts w:hint="eastAsia" w:ascii="宋体" w:hAnsi="宋体" w:cs="宋体"/>
          <w:b/>
          <w:bCs/>
          <w:sz w:val="24"/>
          <w:highlight w:val="none"/>
        </w:rPr>
      </w:pPr>
      <w:r>
        <w:rPr>
          <w:rFonts w:hint="eastAsia" w:ascii="宋体" w:hAnsi="宋体" w:cs="宋体"/>
          <w:bCs/>
          <w:sz w:val="24"/>
          <w:highlight w:val="none"/>
        </w:rPr>
        <w:t>1.</w:t>
      </w:r>
      <w:r>
        <w:rPr>
          <w:rFonts w:hint="eastAsia" w:ascii="宋体" w:hAnsi="宋体" w:cs="宋体"/>
          <w:b/>
          <w:bCs/>
          <w:sz w:val="24"/>
          <w:highlight w:val="none"/>
        </w:rPr>
        <w:t xml:space="preserve"> 初步审查</w:t>
      </w:r>
    </w:p>
    <w:tbl>
      <w:tblPr>
        <w:tblStyle w:val="27"/>
        <w:tblW w:w="96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742"/>
        <w:gridCol w:w="2647"/>
        <w:gridCol w:w="1188"/>
        <w:gridCol w:w="3181"/>
      </w:tblGrid>
      <w:tr w14:paraId="2CC2A1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24" w:type="dxa"/>
            <w:gridSpan w:val="5"/>
            <w:tcBorders>
              <w:tl2br w:val="nil"/>
              <w:tr2bl w:val="nil"/>
            </w:tcBorders>
            <w:vAlign w:val="center"/>
          </w:tcPr>
          <w:p w14:paraId="7BD17000">
            <w:pPr>
              <w:pStyle w:val="47"/>
              <w:pBdr>
                <w:bottom w:val="none" w:color="auto" w:sz="0" w:space="0"/>
              </w:pBdr>
              <w:shd w:val="clear"/>
              <w:tabs>
                <w:tab w:val="clear" w:pos="4153"/>
                <w:tab w:val="clear" w:pos="8306"/>
              </w:tabs>
              <w:snapToGrid w:val="0"/>
              <w:spacing w:line="360" w:lineRule="auto"/>
              <w:textAlignment w:val="auto"/>
              <w:rPr>
                <w:rFonts w:hint="eastAsia" w:ascii="宋体" w:hAnsi="宋体" w:cs="宋体"/>
                <w:kern w:val="2"/>
                <w:szCs w:val="24"/>
                <w:highlight w:val="none"/>
              </w:rPr>
            </w:pPr>
            <w:r>
              <w:rPr>
                <w:rFonts w:hint="eastAsia" w:ascii="宋体" w:hAnsi="宋体" w:cs="宋体"/>
                <w:b/>
                <w:highlight w:val="none"/>
              </w:rPr>
              <w:t>鼎信数智技术集团股份有限公司2026-2028年职工体检服务项目初审表</w:t>
            </w:r>
          </w:p>
        </w:tc>
      </w:tr>
      <w:tr w14:paraId="55698C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24" w:type="dxa"/>
            <w:gridSpan w:val="5"/>
            <w:tcBorders>
              <w:tl2br w:val="nil"/>
              <w:tr2bl w:val="nil"/>
            </w:tcBorders>
            <w:vAlign w:val="center"/>
          </w:tcPr>
          <w:p w14:paraId="41B84631">
            <w:pPr>
              <w:shd w:val="clear"/>
              <w:adjustRightInd w:val="0"/>
              <w:snapToGrid w:val="0"/>
              <w:spacing w:line="360" w:lineRule="auto"/>
              <w:rPr>
                <w:rFonts w:hint="eastAsia" w:ascii="宋体" w:hAnsi="宋体" w:cs="宋体"/>
                <w:sz w:val="24"/>
                <w:highlight w:val="none"/>
              </w:rPr>
            </w:pPr>
            <w:r>
              <w:rPr>
                <w:rFonts w:hint="eastAsia" w:ascii="宋体" w:hAnsi="宋体" w:cs="宋体"/>
                <w:sz w:val="24"/>
                <w:highlight w:val="none"/>
              </w:rPr>
              <w:t>供应商：</w:t>
            </w:r>
          </w:p>
        </w:tc>
      </w:tr>
      <w:tr w14:paraId="6D7DF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24" w:type="dxa"/>
            <w:gridSpan w:val="5"/>
            <w:tcBorders>
              <w:tl2br w:val="nil"/>
              <w:tr2bl w:val="nil"/>
            </w:tcBorders>
            <w:vAlign w:val="center"/>
          </w:tcPr>
          <w:p w14:paraId="4D526874">
            <w:pPr>
              <w:shd w:val="clear"/>
              <w:adjustRightInd w:val="0"/>
              <w:snapToGrid w:val="0"/>
              <w:spacing w:line="360" w:lineRule="auto"/>
              <w:rPr>
                <w:rFonts w:hint="eastAsia" w:ascii="宋体" w:hAnsi="宋体" w:cs="宋体"/>
                <w:b/>
                <w:bCs/>
                <w:sz w:val="24"/>
                <w:highlight w:val="none"/>
              </w:rPr>
            </w:pPr>
            <w:r>
              <w:rPr>
                <w:rFonts w:hint="eastAsia" w:ascii="宋体" w:hAnsi="宋体" w:cs="宋体"/>
                <w:b/>
                <w:bCs/>
                <w:sz w:val="24"/>
                <w:highlight w:val="none"/>
              </w:rPr>
              <w:t>一、初审指标</w:t>
            </w:r>
          </w:p>
        </w:tc>
      </w:tr>
      <w:tr w14:paraId="1C230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66" w:type="dxa"/>
            <w:tcBorders>
              <w:tl2br w:val="nil"/>
              <w:tr2bl w:val="nil"/>
            </w:tcBorders>
            <w:vAlign w:val="center"/>
          </w:tcPr>
          <w:p w14:paraId="14E77751">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序号</w:t>
            </w:r>
          </w:p>
        </w:tc>
        <w:tc>
          <w:tcPr>
            <w:tcW w:w="1742" w:type="dxa"/>
            <w:tcBorders>
              <w:tl2br w:val="nil"/>
              <w:tr2bl w:val="nil"/>
            </w:tcBorders>
            <w:vAlign w:val="center"/>
          </w:tcPr>
          <w:p w14:paraId="0ED924C9">
            <w:pPr>
              <w:pStyle w:val="47"/>
              <w:pBdr>
                <w:bottom w:val="none" w:color="auto" w:sz="0" w:space="0"/>
              </w:pBdr>
              <w:shd w:val="clear"/>
              <w:tabs>
                <w:tab w:val="clear" w:pos="4153"/>
                <w:tab w:val="clear" w:pos="8306"/>
              </w:tabs>
              <w:snapToGrid w:val="0"/>
              <w:spacing w:line="360" w:lineRule="auto"/>
              <w:textAlignment w:val="auto"/>
              <w:rPr>
                <w:rFonts w:hint="eastAsia" w:ascii="宋体" w:hAnsi="宋体" w:cs="宋体"/>
                <w:kern w:val="2"/>
                <w:szCs w:val="24"/>
                <w:highlight w:val="none"/>
              </w:rPr>
            </w:pPr>
            <w:r>
              <w:rPr>
                <w:rFonts w:hint="eastAsia" w:ascii="宋体" w:hAnsi="宋体" w:cs="宋体"/>
                <w:kern w:val="2"/>
                <w:szCs w:val="24"/>
                <w:highlight w:val="none"/>
              </w:rPr>
              <w:t>指标名称</w:t>
            </w:r>
          </w:p>
        </w:tc>
        <w:tc>
          <w:tcPr>
            <w:tcW w:w="2647" w:type="dxa"/>
            <w:tcBorders>
              <w:tl2br w:val="nil"/>
              <w:tr2bl w:val="nil"/>
            </w:tcBorders>
            <w:vAlign w:val="center"/>
          </w:tcPr>
          <w:p w14:paraId="3B64FC00">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指标要求</w:t>
            </w:r>
          </w:p>
        </w:tc>
        <w:tc>
          <w:tcPr>
            <w:tcW w:w="1188" w:type="dxa"/>
            <w:tcBorders>
              <w:tl2br w:val="nil"/>
              <w:tr2bl w:val="nil"/>
            </w:tcBorders>
            <w:vAlign w:val="center"/>
          </w:tcPr>
          <w:p w14:paraId="2C2462B2">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是否通过</w:t>
            </w:r>
          </w:p>
        </w:tc>
        <w:tc>
          <w:tcPr>
            <w:tcW w:w="3181" w:type="dxa"/>
            <w:tcBorders>
              <w:tl2br w:val="nil"/>
              <w:tr2bl w:val="nil"/>
            </w:tcBorders>
            <w:vAlign w:val="center"/>
          </w:tcPr>
          <w:p w14:paraId="0AEB0036">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响应文件格式及</w:t>
            </w:r>
          </w:p>
          <w:p w14:paraId="7473DE46">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提交资料要求</w:t>
            </w:r>
          </w:p>
        </w:tc>
      </w:tr>
      <w:tr w14:paraId="2795B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80" w:hRule="atLeast"/>
          <w:jc w:val="center"/>
        </w:trPr>
        <w:tc>
          <w:tcPr>
            <w:tcW w:w="866" w:type="dxa"/>
            <w:tcBorders>
              <w:tl2br w:val="nil"/>
              <w:tr2bl w:val="nil"/>
            </w:tcBorders>
            <w:vAlign w:val="center"/>
          </w:tcPr>
          <w:p w14:paraId="07019EE2">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1</w:t>
            </w:r>
          </w:p>
        </w:tc>
        <w:tc>
          <w:tcPr>
            <w:tcW w:w="1742" w:type="dxa"/>
            <w:tcBorders>
              <w:tl2br w:val="nil"/>
              <w:tr2bl w:val="nil"/>
            </w:tcBorders>
            <w:vAlign w:val="center"/>
          </w:tcPr>
          <w:p w14:paraId="6438E6B7">
            <w:pPr>
              <w:shd w:val="clear"/>
              <w:wordWrap w:val="0"/>
              <w:spacing w:after="50" w:line="440" w:lineRule="exact"/>
              <w:ind w:right="-10"/>
              <w:jc w:val="center"/>
              <w:rPr>
                <w:rFonts w:hint="eastAsia" w:ascii="宋体" w:hAnsi="宋体" w:cs="宋体"/>
                <w:sz w:val="24"/>
                <w:szCs w:val="28"/>
                <w:highlight w:val="none"/>
              </w:rPr>
            </w:pPr>
            <w:r>
              <w:rPr>
                <w:rFonts w:hint="eastAsia" w:ascii="宋体" w:hAnsi="宋体"/>
                <w:sz w:val="24"/>
                <w:szCs w:val="24"/>
                <w:highlight w:val="none"/>
              </w:rPr>
              <w:t>营业执照</w:t>
            </w:r>
          </w:p>
        </w:tc>
        <w:tc>
          <w:tcPr>
            <w:tcW w:w="2647" w:type="dxa"/>
            <w:tcBorders>
              <w:tl2br w:val="nil"/>
              <w:tr2bl w:val="nil"/>
            </w:tcBorders>
            <w:vAlign w:val="center"/>
          </w:tcPr>
          <w:p w14:paraId="75F7F788">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合法有效</w:t>
            </w:r>
          </w:p>
        </w:tc>
        <w:tc>
          <w:tcPr>
            <w:tcW w:w="1188" w:type="dxa"/>
            <w:tcBorders>
              <w:tl2br w:val="nil"/>
              <w:tr2bl w:val="nil"/>
            </w:tcBorders>
            <w:vAlign w:val="center"/>
          </w:tcPr>
          <w:p w14:paraId="44E022AE">
            <w:pPr>
              <w:shd w:val="clear"/>
              <w:adjustRightInd w:val="0"/>
              <w:snapToGrid w:val="0"/>
              <w:spacing w:line="360" w:lineRule="auto"/>
              <w:ind w:right="-10"/>
              <w:jc w:val="center"/>
              <w:rPr>
                <w:rFonts w:hint="eastAsia" w:ascii="宋体" w:hAnsi="宋体" w:cs="宋体"/>
                <w:sz w:val="24"/>
                <w:highlight w:val="none"/>
              </w:rPr>
            </w:pPr>
          </w:p>
        </w:tc>
        <w:tc>
          <w:tcPr>
            <w:tcW w:w="3181" w:type="dxa"/>
            <w:tcBorders>
              <w:tl2br w:val="nil"/>
              <w:tr2bl w:val="nil"/>
            </w:tcBorders>
            <w:vAlign w:val="center"/>
          </w:tcPr>
          <w:p w14:paraId="659F33DE">
            <w:pPr>
              <w:shd w:val="clear"/>
              <w:adjustRightInd w:val="0"/>
              <w:snapToGrid w:val="0"/>
              <w:spacing w:line="360" w:lineRule="auto"/>
              <w:jc w:val="center"/>
              <w:rPr>
                <w:rFonts w:hint="eastAsia" w:ascii="宋体" w:hAnsi="宋体" w:cs="宋体"/>
                <w:sz w:val="24"/>
                <w:highlight w:val="none"/>
              </w:rPr>
            </w:pPr>
            <w:r>
              <w:rPr>
                <w:rFonts w:hint="eastAsia" w:ascii="宋体" w:hAnsi="宋体"/>
                <w:sz w:val="24"/>
                <w:szCs w:val="24"/>
                <w:highlight w:val="none"/>
              </w:rPr>
              <w:t>提供有效的营业执照（或事业单位法人登记证书或</w:t>
            </w:r>
            <w:r>
              <w:rPr>
                <w:rFonts w:hint="eastAsia" w:ascii="宋体" w:hAnsi="宋体" w:cs="宋体"/>
                <w:sz w:val="24"/>
                <w:highlight w:val="none"/>
                <w:lang w:val="zh-CN"/>
              </w:rPr>
              <w:t>律师事务所执业许可证</w:t>
            </w:r>
            <w:r>
              <w:rPr>
                <w:rFonts w:hint="eastAsia" w:ascii="宋体" w:hAnsi="宋体"/>
                <w:sz w:val="24"/>
                <w:szCs w:val="24"/>
                <w:highlight w:val="none"/>
              </w:rPr>
              <w:t>）扫描件，应完整的体现出营业执照（或事业单位法人登记证书）的全部内容。联合体参选的联合体各方均须提供。</w:t>
            </w:r>
          </w:p>
        </w:tc>
      </w:tr>
      <w:tr w14:paraId="62C118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866" w:type="dxa"/>
            <w:tcBorders>
              <w:tl2br w:val="nil"/>
              <w:tr2bl w:val="nil"/>
            </w:tcBorders>
            <w:vAlign w:val="center"/>
          </w:tcPr>
          <w:p w14:paraId="34A10B12">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2</w:t>
            </w:r>
          </w:p>
        </w:tc>
        <w:tc>
          <w:tcPr>
            <w:tcW w:w="1742" w:type="dxa"/>
            <w:tcBorders>
              <w:tl2br w:val="nil"/>
              <w:tr2bl w:val="nil"/>
            </w:tcBorders>
            <w:vAlign w:val="center"/>
          </w:tcPr>
          <w:p w14:paraId="213292F3">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参选响应函</w:t>
            </w:r>
          </w:p>
        </w:tc>
        <w:tc>
          <w:tcPr>
            <w:tcW w:w="2647" w:type="dxa"/>
            <w:tcBorders>
              <w:tl2br w:val="nil"/>
              <w:tr2bl w:val="nil"/>
            </w:tcBorders>
            <w:vAlign w:val="center"/>
          </w:tcPr>
          <w:p w14:paraId="2C3C2CDA">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符合询比文件要求</w:t>
            </w:r>
          </w:p>
        </w:tc>
        <w:tc>
          <w:tcPr>
            <w:tcW w:w="1188" w:type="dxa"/>
            <w:tcBorders>
              <w:tl2br w:val="nil"/>
              <w:tr2bl w:val="nil"/>
            </w:tcBorders>
            <w:vAlign w:val="center"/>
          </w:tcPr>
          <w:p w14:paraId="1B915FFE">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331C60FA">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响应文件格式一</w:t>
            </w:r>
          </w:p>
        </w:tc>
      </w:tr>
      <w:tr w14:paraId="0485B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56" w:hRule="atLeast"/>
          <w:jc w:val="center"/>
        </w:trPr>
        <w:tc>
          <w:tcPr>
            <w:tcW w:w="866" w:type="dxa"/>
            <w:tcBorders>
              <w:tl2br w:val="nil"/>
              <w:tr2bl w:val="nil"/>
            </w:tcBorders>
            <w:vAlign w:val="center"/>
          </w:tcPr>
          <w:p w14:paraId="24C89F5C">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3</w:t>
            </w:r>
          </w:p>
        </w:tc>
        <w:tc>
          <w:tcPr>
            <w:tcW w:w="1742" w:type="dxa"/>
            <w:tcBorders>
              <w:tl2br w:val="nil"/>
              <w:tr2bl w:val="nil"/>
            </w:tcBorders>
            <w:vAlign w:val="center"/>
          </w:tcPr>
          <w:p w14:paraId="3F964452">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法定代表人授权委托书</w:t>
            </w:r>
          </w:p>
        </w:tc>
        <w:tc>
          <w:tcPr>
            <w:tcW w:w="2647" w:type="dxa"/>
            <w:tcBorders>
              <w:tl2br w:val="nil"/>
              <w:tr2bl w:val="nil"/>
            </w:tcBorders>
            <w:vAlign w:val="center"/>
          </w:tcPr>
          <w:p w14:paraId="02C7C49A">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符合询比文件要求</w:t>
            </w:r>
          </w:p>
        </w:tc>
        <w:tc>
          <w:tcPr>
            <w:tcW w:w="1188" w:type="dxa"/>
            <w:tcBorders>
              <w:tl2br w:val="nil"/>
              <w:tr2bl w:val="nil"/>
            </w:tcBorders>
            <w:vAlign w:val="center"/>
          </w:tcPr>
          <w:p w14:paraId="44CDEE02">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2B30A70F">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法定代表人（单位负责人）参加的无需此件，提供身份证明复印件即可</w:t>
            </w:r>
          </w:p>
        </w:tc>
      </w:tr>
      <w:tr w14:paraId="0D35A4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866" w:type="dxa"/>
            <w:tcBorders>
              <w:tl2br w:val="nil"/>
              <w:tr2bl w:val="nil"/>
            </w:tcBorders>
            <w:vAlign w:val="center"/>
          </w:tcPr>
          <w:p w14:paraId="19B9E8B7">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4</w:t>
            </w:r>
          </w:p>
        </w:tc>
        <w:tc>
          <w:tcPr>
            <w:tcW w:w="1742" w:type="dxa"/>
            <w:tcBorders>
              <w:tl2br w:val="nil"/>
              <w:tr2bl w:val="nil"/>
            </w:tcBorders>
            <w:vAlign w:val="center"/>
          </w:tcPr>
          <w:p w14:paraId="0C216B42">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参选报价表</w:t>
            </w:r>
          </w:p>
        </w:tc>
        <w:tc>
          <w:tcPr>
            <w:tcW w:w="2647" w:type="dxa"/>
            <w:tcBorders>
              <w:tl2br w:val="nil"/>
              <w:tr2bl w:val="nil"/>
            </w:tcBorders>
            <w:vAlign w:val="center"/>
          </w:tcPr>
          <w:p w14:paraId="791C6DFB">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符合最高限价要求</w:t>
            </w:r>
          </w:p>
        </w:tc>
        <w:tc>
          <w:tcPr>
            <w:tcW w:w="1188" w:type="dxa"/>
            <w:tcBorders>
              <w:tl2br w:val="nil"/>
              <w:tr2bl w:val="nil"/>
            </w:tcBorders>
            <w:vAlign w:val="center"/>
          </w:tcPr>
          <w:p w14:paraId="52B4406D">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68187461">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响应文件格式二</w:t>
            </w:r>
          </w:p>
        </w:tc>
      </w:tr>
      <w:tr w14:paraId="705F7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866" w:type="dxa"/>
            <w:tcBorders>
              <w:tl2br w:val="nil"/>
              <w:tr2bl w:val="nil"/>
            </w:tcBorders>
            <w:vAlign w:val="center"/>
          </w:tcPr>
          <w:p w14:paraId="5E010898">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5</w:t>
            </w:r>
          </w:p>
        </w:tc>
        <w:tc>
          <w:tcPr>
            <w:tcW w:w="1742" w:type="dxa"/>
            <w:tcBorders>
              <w:tl2br w:val="nil"/>
              <w:tr2bl w:val="nil"/>
            </w:tcBorders>
            <w:vAlign w:val="center"/>
          </w:tcPr>
          <w:p w14:paraId="68B3962B">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响应情况</w:t>
            </w:r>
          </w:p>
        </w:tc>
        <w:tc>
          <w:tcPr>
            <w:tcW w:w="2647" w:type="dxa"/>
            <w:tcBorders>
              <w:tl2br w:val="nil"/>
              <w:tr2bl w:val="nil"/>
            </w:tcBorders>
            <w:vAlign w:val="center"/>
          </w:tcPr>
          <w:p w14:paraId="4C94DF7D">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付款方式、服务地点、服务期限等</w:t>
            </w:r>
          </w:p>
        </w:tc>
        <w:tc>
          <w:tcPr>
            <w:tcW w:w="1188" w:type="dxa"/>
            <w:tcBorders>
              <w:tl2br w:val="nil"/>
              <w:tr2bl w:val="nil"/>
            </w:tcBorders>
            <w:vAlign w:val="center"/>
          </w:tcPr>
          <w:p w14:paraId="064E9F85">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114A7461">
            <w:pPr>
              <w:shd w:val="clear"/>
              <w:adjustRightInd w:val="0"/>
              <w:snapToGrid w:val="0"/>
              <w:spacing w:line="360" w:lineRule="auto"/>
              <w:jc w:val="center"/>
              <w:rPr>
                <w:rFonts w:hint="eastAsia" w:ascii="宋体" w:hAnsi="宋体" w:cs="宋体"/>
                <w:sz w:val="24"/>
                <w:highlight w:val="none"/>
              </w:rPr>
            </w:pPr>
          </w:p>
        </w:tc>
      </w:tr>
      <w:tr w14:paraId="12250C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866" w:type="dxa"/>
            <w:tcBorders>
              <w:tl2br w:val="nil"/>
              <w:tr2bl w:val="nil"/>
            </w:tcBorders>
            <w:shd w:val="clear" w:color="auto" w:fill="auto"/>
            <w:vAlign w:val="center"/>
          </w:tcPr>
          <w:p w14:paraId="256395F8">
            <w:pPr>
              <w:shd w:val="clear"/>
              <w:adjustRightInd w:val="0"/>
              <w:snapToGrid w:val="0"/>
              <w:spacing w:line="360" w:lineRule="auto"/>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6</w:t>
            </w:r>
          </w:p>
        </w:tc>
        <w:tc>
          <w:tcPr>
            <w:tcW w:w="1742" w:type="dxa"/>
            <w:tcBorders>
              <w:tl2br w:val="nil"/>
              <w:tr2bl w:val="nil"/>
            </w:tcBorders>
            <w:vAlign w:val="center"/>
          </w:tcPr>
          <w:p w14:paraId="101ED071">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资质要求</w:t>
            </w:r>
          </w:p>
        </w:tc>
        <w:tc>
          <w:tcPr>
            <w:tcW w:w="2647" w:type="dxa"/>
            <w:tcBorders>
              <w:tl2br w:val="nil"/>
              <w:tr2bl w:val="nil"/>
            </w:tcBorders>
            <w:vAlign w:val="center"/>
          </w:tcPr>
          <w:p w14:paraId="632B5484">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符合询比文件要求</w:t>
            </w:r>
          </w:p>
        </w:tc>
        <w:tc>
          <w:tcPr>
            <w:tcW w:w="1188" w:type="dxa"/>
            <w:tcBorders>
              <w:tl2br w:val="nil"/>
              <w:tr2bl w:val="nil"/>
            </w:tcBorders>
            <w:vAlign w:val="center"/>
          </w:tcPr>
          <w:p w14:paraId="3DC94366">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6BCFAC07">
            <w:pPr>
              <w:shd w:val="clear"/>
              <w:adjustRightInd w:val="0"/>
              <w:snapToGrid w:val="0"/>
              <w:spacing w:line="360" w:lineRule="auto"/>
              <w:jc w:val="center"/>
              <w:rPr>
                <w:rFonts w:hint="eastAsia" w:ascii="宋体" w:hAnsi="宋体" w:cs="宋体"/>
                <w:sz w:val="24"/>
                <w:highlight w:val="none"/>
              </w:rPr>
            </w:pPr>
            <w:r>
              <w:rPr>
                <w:rFonts w:hint="eastAsia" w:ascii="宋体" w:hAnsi="宋体" w:cs="宋体"/>
                <w:sz w:val="24"/>
                <w:highlight w:val="none"/>
              </w:rPr>
              <w:t>①供应商须具备独立法人资格，具有有效的营业执照；②须为取得医疗许可证的医院，或取得医疗许可证并经卫生行政部门健康体检服务登记的体检机构。</w:t>
            </w:r>
          </w:p>
        </w:tc>
      </w:tr>
      <w:tr w14:paraId="26026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866" w:type="dxa"/>
            <w:tcBorders>
              <w:tl2br w:val="nil"/>
              <w:tr2bl w:val="nil"/>
            </w:tcBorders>
            <w:shd w:val="clear" w:color="auto" w:fill="auto"/>
            <w:vAlign w:val="center"/>
          </w:tcPr>
          <w:p w14:paraId="19529885">
            <w:pPr>
              <w:shd w:val="clear"/>
              <w:adjustRightInd w:val="0"/>
              <w:snapToGrid w:val="0"/>
              <w:spacing w:line="360" w:lineRule="auto"/>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7</w:t>
            </w:r>
          </w:p>
        </w:tc>
        <w:tc>
          <w:tcPr>
            <w:tcW w:w="1742" w:type="dxa"/>
            <w:tcBorders>
              <w:tl2br w:val="nil"/>
              <w:tr2bl w:val="nil"/>
            </w:tcBorders>
            <w:vAlign w:val="center"/>
          </w:tcPr>
          <w:p w14:paraId="10B1F5D2">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采购需求响应</w:t>
            </w:r>
          </w:p>
        </w:tc>
        <w:tc>
          <w:tcPr>
            <w:tcW w:w="2647" w:type="dxa"/>
            <w:tcBorders>
              <w:tl2br w:val="nil"/>
              <w:tr2bl w:val="nil"/>
            </w:tcBorders>
            <w:vAlign w:val="center"/>
          </w:tcPr>
          <w:p w14:paraId="1630220E">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符合询比文件要求</w:t>
            </w:r>
          </w:p>
        </w:tc>
        <w:tc>
          <w:tcPr>
            <w:tcW w:w="1188" w:type="dxa"/>
            <w:tcBorders>
              <w:tl2br w:val="nil"/>
              <w:tr2bl w:val="nil"/>
            </w:tcBorders>
            <w:vAlign w:val="center"/>
          </w:tcPr>
          <w:p w14:paraId="4F971F5E">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739B4066">
            <w:pPr>
              <w:shd w:val="clear"/>
              <w:adjustRightInd w:val="0"/>
              <w:snapToGrid w:val="0"/>
              <w:spacing w:line="360" w:lineRule="auto"/>
              <w:jc w:val="center"/>
              <w:rPr>
                <w:rFonts w:hint="eastAsia" w:ascii="宋体" w:hAnsi="宋体" w:cs="宋体"/>
                <w:sz w:val="24"/>
                <w:highlight w:val="none"/>
              </w:rPr>
            </w:pPr>
          </w:p>
        </w:tc>
      </w:tr>
      <w:tr w14:paraId="02439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66" w:type="dxa"/>
            <w:tcBorders>
              <w:tl2br w:val="nil"/>
              <w:tr2bl w:val="nil"/>
            </w:tcBorders>
            <w:vAlign w:val="center"/>
          </w:tcPr>
          <w:p w14:paraId="46536906">
            <w:pPr>
              <w:shd w:val="clear"/>
              <w:adjustRightInd w:val="0"/>
              <w:snapToGrid w:val="0"/>
              <w:spacing w:line="360" w:lineRule="auto"/>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8</w:t>
            </w:r>
          </w:p>
        </w:tc>
        <w:tc>
          <w:tcPr>
            <w:tcW w:w="1742" w:type="dxa"/>
            <w:tcBorders>
              <w:tl2br w:val="nil"/>
              <w:tr2bl w:val="nil"/>
            </w:tcBorders>
            <w:vAlign w:val="center"/>
          </w:tcPr>
          <w:p w14:paraId="08F0D6B6">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其他要求</w:t>
            </w:r>
          </w:p>
        </w:tc>
        <w:tc>
          <w:tcPr>
            <w:tcW w:w="2647" w:type="dxa"/>
            <w:tcBorders>
              <w:tl2br w:val="nil"/>
              <w:tr2bl w:val="nil"/>
            </w:tcBorders>
            <w:vAlign w:val="center"/>
          </w:tcPr>
          <w:p w14:paraId="1A69BB31">
            <w:pPr>
              <w:shd w:val="clear"/>
              <w:spacing w:line="360" w:lineRule="auto"/>
              <w:jc w:val="center"/>
              <w:rPr>
                <w:rFonts w:hint="eastAsia" w:ascii="宋体" w:hAnsi="宋体" w:cs="宋体"/>
                <w:sz w:val="24"/>
                <w:szCs w:val="28"/>
                <w:highlight w:val="none"/>
              </w:rPr>
            </w:pPr>
            <w:r>
              <w:rPr>
                <w:rFonts w:hint="eastAsia" w:ascii="宋体" w:hAnsi="宋体" w:cs="宋体"/>
                <w:sz w:val="24"/>
                <w:szCs w:val="28"/>
                <w:highlight w:val="none"/>
              </w:rPr>
              <w:t>询比文件列明的其他要求：如</w:t>
            </w:r>
            <w:r>
              <w:rPr>
                <w:rFonts w:hint="eastAsia" w:ascii="宋体" w:hAnsi="宋体" w:cs="宋体"/>
                <w:sz w:val="24"/>
                <w:highlight w:val="none"/>
              </w:rPr>
              <w:t>联合体参选的供应商应提交各方共同签署的联合体协议</w:t>
            </w:r>
            <w:r>
              <w:rPr>
                <w:rFonts w:hint="eastAsia" w:ascii="宋体" w:hAnsi="宋体" w:cs="宋体"/>
                <w:sz w:val="24"/>
                <w:szCs w:val="28"/>
                <w:highlight w:val="none"/>
              </w:rPr>
              <w:t>等</w:t>
            </w:r>
          </w:p>
        </w:tc>
        <w:tc>
          <w:tcPr>
            <w:tcW w:w="1188" w:type="dxa"/>
            <w:tcBorders>
              <w:tl2br w:val="nil"/>
              <w:tr2bl w:val="nil"/>
            </w:tcBorders>
            <w:vAlign w:val="center"/>
          </w:tcPr>
          <w:p w14:paraId="653F0DAE">
            <w:pPr>
              <w:shd w:val="clear"/>
              <w:adjustRightInd w:val="0"/>
              <w:snapToGrid w:val="0"/>
              <w:spacing w:line="360" w:lineRule="auto"/>
              <w:jc w:val="center"/>
              <w:rPr>
                <w:rFonts w:hint="eastAsia" w:ascii="宋体" w:hAnsi="宋体" w:cs="宋体"/>
                <w:sz w:val="24"/>
                <w:highlight w:val="none"/>
              </w:rPr>
            </w:pPr>
          </w:p>
        </w:tc>
        <w:tc>
          <w:tcPr>
            <w:tcW w:w="3181" w:type="dxa"/>
            <w:tcBorders>
              <w:tl2br w:val="nil"/>
              <w:tr2bl w:val="nil"/>
            </w:tcBorders>
            <w:vAlign w:val="center"/>
          </w:tcPr>
          <w:p w14:paraId="3EFCC5F8">
            <w:pPr>
              <w:shd w:val="clear"/>
              <w:adjustRightInd w:val="0"/>
              <w:snapToGrid w:val="0"/>
              <w:spacing w:line="360" w:lineRule="auto"/>
              <w:jc w:val="center"/>
              <w:rPr>
                <w:rFonts w:hint="eastAsia" w:ascii="宋体" w:hAnsi="宋体" w:cs="宋体"/>
                <w:sz w:val="24"/>
                <w:highlight w:val="none"/>
              </w:rPr>
            </w:pPr>
          </w:p>
        </w:tc>
      </w:tr>
      <w:tr w14:paraId="3B2D9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9624" w:type="dxa"/>
            <w:gridSpan w:val="5"/>
            <w:tcBorders>
              <w:tl2br w:val="nil"/>
              <w:tr2bl w:val="nil"/>
            </w:tcBorders>
            <w:vAlign w:val="center"/>
          </w:tcPr>
          <w:p w14:paraId="76A9BB80">
            <w:pPr>
              <w:shd w:val="clear"/>
              <w:adjustRightInd w:val="0"/>
              <w:snapToGrid w:val="0"/>
              <w:spacing w:line="360" w:lineRule="auto"/>
              <w:rPr>
                <w:rFonts w:hint="eastAsia" w:ascii="宋体" w:hAnsi="宋体" w:cs="宋体"/>
                <w:sz w:val="24"/>
                <w:highlight w:val="none"/>
              </w:rPr>
            </w:pPr>
            <w:r>
              <w:rPr>
                <w:rFonts w:hint="eastAsia" w:ascii="宋体" w:hAnsi="宋体" w:cs="宋体"/>
                <w:sz w:val="24"/>
                <w:highlight w:val="none"/>
              </w:rPr>
              <w:t>初审指标通过标准：</w:t>
            </w:r>
          </w:p>
          <w:p w14:paraId="688B183C">
            <w:pPr>
              <w:shd w:val="clear"/>
              <w:adjustRightInd w:val="0"/>
              <w:snapToGrid w:val="0"/>
              <w:spacing w:line="360" w:lineRule="auto"/>
              <w:rPr>
                <w:rFonts w:hint="eastAsia" w:ascii="宋体" w:hAnsi="宋体" w:cs="宋体"/>
                <w:sz w:val="24"/>
                <w:highlight w:val="none"/>
              </w:rPr>
            </w:pPr>
            <w:r>
              <w:rPr>
                <w:rFonts w:hint="eastAsia" w:ascii="宋体" w:hAnsi="宋体" w:cs="宋体"/>
                <w:sz w:val="24"/>
                <w:highlight w:val="none"/>
              </w:rPr>
              <w:t>供应商必须通过上述全部指标</w:t>
            </w:r>
          </w:p>
        </w:tc>
      </w:tr>
      <w:tr w14:paraId="08A8AE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53" w:hRule="atLeast"/>
          <w:jc w:val="center"/>
        </w:trPr>
        <w:tc>
          <w:tcPr>
            <w:tcW w:w="9624" w:type="dxa"/>
            <w:gridSpan w:val="5"/>
            <w:tcBorders>
              <w:tl2br w:val="nil"/>
              <w:tr2bl w:val="nil"/>
            </w:tcBorders>
          </w:tcPr>
          <w:p w14:paraId="5EA9E95A">
            <w:pPr>
              <w:pStyle w:val="11"/>
              <w:shd w:val="clear"/>
              <w:adjustRightInd w:val="0"/>
              <w:spacing w:after="0" w:line="360" w:lineRule="auto"/>
              <w:ind w:left="0" w:leftChars="0"/>
              <w:rPr>
                <w:rFonts w:hint="eastAsia" w:ascii="宋体" w:hAnsi="宋体" w:cs="宋体"/>
                <w:b/>
                <w:bCs/>
                <w:sz w:val="24"/>
                <w:highlight w:val="none"/>
              </w:rPr>
            </w:pPr>
            <w:r>
              <w:rPr>
                <w:rFonts w:hint="eastAsia" w:ascii="宋体" w:hAnsi="宋体" w:cs="宋体"/>
                <w:b/>
                <w:bCs/>
                <w:sz w:val="24"/>
                <w:highlight w:val="none"/>
              </w:rPr>
              <w:t>备注：</w:t>
            </w:r>
          </w:p>
          <w:p w14:paraId="3769F7A4">
            <w:pPr>
              <w:pStyle w:val="11"/>
              <w:shd w:val="clear"/>
              <w:adjustRightInd w:val="0"/>
              <w:spacing w:after="0" w:line="360" w:lineRule="auto"/>
              <w:ind w:left="0" w:leftChars="0"/>
              <w:rPr>
                <w:rFonts w:hint="eastAsia" w:ascii="宋体" w:hAnsi="宋体" w:cs="宋体"/>
                <w:b/>
                <w:bCs/>
                <w:sz w:val="24"/>
                <w:highlight w:val="none"/>
              </w:rPr>
            </w:pPr>
            <w:r>
              <w:rPr>
                <w:rFonts w:hint="eastAsia" w:ascii="宋体" w:hAnsi="宋体" w:cs="宋体"/>
                <w:b/>
                <w:bCs/>
                <w:sz w:val="24"/>
                <w:highlight w:val="none"/>
              </w:rPr>
              <w:t>1. 如果有必要，评审小组可要求供应商在指定时间内提交补充或证明材料。补充、证明材料不全或未在指定时间内提交，响应无效。</w:t>
            </w:r>
          </w:p>
          <w:p w14:paraId="774E0F2A">
            <w:pPr>
              <w:pStyle w:val="11"/>
              <w:shd w:val="clear"/>
              <w:adjustRightInd w:val="0"/>
              <w:spacing w:after="0" w:line="360" w:lineRule="auto"/>
              <w:ind w:left="0" w:leftChars="0"/>
              <w:rPr>
                <w:rFonts w:hint="eastAsia" w:ascii="宋体" w:hAnsi="宋体" w:cs="宋体"/>
                <w:b/>
                <w:bCs/>
                <w:sz w:val="24"/>
                <w:highlight w:val="none"/>
              </w:rPr>
            </w:pPr>
            <w:r>
              <w:rPr>
                <w:rFonts w:hint="eastAsia" w:ascii="宋体" w:hAnsi="宋体" w:cs="宋体"/>
                <w:b/>
                <w:bCs/>
                <w:sz w:val="24"/>
                <w:highlight w:val="none"/>
              </w:rPr>
              <w:t>2. 以上证明文件均须合法有效。如按照国家规定需要进行年审的证书，证书必须年审合格。</w:t>
            </w:r>
          </w:p>
        </w:tc>
      </w:tr>
    </w:tbl>
    <w:p w14:paraId="4A2CE2CF">
      <w:pPr>
        <w:shd w:val="clear"/>
        <w:spacing w:line="360" w:lineRule="auto"/>
        <w:ind w:firstLine="480" w:firstLineChars="200"/>
        <w:rPr>
          <w:rFonts w:hint="eastAsia" w:ascii="宋体" w:hAnsi="宋体" w:cs="宋体"/>
          <w:b/>
          <w:bCs/>
          <w:sz w:val="24"/>
          <w:highlight w:val="none"/>
        </w:rPr>
      </w:pPr>
      <w:r>
        <w:rPr>
          <w:rFonts w:hint="eastAsia" w:ascii="宋体" w:hAnsi="宋体" w:cs="宋体"/>
          <w:bCs/>
          <w:sz w:val="24"/>
          <w:highlight w:val="none"/>
        </w:rPr>
        <w:t>备注：评审中，评审小组发现供应商的响应文件中对同类问题表述不一致、前后矛盾、有明显文字和计算错误的内容、有可能不符合询比文件规定等情况需要澄清时，评审小组将以询问的方式告知并要求供应商以书面方式进行必要的澄清、说明或补正。对于询问后判定为不符合询比文件的响应文件，评审小组要提出充足的否定理由，并予以书面记录。最终对供应商的评审结论分为通过和未通过。</w:t>
      </w:r>
    </w:p>
    <w:p w14:paraId="3705E93B">
      <w:pPr>
        <w:shd w:val="clear"/>
        <w:rPr>
          <w:rFonts w:hint="eastAsia" w:ascii="宋体" w:hAnsi="宋体" w:cs="宋体"/>
          <w:bCs/>
          <w:sz w:val="24"/>
          <w:highlight w:val="none"/>
        </w:rPr>
      </w:pPr>
      <w:r>
        <w:rPr>
          <w:rFonts w:hint="eastAsia" w:ascii="宋体" w:hAnsi="宋体" w:cs="宋体"/>
          <w:bCs/>
          <w:sz w:val="24"/>
          <w:highlight w:val="none"/>
        </w:rPr>
        <w:br w:type="page"/>
      </w:r>
    </w:p>
    <w:p w14:paraId="78D14197">
      <w:pPr>
        <w:shd w:val="clear"/>
        <w:spacing w:line="360" w:lineRule="auto"/>
        <w:rPr>
          <w:rFonts w:hint="eastAsia" w:ascii="宋体" w:hAnsi="宋体" w:cs="宋体"/>
          <w:bCs/>
          <w:sz w:val="24"/>
          <w:highlight w:val="none"/>
        </w:rPr>
      </w:pPr>
      <w:r>
        <w:rPr>
          <w:rFonts w:hint="eastAsia" w:ascii="宋体" w:hAnsi="宋体" w:cs="宋体"/>
          <w:bCs/>
          <w:sz w:val="24"/>
          <w:highlight w:val="none"/>
        </w:rPr>
        <w:t>询问函格式如下：</w:t>
      </w:r>
    </w:p>
    <w:p w14:paraId="0ECE30CC">
      <w:pPr>
        <w:shd w:val="clear"/>
        <w:spacing w:line="360" w:lineRule="auto"/>
        <w:jc w:val="center"/>
        <w:rPr>
          <w:rFonts w:hint="eastAsia" w:ascii="宋体" w:hAnsi="宋体" w:cs="宋体"/>
          <w:bCs/>
          <w:sz w:val="44"/>
          <w:szCs w:val="44"/>
          <w:highlight w:val="none"/>
        </w:rPr>
      </w:pPr>
      <w:r>
        <w:rPr>
          <w:rFonts w:hint="eastAsia" w:ascii="宋体" w:hAnsi="宋体" w:cs="宋体"/>
          <w:b/>
          <w:bCs/>
          <w:sz w:val="44"/>
          <w:szCs w:val="44"/>
          <w:highlight w:val="none"/>
        </w:rPr>
        <w:t>询 问 函</w:t>
      </w:r>
    </w:p>
    <w:p w14:paraId="1732CE2A">
      <w:pPr>
        <w:shd w:val="clear"/>
        <w:spacing w:line="460" w:lineRule="exact"/>
        <w:rPr>
          <w:rFonts w:hint="eastAsia" w:ascii="宋体" w:hAnsi="宋体" w:cs="宋体"/>
          <w:b/>
          <w:bCs/>
          <w:sz w:val="24"/>
          <w:highlight w:val="none"/>
        </w:rPr>
      </w:pPr>
      <w:r>
        <w:rPr>
          <w:rFonts w:hint="eastAsia" w:ascii="宋体" w:hAnsi="宋体" w:cs="宋体"/>
          <w:b/>
          <w:bCs/>
          <w:sz w:val="24"/>
          <w:highlight w:val="none"/>
        </w:rPr>
        <w:t>项目名称：</w:t>
      </w:r>
    </w:p>
    <w:p w14:paraId="131BE2C0">
      <w:pPr>
        <w:shd w:val="clear"/>
        <w:spacing w:line="460" w:lineRule="exact"/>
        <w:rPr>
          <w:rFonts w:hint="eastAsia" w:ascii="宋体" w:hAnsi="宋体" w:cs="宋体"/>
          <w:b/>
          <w:bCs/>
          <w:sz w:val="24"/>
          <w:highlight w:val="none"/>
        </w:rPr>
      </w:pPr>
      <w:r>
        <w:rPr>
          <w:rFonts w:hint="eastAsia" w:ascii="宋体" w:hAnsi="宋体" w:cs="宋体"/>
          <w:b/>
          <w:bCs/>
          <w:sz w:val="24"/>
          <w:highlight w:val="none"/>
        </w:rPr>
        <w:t>项目编号：</w:t>
      </w:r>
    </w:p>
    <w:tbl>
      <w:tblPr>
        <w:tblStyle w:val="27"/>
        <w:tblW w:w="96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45"/>
        <w:gridCol w:w="7320"/>
      </w:tblGrid>
      <w:tr w14:paraId="039DD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58" w:hRule="atLeast"/>
          <w:jc w:val="center"/>
        </w:trPr>
        <w:tc>
          <w:tcPr>
            <w:tcW w:w="2345" w:type="dxa"/>
            <w:tcBorders>
              <w:tl2br w:val="nil"/>
              <w:tr2bl w:val="nil"/>
            </w:tcBorders>
            <w:vAlign w:val="center"/>
          </w:tcPr>
          <w:p w14:paraId="2FD689C9">
            <w:pPr>
              <w:shd w:val="clear"/>
              <w:jc w:val="center"/>
              <w:rPr>
                <w:rFonts w:hint="eastAsia" w:ascii="宋体" w:hAnsi="宋体" w:cs="宋体"/>
                <w:b/>
                <w:bCs/>
                <w:sz w:val="24"/>
                <w:highlight w:val="none"/>
              </w:rPr>
            </w:pPr>
            <w:r>
              <w:rPr>
                <w:rFonts w:hint="eastAsia" w:ascii="宋体" w:hAnsi="宋体" w:cs="宋体"/>
                <w:b/>
                <w:bCs/>
                <w:sz w:val="24"/>
                <w:highlight w:val="none"/>
              </w:rPr>
              <w:t>询问内容</w:t>
            </w:r>
          </w:p>
        </w:tc>
        <w:tc>
          <w:tcPr>
            <w:tcW w:w="7320" w:type="dxa"/>
            <w:tcBorders>
              <w:tl2br w:val="nil"/>
              <w:tr2bl w:val="nil"/>
            </w:tcBorders>
          </w:tcPr>
          <w:p w14:paraId="5470BA09">
            <w:pPr>
              <w:shd w:val="clear"/>
              <w:rPr>
                <w:rFonts w:hint="eastAsia" w:ascii="宋体" w:hAnsi="宋体" w:cs="宋体"/>
                <w:sz w:val="24"/>
                <w:highlight w:val="none"/>
              </w:rPr>
            </w:pPr>
          </w:p>
        </w:tc>
      </w:tr>
      <w:tr w14:paraId="741E04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0" w:hRule="atLeast"/>
          <w:jc w:val="center"/>
        </w:trPr>
        <w:tc>
          <w:tcPr>
            <w:tcW w:w="2345" w:type="dxa"/>
            <w:tcBorders>
              <w:tl2br w:val="nil"/>
              <w:tr2bl w:val="nil"/>
            </w:tcBorders>
            <w:vAlign w:val="center"/>
          </w:tcPr>
          <w:p w14:paraId="59A1F22F">
            <w:pPr>
              <w:shd w:val="clear"/>
              <w:jc w:val="center"/>
              <w:rPr>
                <w:rFonts w:hint="eastAsia" w:ascii="宋体" w:hAnsi="宋体" w:cs="宋体"/>
                <w:b/>
                <w:bCs/>
                <w:sz w:val="24"/>
                <w:highlight w:val="none"/>
              </w:rPr>
            </w:pPr>
            <w:r>
              <w:rPr>
                <w:rFonts w:hint="eastAsia" w:ascii="宋体" w:hAnsi="宋体" w:cs="宋体"/>
                <w:b/>
                <w:bCs/>
                <w:sz w:val="24"/>
                <w:highlight w:val="none"/>
              </w:rPr>
              <w:t>供应商说明并签字</w:t>
            </w:r>
          </w:p>
        </w:tc>
        <w:tc>
          <w:tcPr>
            <w:tcW w:w="7320" w:type="dxa"/>
            <w:tcBorders>
              <w:tl2br w:val="nil"/>
              <w:tr2bl w:val="nil"/>
            </w:tcBorders>
          </w:tcPr>
          <w:p w14:paraId="34D4D68F">
            <w:pPr>
              <w:shd w:val="clear"/>
              <w:rPr>
                <w:rFonts w:hint="eastAsia" w:ascii="宋体" w:hAnsi="宋体" w:cs="宋体"/>
                <w:sz w:val="24"/>
                <w:highlight w:val="none"/>
              </w:rPr>
            </w:pPr>
          </w:p>
          <w:p w14:paraId="6437EB7D">
            <w:pPr>
              <w:shd w:val="clear"/>
              <w:spacing w:line="360" w:lineRule="auto"/>
              <w:rPr>
                <w:rFonts w:hint="eastAsia" w:ascii="宋体" w:hAnsi="宋体" w:cs="宋体"/>
                <w:sz w:val="24"/>
                <w:highlight w:val="none"/>
              </w:rPr>
            </w:pPr>
            <w:r>
              <w:rPr>
                <w:rFonts w:hint="eastAsia" w:ascii="宋体" w:hAnsi="宋体" w:cs="宋体"/>
                <w:sz w:val="24"/>
                <w:highlight w:val="none"/>
              </w:rPr>
              <w:t>供应商：</w:t>
            </w:r>
          </w:p>
          <w:p w14:paraId="5051F573">
            <w:pPr>
              <w:shd w:val="clear"/>
              <w:spacing w:line="360" w:lineRule="auto"/>
              <w:rPr>
                <w:rFonts w:hint="eastAsia" w:ascii="宋体" w:hAnsi="宋体" w:cs="宋体"/>
                <w:sz w:val="24"/>
                <w:highlight w:val="none"/>
              </w:rPr>
            </w:pPr>
            <w:r>
              <w:rPr>
                <w:rFonts w:hint="eastAsia" w:ascii="宋体" w:hAnsi="宋体" w:cs="宋体"/>
                <w:sz w:val="24"/>
                <w:highlight w:val="none"/>
              </w:rPr>
              <w:t>授权委托人签字：</w:t>
            </w:r>
          </w:p>
          <w:p w14:paraId="73420ADA">
            <w:pPr>
              <w:shd w:val="clear"/>
              <w:spacing w:line="360" w:lineRule="auto"/>
              <w:rPr>
                <w:rFonts w:hint="eastAsia" w:ascii="宋体" w:hAnsi="宋体" w:cs="宋体"/>
                <w:sz w:val="24"/>
                <w:highlight w:val="none"/>
              </w:rPr>
            </w:pPr>
            <w:r>
              <w:rPr>
                <w:rFonts w:hint="eastAsia" w:ascii="宋体" w:hAnsi="宋体" w:cs="宋体"/>
                <w:sz w:val="24"/>
                <w:highlight w:val="none"/>
              </w:rPr>
              <w:t>授权委托人身份证号：</w:t>
            </w:r>
          </w:p>
          <w:p w14:paraId="47A73160">
            <w:pPr>
              <w:shd w:val="clear"/>
              <w:spacing w:line="360" w:lineRule="auto"/>
              <w:rPr>
                <w:rFonts w:hint="eastAsia" w:ascii="宋体" w:hAnsi="宋体" w:cs="宋体"/>
                <w:sz w:val="24"/>
                <w:highlight w:val="none"/>
              </w:rPr>
            </w:pPr>
            <w:r>
              <w:rPr>
                <w:rFonts w:hint="eastAsia" w:ascii="宋体" w:hAnsi="宋体" w:cs="宋体"/>
                <w:sz w:val="24"/>
                <w:highlight w:val="none"/>
              </w:rPr>
              <w:t>日期：</w:t>
            </w:r>
          </w:p>
        </w:tc>
      </w:tr>
      <w:tr w14:paraId="36BA1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82" w:hRule="atLeast"/>
          <w:jc w:val="center"/>
        </w:trPr>
        <w:tc>
          <w:tcPr>
            <w:tcW w:w="2345" w:type="dxa"/>
            <w:tcBorders>
              <w:tl2br w:val="nil"/>
              <w:tr2bl w:val="nil"/>
            </w:tcBorders>
            <w:vAlign w:val="center"/>
          </w:tcPr>
          <w:p w14:paraId="3E92CCB9">
            <w:pPr>
              <w:shd w:val="clear"/>
              <w:jc w:val="center"/>
              <w:rPr>
                <w:rFonts w:hint="eastAsia" w:ascii="宋体" w:hAnsi="宋体" w:cs="宋体"/>
                <w:b/>
                <w:bCs/>
                <w:sz w:val="24"/>
                <w:highlight w:val="none"/>
              </w:rPr>
            </w:pPr>
            <w:r>
              <w:rPr>
                <w:rFonts w:hint="eastAsia" w:ascii="宋体" w:hAnsi="宋体" w:cs="宋体"/>
                <w:b/>
                <w:bCs/>
                <w:sz w:val="24"/>
                <w:highlight w:val="none"/>
              </w:rPr>
              <w:t>评审结论</w:t>
            </w:r>
          </w:p>
        </w:tc>
        <w:tc>
          <w:tcPr>
            <w:tcW w:w="7320" w:type="dxa"/>
            <w:tcBorders>
              <w:tl2br w:val="nil"/>
              <w:tr2bl w:val="nil"/>
            </w:tcBorders>
            <w:vAlign w:val="center"/>
          </w:tcPr>
          <w:p w14:paraId="20C4ACA7">
            <w:pPr>
              <w:shd w:val="clear"/>
              <w:rPr>
                <w:rFonts w:hint="eastAsia" w:ascii="宋体" w:hAnsi="宋体" w:cs="宋体"/>
                <w:bCs/>
                <w:sz w:val="24"/>
                <w:highlight w:val="none"/>
              </w:rPr>
            </w:pPr>
            <w:r>
              <w:rPr>
                <w:rFonts w:hint="eastAsia" w:ascii="宋体" w:hAnsi="宋体" w:cs="宋体"/>
                <w:bCs/>
                <w:sz w:val="24"/>
                <w:highlight w:val="none"/>
              </w:rPr>
              <w:t>□通过。通过理由：</w:t>
            </w:r>
          </w:p>
          <w:p w14:paraId="3420352C">
            <w:pPr>
              <w:shd w:val="clear"/>
              <w:rPr>
                <w:rFonts w:hint="eastAsia" w:ascii="宋体" w:hAnsi="宋体" w:cs="宋体"/>
                <w:bCs/>
                <w:sz w:val="24"/>
                <w:highlight w:val="none"/>
              </w:rPr>
            </w:pPr>
          </w:p>
          <w:p w14:paraId="52A49CCB">
            <w:pPr>
              <w:shd w:val="clear"/>
              <w:rPr>
                <w:rFonts w:hint="eastAsia" w:ascii="宋体" w:hAnsi="宋体" w:cs="宋体"/>
                <w:bCs/>
                <w:sz w:val="24"/>
                <w:highlight w:val="none"/>
              </w:rPr>
            </w:pPr>
            <w:r>
              <w:rPr>
                <w:rFonts w:hint="eastAsia" w:ascii="宋体" w:hAnsi="宋体" w:cs="宋体"/>
                <w:bCs/>
                <w:sz w:val="24"/>
                <w:highlight w:val="none"/>
              </w:rPr>
              <w:t>□不通过。不通过的询比文件条款依据：</w:t>
            </w:r>
          </w:p>
          <w:p w14:paraId="10200059">
            <w:pPr>
              <w:shd w:val="clear"/>
              <w:rPr>
                <w:rFonts w:hint="eastAsia" w:ascii="宋体" w:hAnsi="宋体" w:cs="宋体"/>
                <w:sz w:val="24"/>
                <w:highlight w:val="none"/>
              </w:rPr>
            </w:pPr>
          </w:p>
        </w:tc>
      </w:tr>
      <w:tr w14:paraId="4C219F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34" w:hRule="atLeast"/>
          <w:jc w:val="center"/>
        </w:trPr>
        <w:tc>
          <w:tcPr>
            <w:tcW w:w="2345" w:type="dxa"/>
            <w:tcBorders>
              <w:tl2br w:val="nil"/>
              <w:tr2bl w:val="nil"/>
            </w:tcBorders>
            <w:vAlign w:val="center"/>
          </w:tcPr>
          <w:p w14:paraId="1D5E761C">
            <w:pPr>
              <w:shd w:val="clear"/>
              <w:jc w:val="center"/>
              <w:rPr>
                <w:rFonts w:hint="eastAsia" w:ascii="宋体" w:hAnsi="宋体" w:cs="宋体"/>
                <w:b/>
                <w:bCs/>
                <w:sz w:val="24"/>
                <w:highlight w:val="none"/>
              </w:rPr>
            </w:pPr>
            <w:r>
              <w:rPr>
                <w:rFonts w:hint="eastAsia" w:ascii="宋体" w:hAnsi="宋体" w:cs="宋体"/>
                <w:b/>
                <w:bCs/>
                <w:sz w:val="24"/>
                <w:highlight w:val="none"/>
              </w:rPr>
              <w:t>评审小组签字</w:t>
            </w:r>
          </w:p>
        </w:tc>
        <w:tc>
          <w:tcPr>
            <w:tcW w:w="7320" w:type="dxa"/>
            <w:tcBorders>
              <w:tl2br w:val="nil"/>
              <w:tr2bl w:val="nil"/>
            </w:tcBorders>
            <w:vAlign w:val="center"/>
          </w:tcPr>
          <w:p w14:paraId="4BE5DB79">
            <w:pPr>
              <w:shd w:val="clear"/>
              <w:rPr>
                <w:rFonts w:hint="eastAsia" w:ascii="宋体" w:hAnsi="宋体" w:cs="宋体"/>
                <w:sz w:val="24"/>
                <w:highlight w:val="none"/>
              </w:rPr>
            </w:pPr>
          </w:p>
        </w:tc>
      </w:tr>
    </w:tbl>
    <w:p w14:paraId="40FE4171">
      <w:pPr>
        <w:shd w:val="clear"/>
        <w:spacing w:line="360" w:lineRule="exact"/>
        <w:ind w:firstLine="240" w:firstLineChars="100"/>
        <w:rPr>
          <w:rFonts w:hint="eastAsia" w:ascii="宋体" w:hAnsi="宋体" w:cs="宋体"/>
          <w:bCs/>
          <w:sz w:val="24"/>
          <w:highlight w:val="none"/>
        </w:rPr>
      </w:pPr>
      <w:r>
        <w:rPr>
          <w:rFonts w:hint="eastAsia" w:ascii="宋体" w:hAnsi="宋体" w:cs="宋体"/>
          <w:bCs/>
          <w:sz w:val="24"/>
          <w:highlight w:val="none"/>
        </w:rPr>
        <w:t>时间：  年  月  日</w:t>
      </w:r>
    </w:p>
    <w:p w14:paraId="75215E52">
      <w:pPr>
        <w:shd w:val="clear"/>
        <w:rPr>
          <w:rFonts w:hint="eastAsia" w:ascii="宋体" w:hAnsi="宋体" w:cs="宋体"/>
          <w:b/>
          <w:sz w:val="24"/>
          <w:highlight w:val="none"/>
        </w:rPr>
      </w:pPr>
      <w:r>
        <w:rPr>
          <w:rFonts w:hint="eastAsia" w:ascii="宋体" w:hAnsi="宋体" w:cs="宋体"/>
          <w:b/>
          <w:sz w:val="24"/>
          <w:highlight w:val="none"/>
        </w:rPr>
        <w:br w:type="page"/>
      </w:r>
    </w:p>
    <w:p w14:paraId="1C2C5A90">
      <w:pPr>
        <w:shd w:val="clear"/>
        <w:adjustRightInd w:val="0"/>
        <w:snapToGrid w:val="0"/>
        <w:spacing w:before="62" w:beforeLines="20" w:after="62" w:afterLines="20" w:line="360" w:lineRule="exact"/>
        <w:ind w:firstLine="482" w:firstLineChars="200"/>
        <w:rPr>
          <w:rFonts w:hint="eastAsia" w:ascii="宋体" w:hAnsi="宋体" w:cs="宋体"/>
          <w:b/>
          <w:sz w:val="24"/>
          <w:highlight w:val="none"/>
        </w:rPr>
      </w:pPr>
      <w:r>
        <w:rPr>
          <w:rFonts w:hint="eastAsia" w:ascii="宋体" w:hAnsi="宋体" w:cs="宋体"/>
          <w:b/>
          <w:sz w:val="24"/>
          <w:highlight w:val="none"/>
        </w:rPr>
        <w:t>2.商务（价格）分（</w:t>
      </w:r>
      <w:r>
        <w:rPr>
          <w:rFonts w:hint="eastAsia" w:ascii="宋体" w:hAnsi="宋体" w:cs="宋体"/>
          <w:b/>
          <w:sz w:val="24"/>
          <w:highlight w:val="none"/>
          <w:u w:val="single"/>
        </w:rPr>
        <w:t>20</w:t>
      </w:r>
      <w:r>
        <w:rPr>
          <w:rFonts w:hint="eastAsia" w:ascii="宋体" w:hAnsi="宋体" w:cs="宋体"/>
          <w:b/>
          <w:sz w:val="24"/>
          <w:highlight w:val="none"/>
        </w:rPr>
        <w:t>分）</w:t>
      </w:r>
    </w:p>
    <w:p w14:paraId="6C9B1A01">
      <w:pPr>
        <w:shd w:val="clear"/>
        <w:adjustRightInd w:val="0"/>
        <w:snapToGrid w:val="0"/>
        <w:spacing w:before="62" w:beforeLines="20" w:after="62" w:afterLines="20"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2.1 计算参选报价得分前，由评审小组审查各参选报价是否有异常情况。</w:t>
      </w:r>
    </w:p>
    <w:p w14:paraId="15419473">
      <w:pPr>
        <w:shd w:val="clear"/>
        <w:adjustRightInd w:val="0"/>
        <w:snapToGrid w:val="0"/>
        <w:spacing w:before="62" w:beforeLines="20" w:after="62" w:afterLines="20"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价格分统一采用低价优先法，即</w:t>
      </w:r>
      <w:r>
        <w:rPr>
          <w:rFonts w:hint="eastAsia" w:ascii="Times New Roman" w:hAnsi="Times New Roman" w:cs="宋体"/>
          <w:kern w:val="0"/>
          <w:sz w:val="24"/>
          <w:szCs w:val="24"/>
          <w:highlight w:val="none"/>
        </w:rPr>
        <w:t>满足文件要求且综合报价（综合报价=</w:t>
      </w:r>
      <w:r>
        <w:rPr>
          <w:rFonts w:ascii="Times New Roman" w:hAnsi="Times New Roman" w:cs="宋体"/>
          <w:kern w:val="0"/>
          <w:sz w:val="24"/>
          <w:szCs w:val="24"/>
          <w:highlight w:val="none"/>
        </w:rPr>
        <w:t>40</w:t>
      </w:r>
      <w:r>
        <w:rPr>
          <w:rFonts w:hint="eastAsia" w:ascii="Times New Roman" w:hAnsi="Times New Roman" w:cs="宋体"/>
          <w:kern w:val="0"/>
          <w:sz w:val="24"/>
          <w:szCs w:val="24"/>
          <w:highlight w:val="none"/>
        </w:rPr>
        <w:t>岁（不含）以下基础项目报价×60％+4</w:t>
      </w:r>
      <w:r>
        <w:rPr>
          <w:rFonts w:ascii="Times New Roman" w:hAnsi="Times New Roman" w:cs="宋体"/>
          <w:kern w:val="0"/>
          <w:sz w:val="24"/>
          <w:szCs w:val="24"/>
          <w:highlight w:val="none"/>
        </w:rPr>
        <w:t>0</w:t>
      </w:r>
      <w:r>
        <w:rPr>
          <w:rFonts w:hint="eastAsia" w:ascii="Times New Roman" w:hAnsi="Times New Roman" w:cs="宋体"/>
          <w:kern w:val="0"/>
          <w:sz w:val="24"/>
          <w:szCs w:val="24"/>
          <w:highlight w:val="none"/>
        </w:rPr>
        <w:t>岁（含）以上基础项目报价×40％）最低的报价为基准价，其价格分为满分20分</w:t>
      </w:r>
      <w:r>
        <w:rPr>
          <w:rFonts w:hint="eastAsia" w:ascii="宋体" w:hAnsi="宋体" w:cs="宋体"/>
          <w:bCs/>
          <w:sz w:val="24"/>
          <w:highlight w:val="none"/>
        </w:rPr>
        <w:t>。其他供应商的价格分统一按照下列公式计算：</w:t>
      </w:r>
    </w:p>
    <w:p w14:paraId="0FE8AB77">
      <w:pPr>
        <w:shd w:val="clear"/>
        <w:adjustRightInd w:val="0"/>
        <w:snapToGrid w:val="0"/>
        <w:spacing w:before="62" w:beforeLines="20" w:after="62" w:afterLines="20"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参选报价得分＝（评审基准价/评审价）×20％×100</w:t>
      </w:r>
    </w:p>
    <w:p w14:paraId="6C06A3BC">
      <w:pPr>
        <w:shd w:val="clear"/>
        <w:adjustRightInd w:val="0"/>
        <w:snapToGrid w:val="0"/>
        <w:spacing w:before="62" w:beforeLines="20" w:after="62" w:afterLines="20"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2.2 各供应商应按拟开具的一般纳税人增值税普通发票金额报价，否则视为无效。</w:t>
      </w:r>
    </w:p>
    <w:p w14:paraId="55C44347">
      <w:pPr>
        <w:shd w:val="clear"/>
        <w:adjustRightInd w:val="0"/>
        <w:snapToGrid w:val="0"/>
        <w:spacing w:line="360" w:lineRule="auto"/>
        <w:ind w:firstLine="482" w:firstLineChars="200"/>
        <w:rPr>
          <w:rFonts w:hint="eastAsia" w:ascii="宋体" w:hAnsi="宋体" w:cs="宋体"/>
          <w:b/>
          <w:bCs/>
          <w:sz w:val="24"/>
          <w:highlight w:val="none"/>
          <w:shd w:val="pct10" w:color="auto" w:fill="FFFFFF"/>
        </w:rPr>
      </w:pPr>
      <w:r>
        <w:rPr>
          <w:rFonts w:hint="eastAsia" w:ascii="宋体" w:hAnsi="宋体" w:cs="宋体"/>
          <w:b/>
          <w:bCs/>
          <w:sz w:val="24"/>
          <w:highlight w:val="none"/>
        </w:rPr>
        <w:t>3.技术分（8</w:t>
      </w:r>
      <w:r>
        <w:rPr>
          <w:rFonts w:hint="eastAsia" w:ascii="宋体" w:hAnsi="宋体" w:cs="宋体"/>
          <w:b/>
          <w:bCs/>
          <w:sz w:val="24"/>
          <w:highlight w:val="none"/>
          <w:u w:val="single"/>
        </w:rPr>
        <w:t>0</w:t>
      </w:r>
      <w:r>
        <w:rPr>
          <w:rFonts w:hint="eastAsia" w:ascii="宋体" w:hAnsi="宋体" w:cs="宋体"/>
          <w:b/>
          <w:bCs/>
          <w:sz w:val="24"/>
          <w:highlight w:val="none"/>
        </w:rPr>
        <w:t>分，取所有评审小组成员各项评分的平均值作为供应商各项的最终技术得分）</w:t>
      </w:r>
    </w:p>
    <w:tbl>
      <w:tblPr>
        <w:tblStyle w:val="27"/>
        <w:tblpPr w:leftFromText="180" w:rightFromText="180" w:vertAnchor="text" w:horzAnchor="page" w:tblpX="1362" w:tblpY="504"/>
        <w:tblOverlap w:val="never"/>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
        <w:gridCol w:w="1255"/>
        <w:gridCol w:w="5468"/>
        <w:gridCol w:w="1253"/>
      </w:tblGrid>
      <w:tr w14:paraId="091A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12" w:type="dxa"/>
            <w:tcBorders>
              <w:top w:val="single" w:color="auto" w:sz="4" w:space="0"/>
              <w:left w:val="single" w:color="auto" w:sz="4" w:space="0"/>
              <w:bottom w:val="single" w:color="auto" w:sz="4" w:space="0"/>
              <w:right w:val="single" w:color="auto" w:sz="4" w:space="0"/>
            </w:tcBorders>
            <w:vAlign w:val="center"/>
          </w:tcPr>
          <w:p w14:paraId="6555EEDB">
            <w:pPr>
              <w:shd w:val="clear"/>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类别</w:t>
            </w:r>
          </w:p>
        </w:tc>
        <w:tc>
          <w:tcPr>
            <w:tcW w:w="1255" w:type="dxa"/>
            <w:tcBorders>
              <w:top w:val="single" w:color="auto" w:sz="4" w:space="0"/>
              <w:left w:val="single" w:color="auto" w:sz="4" w:space="0"/>
              <w:bottom w:val="single" w:color="auto" w:sz="4" w:space="0"/>
              <w:right w:val="single" w:color="auto" w:sz="4" w:space="0"/>
            </w:tcBorders>
            <w:vAlign w:val="center"/>
          </w:tcPr>
          <w:p w14:paraId="2CB92F43">
            <w:pPr>
              <w:shd w:val="clear"/>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评分内容</w:t>
            </w:r>
          </w:p>
        </w:tc>
        <w:tc>
          <w:tcPr>
            <w:tcW w:w="5468" w:type="dxa"/>
            <w:tcBorders>
              <w:top w:val="single" w:color="auto" w:sz="4" w:space="0"/>
              <w:left w:val="single" w:color="auto" w:sz="4" w:space="0"/>
              <w:bottom w:val="single" w:color="auto" w:sz="4" w:space="0"/>
              <w:right w:val="single" w:color="auto" w:sz="4" w:space="0"/>
            </w:tcBorders>
            <w:vAlign w:val="center"/>
          </w:tcPr>
          <w:p w14:paraId="5756DFCD">
            <w:pPr>
              <w:shd w:val="clear"/>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评分标准</w:t>
            </w:r>
          </w:p>
        </w:tc>
        <w:tc>
          <w:tcPr>
            <w:tcW w:w="1253" w:type="dxa"/>
            <w:tcBorders>
              <w:top w:val="single" w:color="auto" w:sz="4" w:space="0"/>
              <w:left w:val="single" w:color="auto" w:sz="4" w:space="0"/>
              <w:bottom w:val="single" w:color="auto" w:sz="4" w:space="0"/>
              <w:right w:val="single" w:color="auto" w:sz="4" w:space="0"/>
            </w:tcBorders>
            <w:vAlign w:val="center"/>
          </w:tcPr>
          <w:p w14:paraId="3AD499BC">
            <w:pPr>
              <w:shd w:val="clear"/>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分值范围</w:t>
            </w:r>
          </w:p>
        </w:tc>
      </w:tr>
      <w:tr w14:paraId="1AAA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restart"/>
            <w:tcBorders>
              <w:top w:val="single" w:color="auto" w:sz="4" w:space="0"/>
              <w:left w:val="single" w:color="auto" w:sz="4" w:space="0"/>
              <w:right w:val="single" w:color="auto" w:sz="4" w:space="0"/>
            </w:tcBorders>
            <w:vAlign w:val="center"/>
          </w:tcPr>
          <w:p w14:paraId="59E4403C">
            <w:pPr>
              <w:shd w:val="clea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技术资信分</w:t>
            </w:r>
          </w:p>
          <w:p w14:paraId="24812221">
            <w:pPr>
              <w:shd w:val="clear"/>
              <w:spacing w:line="360" w:lineRule="auto"/>
              <w:jc w:val="center"/>
              <w:rPr>
                <w:rFonts w:hint="eastAsia" w:ascii="宋体" w:hAnsi="宋体" w:cs="宋体"/>
                <w:b/>
                <w:bCs/>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u w:val="single"/>
              </w:rPr>
              <w:t>80</w:t>
            </w:r>
            <w:r>
              <w:rPr>
                <w:rFonts w:hint="eastAsia" w:ascii="宋体" w:hAnsi="宋体" w:cs="宋体"/>
                <w:sz w:val="24"/>
                <w:szCs w:val="24"/>
                <w:highlight w:val="none"/>
              </w:rPr>
              <w:t>分）</w:t>
            </w: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090707C9">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参选人</w:t>
            </w:r>
          </w:p>
          <w:p w14:paraId="6DC25B8B">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业绩</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543EE62C">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sz w:val="24"/>
                <w:szCs w:val="24"/>
                <w:highlight w:val="none"/>
              </w:rPr>
              <w:t>自2021年1月1日</w:t>
            </w:r>
            <w:r>
              <w:rPr>
                <w:rFonts w:hint="eastAsia" w:ascii="Times New Roman" w:hAnsi="Times New Roman" w:cs="宋体"/>
                <w:bCs/>
                <w:color w:val="000000"/>
                <w:sz w:val="24"/>
                <w:szCs w:val="24"/>
                <w:highlight w:val="none"/>
              </w:rPr>
              <w:t>（以合同签订时间为准）</w:t>
            </w:r>
            <w:r>
              <w:rPr>
                <w:rFonts w:hint="eastAsia" w:ascii="Times New Roman" w:hAnsi="Times New Roman" w:cs="宋体"/>
                <w:sz w:val="24"/>
                <w:szCs w:val="24"/>
                <w:highlight w:val="none"/>
              </w:rPr>
              <w:t>以来</w:t>
            </w:r>
            <w:r>
              <w:rPr>
                <w:rFonts w:hint="eastAsia" w:ascii="Times New Roman" w:hAnsi="Times New Roman" w:cs="宋体"/>
                <w:bCs/>
                <w:color w:val="000000"/>
                <w:sz w:val="24"/>
                <w:szCs w:val="24"/>
                <w:highlight w:val="none"/>
              </w:rPr>
              <w:t>，</w:t>
            </w:r>
            <w:r>
              <w:rPr>
                <w:rFonts w:hint="eastAsia" w:ascii="Times New Roman" w:hAnsi="Times New Roman" w:cs="宋体"/>
                <w:sz w:val="24"/>
                <w:szCs w:val="24"/>
                <w:highlight w:val="none"/>
              </w:rPr>
              <w:t>参选人具有体检人数在300人及以上（单项合同）的团体体检业绩，</w:t>
            </w:r>
            <w:r>
              <w:rPr>
                <w:rFonts w:hint="eastAsia" w:ascii="Times New Roman" w:hAnsi="Times New Roman" w:cs="宋体"/>
                <w:kern w:val="0"/>
                <w:sz w:val="24"/>
                <w:szCs w:val="24"/>
                <w:highlight w:val="none"/>
              </w:rPr>
              <w:t>每提供一份有效业绩得3分，满分9分。</w:t>
            </w:r>
          </w:p>
          <w:p w14:paraId="0C10F76F">
            <w:pPr>
              <w:shd w:val="clear"/>
              <w:autoSpaceDE w:val="0"/>
              <w:autoSpaceDN w:val="0"/>
              <w:adjustRightInd w:val="0"/>
              <w:spacing w:line="360" w:lineRule="auto"/>
              <w:jc w:val="left"/>
              <w:rPr>
                <w:rFonts w:ascii="Times New Roman" w:hAnsi="Times New Roman" w:cs="宋体"/>
                <w:bCs/>
                <w:sz w:val="24"/>
                <w:szCs w:val="24"/>
                <w:highlight w:val="none"/>
              </w:rPr>
            </w:pPr>
            <w:r>
              <w:rPr>
                <w:rFonts w:hint="eastAsia" w:ascii="Times New Roman" w:hAnsi="Times New Roman" w:cs="宋体"/>
                <w:b/>
                <w:bCs/>
                <w:kern w:val="0"/>
                <w:sz w:val="24"/>
                <w:szCs w:val="24"/>
                <w:highlight w:val="none"/>
              </w:rPr>
              <w:t>注：参选文件中提供甲乙双方盖章的业绩合同扫描件，若提供的合同无法体现合同签订时间、人数等评审因素，须另附业主单位盖章的证明文件扫描件。</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01F121D0">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0-9分</w:t>
            </w:r>
          </w:p>
        </w:tc>
      </w:tr>
      <w:tr w14:paraId="2025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27E4FC04">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16A4ECA3">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人员配备</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5016F21F">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投入本项目服务人员具有：</w:t>
            </w:r>
          </w:p>
          <w:p w14:paraId="1B535EFD">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1.具有副主任医师及以上职称的达到3人，得基础分</w:t>
            </w:r>
            <w:r>
              <w:rPr>
                <w:rFonts w:ascii="Times New Roman" w:hAnsi="Times New Roman" w:cs="宋体"/>
                <w:kern w:val="0"/>
                <w:sz w:val="24"/>
                <w:szCs w:val="24"/>
                <w:highlight w:val="none"/>
              </w:rPr>
              <w:t>3</w:t>
            </w:r>
            <w:r>
              <w:rPr>
                <w:rFonts w:hint="eastAsia" w:ascii="Times New Roman" w:hAnsi="Times New Roman" w:cs="宋体"/>
                <w:kern w:val="0"/>
                <w:sz w:val="24"/>
                <w:szCs w:val="24"/>
                <w:highlight w:val="none"/>
              </w:rPr>
              <w:t>分；</w:t>
            </w:r>
          </w:p>
          <w:p w14:paraId="686FCD93">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2.在上述基础上，每增加一位主任医师加3分，每增加一位副主任医师加2分，每增加一位主治医师加1分。本项最多加7分。</w:t>
            </w:r>
          </w:p>
          <w:p w14:paraId="242E6D0D">
            <w:pPr>
              <w:shd w:val="clear"/>
              <w:autoSpaceDE w:val="0"/>
              <w:autoSpaceDN w:val="0"/>
              <w:adjustRightInd w:val="0"/>
              <w:spacing w:line="360" w:lineRule="auto"/>
              <w:jc w:val="left"/>
              <w:rPr>
                <w:rFonts w:ascii="Times New Roman" w:hAnsi="Times New Roman" w:cs="宋体"/>
                <w:bCs/>
                <w:sz w:val="24"/>
                <w:szCs w:val="24"/>
                <w:highlight w:val="none"/>
              </w:rPr>
            </w:pPr>
            <w:r>
              <w:rPr>
                <w:rFonts w:hint="eastAsia" w:ascii="Times New Roman" w:hAnsi="Times New Roman" w:cs="宋体"/>
                <w:b/>
                <w:bCs/>
                <w:kern w:val="0"/>
                <w:sz w:val="24"/>
                <w:szCs w:val="24"/>
                <w:highlight w:val="none"/>
              </w:rPr>
              <w:t>注：参选文件中提供上述人员证书扫描件及有效劳动或返聘合同。</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241A4DBD">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0-1</w:t>
            </w:r>
            <w:r>
              <w:rPr>
                <w:rFonts w:ascii="Times New Roman" w:hAnsi="Times New Roman" w:cs="宋体"/>
                <w:bCs/>
                <w:sz w:val="24"/>
                <w:szCs w:val="24"/>
                <w:highlight w:val="none"/>
              </w:rPr>
              <w:t>0</w:t>
            </w:r>
            <w:r>
              <w:rPr>
                <w:rFonts w:hint="eastAsia" w:ascii="Times New Roman" w:hAnsi="Times New Roman" w:cs="宋体"/>
                <w:bCs/>
                <w:sz w:val="24"/>
                <w:szCs w:val="24"/>
                <w:highlight w:val="none"/>
              </w:rPr>
              <w:t>分</w:t>
            </w:r>
          </w:p>
        </w:tc>
      </w:tr>
      <w:tr w14:paraId="2961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468211B5">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06EE16F0">
            <w:pPr>
              <w:shd w:val="clear"/>
              <w:spacing w:line="360" w:lineRule="auto"/>
              <w:jc w:val="center"/>
              <w:rPr>
                <w:rFonts w:ascii="Times New Roman" w:hAnsi="Times New Roman" w:cs="宋体"/>
                <w:bCs/>
                <w:sz w:val="24"/>
                <w:szCs w:val="24"/>
                <w:highlight w:val="none"/>
              </w:rPr>
            </w:pPr>
            <w:r>
              <w:rPr>
                <w:rFonts w:hint="eastAsia" w:ascii="Times New Roman" w:hAnsi="Times New Roman" w:cs="宋体"/>
                <w:sz w:val="24"/>
                <w:szCs w:val="24"/>
                <w:highlight w:val="none"/>
              </w:rPr>
              <w:t>拟投入</w:t>
            </w:r>
            <w:r>
              <w:rPr>
                <w:rFonts w:hint="eastAsia" w:ascii="Times New Roman" w:hAnsi="Times New Roman" w:cs="宋体"/>
                <w:bCs/>
                <w:sz w:val="24"/>
                <w:szCs w:val="24"/>
                <w:highlight w:val="none"/>
              </w:rPr>
              <w:t>医疗设备</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76F2A1EB">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根据设备性能、配置等评分，具体如下：</w:t>
            </w:r>
          </w:p>
          <w:p w14:paraId="553A9F11">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1.每提供1台B超设备得1分，满分4分。</w:t>
            </w:r>
          </w:p>
          <w:p w14:paraId="44F54231">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2.拟投入的CT设备为16排及以上的得2分，为64排及以上得3分，满分3分。</w:t>
            </w:r>
          </w:p>
          <w:p w14:paraId="0FF924AD">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3.拟投入的设备中有核磁设备得3分，拟投入的核磁设备为3.0T及以上的加1分，满分4分。</w:t>
            </w:r>
          </w:p>
          <w:p w14:paraId="6400B047">
            <w:pPr>
              <w:shd w:val="clear"/>
              <w:spacing w:line="360" w:lineRule="auto"/>
              <w:jc w:val="left"/>
              <w:rPr>
                <w:rFonts w:ascii="Times New Roman" w:hAnsi="Times New Roman" w:cs="宋体"/>
                <w:sz w:val="24"/>
                <w:szCs w:val="24"/>
                <w:highlight w:val="none"/>
              </w:rPr>
            </w:pPr>
            <w:r>
              <w:rPr>
                <w:rFonts w:hint="eastAsia" w:ascii="Times New Roman" w:hAnsi="Times New Roman" w:cs="宋体"/>
                <w:kern w:val="0"/>
                <w:sz w:val="24"/>
                <w:szCs w:val="24"/>
                <w:highlight w:val="none"/>
              </w:rPr>
              <w:t>4.上述已提供的</w:t>
            </w:r>
            <w:r>
              <w:rPr>
                <w:rFonts w:hint="eastAsia" w:ascii="Times New Roman" w:hAnsi="Times New Roman" w:cs="宋体"/>
                <w:kern w:val="0"/>
                <w:sz w:val="24"/>
                <w:szCs w:val="24"/>
                <w:highlight w:val="none"/>
                <w:lang w:eastAsia="zh-CN"/>
              </w:rPr>
              <w:t>、</w:t>
            </w:r>
            <w:r>
              <w:rPr>
                <w:rFonts w:hint="eastAsia" w:ascii="Times New Roman" w:hAnsi="Times New Roman" w:cs="宋体"/>
                <w:kern w:val="0"/>
                <w:sz w:val="24"/>
                <w:szCs w:val="24"/>
                <w:highlight w:val="none"/>
                <w:lang w:val="en-US" w:eastAsia="zh-CN"/>
              </w:rPr>
              <w:t>非当年度最新采购的</w:t>
            </w:r>
            <w:r>
              <w:rPr>
                <w:rFonts w:hint="eastAsia" w:ascii="Times New Roman" w:hAnsi="Times New Roman" w:cs="宋体"/>
                <w:kern w:val="0"/>
                <w:sz w:val="24"/>
                <w:szCs w:val="24"/>
                <w:highlight w:val="none"/>
              </w:rPr>
              <w:t>三类设备（</w:t>
            </w:r>
            <w:r>
              <w:rPr>
                <w:rFonts w:ascii="Times New Roman" w:hAnsi="Times New Roman" w:cs="宋体"/>
                <w:kern w:val="0"/>
                <w:sz w:val="24"/>
                <w:szCs w:val="24"/>
                <w:highlight w:val="none"/>
              </w:rPr>
              <w:t>B</w:t>
            </w:r>
            <w:r>
              <w:rPr>
                <w:rFonts w:hint="eastAsia" w:ascii="Times New Roman" w:hAnsi="Times New Roman" w:cs="宋体"/>
                <w:kern w:val="0"/>
                <w:sz w:val="24"/>
                <w:szCs w:val="24"/>
                <w:highlight w:val="none"/>
              </w:rPr>
              <w:t>超、C</w:t>
            </w:r>
            <w:r>
              <w:rPr>
                <w:rFonts w:ascii="Times New Roman" w:hAnsi="Times New Roman" w:cs="宋体"/>
                <w:kern w:val="0"/>
                <w:sz w:val="24"/>
                <w:szCs w:val="24"/>
                <w:highlight w:val="none"/>
              </w:rPr>
              <w:t>T</w:t>
            </w:r>
            <w:r>
              <w:rPr>
                <w:rFonts w:hint="eastAsia" w:ascii="Times New Roman" w:hAnsi="Times New Roman" w:cs="宋体"/>
                <w:kern w:val="0"/>
                <w:sz w:val="24"/>
                <w:szCs w:val="24"/>
                <w:highlight w:val="none"/>
              </w:rPr>
              <w:t>、核磁）有对应的维护保养记录、且设备唯一码一致的，每对应一类，得1分，满分3分。</w:t>
            </w:r>
          </w:p>
          <w:p w14:paraId="09776CD0">
            <w:pPr>
              <w:shd w:val="clear"/>
              <w:spacing w:line="360" w:lineRule="auto"/>
              <w:jc w:val="left"/>
              <w:rPr>
                <w:rFonts w:ascii="Times New Roman" w:hAnsi="Times New Roman" w:cs="宋体"/>
                <w:bCs/>
                <w:sz w:val="24"/>
                <w:szCs w:val="24"/>
                <w:highlight w:val="none"/>
              </w:rPr>
            </w:pPr>
            <w:r>
              <w:rPr>
                <w:rFonts w:hint="eastAsia" w:ascii="Times New Roman" w:hAnsi="Times New Roman" w:cs="宋体"/>
                <w:b/>
                <w:bCs/>
                <w:sz w:val="24"/>
                <w:szCs w:val="24"/>
                <w:highlight w:val="none"/>
              </w:rPr>
              <w:t>注：针对第1-</w:t>
            </w:r>
            <w:r>
              <w:rPr>
                <w:rFonts w:ascii="Times New Roman" w:hAnsi="Times New Roman" w:cs="宋体"/>
                <w:b/>
                <w:bCs/>
                <w:sz w:val="24"/>
                <w:szCs w:val="24"/>
                <w:highlight w:val="none"/>
              </w:rPr>
              <w:t>4</w:t>
            </w:r>
            <w:r>
              <w:rPr>
                <w:rFonts w:hint="eastAsia" w:ascii="Times New Roman" w:hAnsi="Times New Roman" w:cs="宋体"/>
                <w:b/>
                <w:bCs/>
                <w:sz w:val="24"/>
                <w:szCs w:val="24"/>
                <w:highlight w:val="none"/>
              </w:rPr>
              <w:t>项</w:t>
            </w:r>
            <w:r>
              <w:rPr>
                <w:rFonts w:hint="eastAsia" w:ascii="Times New Roman" w:hAnsi="Times New Roman" w:cs="宋体"/>
                <w:b/>
                <w:bCs/>
                <w:kern w:val="0"/>
                <w:sz w:val="24"/>
                <w:szCs w:val="24"/>
                <w:highlight w:val="none"/>
              </w:rPr>
              <w:t>参选文件中</w:t>
            </w:r>
            <w:r>
              <w:rPr>
                <w:rFonts w:hint="eastAsia" w:ascii="Times New Roman" w:hAnsi="Times New Roman" w:cs="宋体"/>
                <w:b/>
                <w:bCs/>
                <w:sz w:val="24"/>
                <w:szCs w:val="24"/>
                <w:highlight w:val="none"/>
              </w:rPr>
              <w:t>提供相关证明材料。合同签订前向采购人提供设备购置及维护保养证明材料原件核查，如有弄虚作假将相关规定处理。</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459612F2">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0-1</w:t>
            </w:r>
            <w:r>
              <w:rPr>
                <w:rFonts w:ascii="Times New Roman" w:hAnsi="Times New Roman" w:cs="宋体"/>
                <w:bCs/>
                <w:sz w:val="24"/>
                <w:szCs w:val="24"/>
                <w:highlight w:val="none"/>
              </w:rPr>
              <w:t>4</w:t>
            </w:r>
            <w:r>
              <w:rPr>
                <w:rFonts w:hint="eastAsia" w:ascii="Times New Roman" w:hAnsi="Times New Roman" w:cs="宋体"/>
                <w:bCs/>
                <w:sz w:val="24"/>
                <w:szCs w:val="24"/>
                <w:highlight w:val="none"/>
              </w:rPr>
              <w:t>分</w:t>
            </w:r>
          </w:p>
        </w:tc>
      </w:tr>
      <w:tr w14:paraId="1429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23677D89">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5447BCE5">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服务方案</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5F268C02">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1.根据参选文件针对本项目提供的组织计划的进行综合评审。须为职工体检出具完整的书面计划和服务承诺。</w:t>
            </w:r>
          </w:p>
          <w:p w14:paraId="64D61B5D">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（1）体检医师人员配备及经验；</w:t>
            </w:r>
          </w:p>
          <w:p w14:paraId="04E4BB8B">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（2）安全管理与保证措施；</w:t>
            </w:r>
          </w:p>
          <w:p w14:paraId="55FB8788">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（3）服务质量管理体系与保证措施；</w:t>
            </w:r>
          </w:p>
          <w:p w14:paraId="2D8B438D">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（4）资源配备计划；</w:t>
            </w:r>
          </w:p>
          <w:p w14:paraId="52AB353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（5）体检进度安排及保证措施。</w:t>
            </w:r>
          </w:p>
          <w:p w14:paraId="0D25534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b/>
                <w:bCs/>
                <w:sz w:val="24"/>
                <w:szCs w:val="24"/>
                <w:highlight w:val="none"/>
              </w:rPr>
              <w:t>以上5点内容，每个内容要点：完全符合项目要求的得2分；符合项目要求并具有一定可行性的得1分；基本符合项目要求</w:t>
            </w:r>
            <w:r>
              <w:rPr>
                <w:rFonts w:hint="eastAsia" w:ascii="Times New Roman" w:hAnsi="Times New Roman" w:cs="宋体"/>
                <w:b/>
                <w:bCs/>
                <w:kern w:val="0"/>
                <w:sz w:val="24"/>
                <w:szCs w:val="24"/>
                <w:highlight w:val="none"/>
              </w:rPr>
              <w:t>但有待完善的得0.5分；否则不得分。本项共计10分。</w:t>
            </w:r>
          </w:p>
          <w:p w14:paraId="6BF88B8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2.根据参选文件针对本项目提供的体检服务方案的进行综合评审：</w:t>
            </w:r>
          </w:p>
          <w:p w14:paraId="390DB7D9">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（1）体检服务内容、服务范围及体检安排；</w:t>
            </w:r>
          </w:p>
          <w:p w14:paraId="5E52D8C5">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（2）服务过程中各项流程连贯情况，服务保障（如免费停车等），现场引导人员，餐饮配备等；</w:t>
            </w:r>
          </w:p>
          <w:p w14:paraId="2B52EEB6">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（3）安全措施，体检过程中对职工的心理疏导、体检项目分析介绍等；</w:t>
            </w:r>
          </w:p>
          <w:p w14:paraId="279C7A3C">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（4）体检结论送达，体检报告的解读，阳性体征回访、解答、跟踪服务；</w:t>
            </w:r>
          </w:p>
          <w:p w14:paraId="390A198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（5）组织健康讲座、健康指导活动等特色服务。</w:t>
            </w:r>
          </w:p>
          <w:p w14:paraId="53821FB1">
            <w:pPr>
              <w:shd w:val="clear"/>
              <w:adjustRightInd w:val="0"/>
              <w:snapToGrid w:val="0"/>
              <w:spacing w:line="360" w:lineRule="auto"/>
              <w:rPr>
                <w:rFonts w:ascii="Times New Roman" w:hAnsi="Times New Roman" w:cs="宋体"/>
                <w:bCs/>
                <w:sz w:val="24"/>
                <w:szCs w:val="24"/>
                <w:highlight w:val="none"/>
              </w:rPr>
            </w:pPr>
            <w:r>
              <w:rPr>
                <w:rFonts w:hint="eastAsia" w:ascii="Times New Roman" w:hAnsi="Times New Roman" w:cs="宋体"/>
                <w:b/>
                <w:bCs/>
                <w:sz w:val="24"/>
                <w:szCs w:val="24"/>
                <w:highlight w:val="none"/>
              </w:rPr>
              <w:t>以上5点内容，每个内容要点：完全符合项目要求的得3分；符合项目要求并具有一定可行性的得2分；基本符合项目要求但有待完善的得1分；否则不得分。本项共计15分。</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4206A65D">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0-25分</w:t>
            </w:r>
          </w:p>
        </w:tc>
      </w:tr>
      <w:tr w14:paraId="6D37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052C0171">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04400407">
            <w:pPr>
              <w:shd w:val="clear"/>
              <w:spacing w:line="360" w:lineRule="auto"/>
              <w:jc w:val="center"/>
              <w:rPr>
                <w:rFonts w:ascii="Times New Roman" w:hAnsi="Times New Roman" w:cs="宋体"/>
                <w:bCs/>
                <w:sz w:val="24"/>
                <w:szCs w:val="24"/>
                <w:highlight w:val="none"/>
              </w:rPr>
            </w:pPr>
            <w:r>
              <w:rPr>
                <w:rFonts w:hint="eastAsia" w:ascii="Times New Roman" w:hAnsi="Times New Roman" w:cs="宋体"/>
                <w:kern w:val="0"/>
                <w:sz w:val="24"/>
                <w:szCs w:val="24"/>
                <w:highlight w:val="none"/>
              </w:rPr>
              <w:t>应急预案</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26E727F5">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对于可能发生的突发情况，提供应急处置预案，根据供应商提供的应急预案流程及措施综合评审：</w:t>
            </w:r>
          </w:p>
          <w:p w14:paraId="0CF4AA50">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（1）应急预案科学合理，针对性强，体检区域具备相关急救设备的得5分；</w:t>
            </w:r>
          </w:p>
          <w:p w14:paraId="21367D68">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（2）应急预案流程较合理，针对性较强的得3分；</w:t>
            </w:r>
          </w:p>
          <w:p w14:paraId="4275B70D">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（3）应急预案待完善的得1分；</w:t>
            </w:r>
          </w:p>
          <w:p w14:paraId="38FC575F">
            <w:pPr>
              <w:shd w:val="clear"/>
              <w:autoSpaceDE w:val="0"/>
              <w:autoSpaceDN w:val="0"/>
              <w:adjustRightInd w:val="0"/>
              <w:spacing w:line="360" w:lineRule="auto"/>
              <w:jc w:val="left"/>
              <w:rPr>
                <w:rFonts w:ascii="Times New Roman" w:hAnsi="Times New Roman" w:cs="宋体"/>
                <w:bCs/>
                <w:sz w:val="24"/>
                <w:szCs w:val="24"/>
                <w:highlight w:val="none"/>
              </w:rPr>
            </w:pPr>
            <w:r>
              <w:rPr>
                <w:rFonts w:hint="eastAsia" w:ascii="Times New Roman" w:hAnsi="Times New Roman" w:cs="宋体"/>
                <w:kern w:val="0"/>
                <w:sz w:val="24"/>
                <w:szCs w:val="24"/>
                <w:highlight w:val="none"/>
              </w:rPr>
              <w:t>（4）否则不得分。</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43B0B5B2">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0-5分</w:t>
            </w:r>
          </w:p>
        </w:tc>
      </w:tr>
      <w:tr w14:paraId="23AB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7E993C31">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57A72E31">
            <w:pPr>
              <w:shd w:val="clear"/>
              <w:spacing w:line="360" w:lineRule="auto"/>
              <w:jc w:val="center"/>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选检备选项目服务方案</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43A3FA86">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根据参选人提供的采购需求附件2中的服务及报价（需说明是独立完成还是合作完成），进行综合评分：</w:t>
            </w:r>
          </w:p>
          <w:p w14:paraId="04CEAFAA">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（1）内容详细完整，报价合理，优于项目需求得8分；</w:t>
            </w:r>
          </w:p>
          <w:p w14:paraId="0835BD1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（2）内容完整，报价基本合理，完全符合项目需求得5分；</w:t>
            </w:r>
          </w:p>
          <w:p w14:paraId="10A3D4E7">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（3）服务内容及报价合理性一般，基本符合项目需求得3分；</w:t>
            </w:r>
          </w:p>
          <w:p w14:paraId="782B6892">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（4）否则不得分。</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3457B442">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w:t>
            </w:r>
            <w:r>
              <w:rPr>
                <w:rFonts w:ascii="Times New Roman" w:hAnsi="Times New Roman" w:cs="宋体"/>
                <w:bCs/>
                <w:sz w:val="24"/>
                <w:szCs w:val="24"/>
                <w:highlight w:val="none"/>
              </w:rPr>
              <w:t>-</w:t>
            </w:r>
            <w:r>
              <w:rPr>
                <w:rFonts w:hint="eastAsia" w:ascii="Times New Roman" w:hAnsi="Times New Roman" w:cs="宋体"/>
                <w:bCs/>
                <w:sz w:val="24"/>
                <w:szCs w:val="24"/>
                <w:highlight w:val="none"/>
              </w:rPr>
              <w:t>8分</w:t>
            </w:r>
          </w:p>
        </w:tc>
      </w:tr>
      <w:tr w14:paraId="45EA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left w:val="single" w:color="auto" w:sz="4" w:space="0"/>
              <w:right w:val="single" w:color="auto" w:sz="4" w:space="0"/>
            </w:tcBorders>
            <w:vAlign w:val="center"/>
          </w:tcPr>
          <w:p w14:paraId="7451C238">
            <w:pPr>
              <w:shd w:val="clear"/>
              <w:spacing w:line="360" w:lineRule="auto"/>
              <w:ind w:firstLine="435"/>
              <w:jc w:val="center"/>
              <w:rPr>
                <w:rFonts w:hint="eastAsia" w:ascii="宋体" w:hAnsi="宋体" w:cs="宋体"/>
                <w:b/>
                <w:bCs/>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shd w:val="clear" w:color="auto" w:fill="auto"/>
            <w:vAlign w:val="center"/>
          </w:tcPr>
          <w:p w14:paraId="7F94DB65">
            <w:pPr>
              <w:shd w:val="clear"/>
              <w:spacing w:line="360" w:lineRule="auto"/>
              <w:jc w:val="center"/>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增值服务方案</w:t>
            </w:r>
          </w:p>
        </w:tc>
        <w:tc>
          <w:tcPr>
            <w:tcW w:w="5468" w:type="dxa"/>
            <w:tcBorders>
              <w:top w:val="single" w:color="auto" w:sz="4" w:space="0"/>
              <w:left w:val="single" w:color="auto" w:sz="4" w:space="0"/>
              <w:bottom w:val="single" w:color="auto" w:sz="4" w:space="0"/>
              <w:right w:val="single" w:color="auto" w:sz="4" w:space="0"/>
            </w:tcBorders>
            <w:shd w:val="clear" w:color="auto" w:fill="auto"/>
            <w:vAlign w:val="center"/>
          </w:tcPr>
          <w:p w14:paraId="0CB1B80B">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根据供应商针对本次体检项目提供的增值服务方案（包括但不限于提供更多项目、员工家属享受员工价等）进行综合评分：</w:t>
            </w:r>
          </w:p>
          <w:p w14:paraId="18EE2556">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（1）提供的增值服务具有较大实际价值的得9分；（2）提供的增值服务对项目整体服务质量提升不大的得6分；</w:t>
            </w:r>
          </w:p>
          <w:p w14:paraId="031B1595">
            <w:pPr>
              <w:shd w:val="clear"/>
              <w:autoSpaceDE w:val="0"/>
              <w:autoSpaceDN w:val="0"/>
              <w:adjustRightInd w:val="0"/>
              <w:spacing w:line="360" w:lineRule="auto"/>
              <w:jc w:val="left"/>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（3）提供的增值服务基本没有实际作用的得3分；（4）否则不得分。</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4117B797">
            <w:pPr>
              <w:shd w:val="clear"/>
              <w:spacing w:line="360" w:lineRule="auto"/>
              <w:jc w:val="center"/>
              <w:rPr>
                <w:rFonts w:ascii="Times New Roman" w:hAnsi="Times New Roman" w:cs="宋体"/>
                <w:bCs/>
                <w:sz w:val="24"/>
                <w:szCs w:val="24"/>
                <w:highlight w:val="none"/>
              </w:rPr>
            </w:pPr>
            <w:r>
              <w:rPr>
                <w:rFonts w:hint="eastAsia" w:ascii="Times New Roman" w:hAnsi="Times New Roman" w:cs="宋体"/>
                <w:bCs/>
                <w:sz w:val="24"/>
                <w:szCs w:val="24"/>
                <w:highlight w:val="none"/>
              </w:rPr>
              <w:t>0-9分</w:t>
            </w:r>
          </w:p>
        </w:tc>
      </w:tr>
    </w:tbl>
    <w:p w14:paraId="628A2EB5">
      <w:pPr>
        <w:pStyle w:val="11"/>
        <w:shd w:val="clear"/>
        <w:spacing w:after="0" w:line="360" w:lineRule="auto"/>
        <w:ind w:left="0" w:leftChars="0" w:firstLine="482" w:firstLineChars="200"/>
        <w:jc w:val="left"/>
        <w:rPr>
          <w:rFonts w:hint="eastAsia" w:ascii="宋体" w:hAnsi="宋体" w:cs="宋体"/>
          <w:b/>
          <w:sz w:val="24"/>
          <w:highlight w:val="none"/>
        </w:rPr>
      </w:pPr>
      <w:r>
        <w:rPr>
          <w:rFonts w:hint="eastAsia" w:ascii="宋体" w:hAnsi="宋体" w:cs="宋体"/>
          <w:b/>
          <w:sz w:val="24"/>
          <w:highlight w:val="none"/>
        </w:rPr>
        <w:t>4.评审纪律</w:t>
      </w:r>
    </w:p>
    <w:p w14:paraId="6A2EBF7A">
      <w:pPr>
        <w:shd w:val="clear"/>
        <w:adjustRightInd w:val="0"/>
        <w:snapToGrid w:val="0"/>
        <w:spacing w:line="360" w:lineRule="auto"/>
        <w:ind w:firstLine="480" w:firstLineChars="200"/>
        <w:rPr>
          <w:rFonts w:hint="eastAsia" w:ascii="宋体" w:hAnsi="宋体" w:cs="宋体"/>
          <w:b/>
          <w:sz w:val="24"/>
          <w:highlight w:val="none"/>
        </w:rPr>
      </w:pPr>
      <w:r>
        <w:rPr>
          <w:rFonts w:hint="eastAsia" w:ascii="宋体" w:hAnsi="宋体" w:cs="宋体"/>
          <w:bCs/>
          <w:sz w:val="24"/>
          <w:highlight w:val="none"/>
        </w:rPr>
        <w:t>4.1</w:t>
      </w:r>
      <w:r>
        <w:rPr>
          <w:rFonts w:hint="eastAsia" w:ascii="宋体" w:hAnsi="宋体" w:cs="宋体"/>
          <w:sz w:val="24"/>
          <w:highlight w:val="none"/>
        </w:rPr>
        <w:t>评审小组在评审过程中发现的问题，应当区别情形及时作出处理或者向采购人提出处理建议，并作书面记录。</w:t>
      </w:r>
    </w:p>
    <w:p w14:paraId="1E74907A">
      <w:pPr>
        <w:shd w:val="clea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bCs/>
          <w:sz w:val="24"/>
          <w:highlight w:val="none"/>
        </w:rPr>
        <w:t>4.2</w:t>
      </w:r>
      <w:r>
        <w:rPr>
          <w:rFonts w:hint="eastAsia" w:ascii="宋体" w:hAnsi="宋体" w:cs="宋体"/>
          <w:sz w:val="24"/>
          <w:highlight w:val="none"/>
        </w:rPr>
        <w:t>在评审过程中，评审小组发现供应商的报价或者某些分项报价明显不合理或者低于成本，有可能影响商品质量或不能诚信履约的，评审小组将以询问的方式告知并要求供应商以书面方式进行必要的说明或补正。对于询问后判定为不符合询比文件的报价，评审小组应提出充足的否定理由，并予以书面记录。最终对供应商的评审结论分为通过和未通过。</w:t>
      </w:r>
    </w:p>
    <w:p w14:paraId="78D75409">
      <w:pPr>
        <w:shd w:val="clea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4.3评审后，评审小组应编写评审报告并签字。评审报告是评审小组根据全体评审小组成员签字的原始评审记录和评审结果编写的报告，评审小组全体成员及监督员均须在评审报告上签字。评审报告应如实记录本次评审的主要过程，全面反映评审过程中的各种不同的意见，以及其他澄清、说明、补正事项。</w:t>
      </w:r>
    </w:p>
    <w:p w14:paraId="77BFD48D">
      <w:pPr>
        <w:shd w:val="clea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bCs/>
          <w:sz w:val="24"/>
          <w:highlight w:val="none"/>
        </w:rPr>
        <w:t>4.4</w:t>
      </w:r>
      <w:r>
        <w:rPr>
          <w:rFonts w:hint="eastAsia" w:ascii="宋体" w:hAnsi="宋体" w:cs="宋体"/>
          <w:sz w:val="24"/>
          <w:highlight w:val="none"/>
        </w:rPr>
        <w:t xml:space="preserve"> 评审小组成员应当在评审报告上签字，对自己的评审意见承担法律责任。对评审报告有异议的，应当在评审报告上签署不同意见，并说明理由，否则视为同意评审报告。</w:t>
      </w:r>
    </w:p>
    <w:p w14:paraId="154A2C06">
      <w:pPr>
        <w:shd w:val="clear"/>
        <w:adjustRightInd w:val="0"/>
        <w:snapToGrid w:val="0"/>
        <w:spacing w:line="360" w:lineRule="auto"/>
        <w:ind w:firstLine="480" w:firstLineChars="200"/>
        <w:rPr>
          <w:rFonts w:hint="eastAsia" w:ascii="宋体" w:hAnsi="宋体" w:cs="宋体"/>
          <w:b/>
          <w:bCs/>
          <w:sz w:val="24"/>
          <w:highlight w:val="none"/>
        </w:rPr>
      </w:pPr>
      <w:r>
        <w:rPr>
          <w:rFonts w:hint="eastAsia" w:ascii="宋体" w:hAnsi="宋体" w:cs="宋体"/>
          <w:sz w:val="24"/>
          <w:highlight w:val="none"/>
        </w:rPr>
        <w:t>4.5</w:t>
      </w:r>
      <w:r>
        <w:rPr>
          <w:rFonts w:hint="eastAsia" w:ascii="宋体" w:hAnsi="宋体" w:cs="宋体"/>
          <w:bCs/>
          <w:sz w:val="24"/>
          <w:highlight w:val="none"/>
        </w:rPr>
        <w:t>评审小组和工作人员应严格遵守规章制度；严格按照本次询比文件进行评审；公正廉洁、不徇私情，不得损害国家利益；保护采购人、供应商的合法权益。</w:t>
      </w:r>
    </w:p>
    <w:p w14:paraId="59878CF6">
      <w:pPr>
        <w:shd w:val="clear"/>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4.6在评审过程中，评审小组及其他工作人员必须对评审情况严格保密，任何人不得将评审情况透露给与供应商有关的单位和个人。如有违反评审纪律的情况发生，将依据相关规定，追究有关当事人的责任。</w:t>
      </w:r>
    </w:p>
    <w:p w14:paraId="4037AEB5">
      <w:pPr>
        <w:shd w:val="clear"/>
        <w:rPr>
          <w:rFonts w:hint="eastAsia" w:ascii="宋体" w:hAnsi="宋体" w:cs="宋体"/>
          <w:b/>
          <w:sz w:val="48"/>
          <w:szCs w:val="48"/>
          <w:highlight w:val="none"/>
        </w:rPr>
      </w:pPr>
      <w:r>
        <w:rPr>
          <w:rFonts w:ascii="宋体" w:hAnsi="宋体" w:cs="宋体"/>
          <w:b/>
          <w:sz w:val="48"/>
          <w:szCs w:val="48"/>
          <w:highlight w:val="none"/>
        </w:rPr>
        <w:br w:type="page"/>
      </w:r>
    </w:p>
    <w:p w14:paraId="33361A77">
      <w:pPr>
        <w:pStyle w:val="2"/>
        <w:shd w:val="clear"/>
        <w:spacing w:before="0" w:after="0" w:line="360" w:lineRule="auto"/>
        <w:rPr>
          <w:rFonts w:hint="eastAsia" w:hAnsi="黑体" w:eastAsia="黑体" w:cs="黑体"/>
          <w:b w:val="0"/>
          <w:bCs/>
          <w:sz w:val="52"/>
          <w:szCs w:val="52"/>
          <w:highlight w:val="none"/>
        </w:rPr>
      </w:pPr>
      <w:bookmarkStart w:id="252" w:name="_Toc2246"/>
      <w:r>
        <w:rPr>
          <w:rFonts w:hint="eastAsia" w:hAnsi="黑体" w:eastAsia="黑体" w:cs="黑体"/>
          <w:b w:val="0"/>
          <w:bCs/>
          <w:sz w:val="52"/>
          <w:szCs w:val="52"/>
          <w:highlight w:val="none"/>
        </w:rPr>
        <w:t>第六章 采购需求</w:t>
      </w:r>
      <w:bookmarkEnd w:id="252"/>
    </w:p>
    <w:p w14:paraId="3DA2105C">
      <w:pPr>
        <w:shd w:val="clear"/>
        <w:spacing w:line="360" w:lineRule="auto"/>
        <w:rPr>
          <w:rFonts w:hint="eastAsia" w:ascii="宋体" w:hAnsi="宋体" w:cs="宋体"/>
          <w:b/>
          <w:sz w:val="24"/>
          <w:highlight w:val="none"/>
        </w:rPr>
      </w:pPr>
    </w:p>
    <w:bookmarkEnd w:id="0"/>
    <w:p w14:paraId="0D5A7E0E">
      <w:pPr>
        <w:shd w:val="clear"/>
        <w:wordWrap w:val="0"/>
        <w:spacing w:line="440" w:lineRule="exact"/>
        <w:jc w:val="left"/>
        <w:rPr>
          <w:rFonts w:hint="eastAsia" w:ascii="宋体" w:hAnsi="宋体"/>
          <w:b/>
          <w:sz w:val="24"/>
          <w:highlight w:val="none"/>
        </w:rPr>
      </w:pPr>
      <w:r>
        <w:rPr>
          <w:rFonts w:hint="eastAsia" w:ascii="宋体" w:hAnsi="宋体"/>
          <w:b/>
          <w:sz w:val="24"/>
          <w:highlight w:val="none"/>
        </w:rPr>
        <w:t>前注：</w:t>
      </w:r>
    </w:p>
    <w:p w14:paraId="63A29063">
      <w:pPr>
        <w:shd w:val="clear"/>
        <w:wordWrap w:val="0"/>
        <w:spacing w:line="440" w:lineRule="exact"/>
        <w:ind w:firstLine="437"/>
        <w:jc w:val="left"/>
        <w:rPr>
          <w:rFonts w:hint="eastAsia" w:ascii="宋体" w:hAnsi="宋体"/>
          <w:sz w:val="24"/>
          <w:highlight w:val="none"/>
        </w:rPr>
      </w:pPr>
      <w:r>
        <w:rPr>
          <w:rFonts w:hint="eastAsia" w:ascii="宋体" w:hAnsi="宋体"/>
          <w:sz w:val="24"/>
          <w:highlight w:val="none"/>
        </w:rPr>
        <w:t>1.</w:t>
      </w:r>
      <w:r>
        <w:rPr>
          <w:rFonts w:ascii="宋体" w:hAnsi="宋体"/>
          <w:sz w:val="24"/>
          <w:highlight w:val="none"/>
        </w:rPr>
        <w:t>本说明中提出的</w:t>
      </w:r>
      <w:r>
        <w:rPr>
          <w:rFonts w:hint="eastAsia" w:ascii="宋体" w:hAnsi="宋体"/>
          <w:sz w:val="24"/>
          <w:highlight w:val="none"/>
        </w:rPr>
        <w:t>服务</w:t>
      </w:r>
      <w:r>
        <w:rPr>
          <w:rFonts w:ascii="宋体" w:hAnsi="宋体"/>
          <w:sz w:val="24"/>
          <w:highlight w:val="none"/>
        </w:rPr>
        <w:t>方案仅为参考，如无明确限制，供应商可以进行优化，提供满足用户实际需要的更优（或者性能实质上不低于的）</w:t>
      </w:r>
      <w:r>
        <w:rPr>
          <w:rFonts w:hint="eastAsia" w:ascii="宋体" w:hAnsi="宋体"/>
          <w:sz w:val="24"/>
          <w:highlight w:val="none"/>
        </w:rPr>
        <w:t>服务</w:t>
      </w:r>
      <w:r>
        <w:rPr>
          <w:rFonts w:ascii="宋体" w:hAnsi="宋体"/>
          <w:sz w:val="24"/>
          <w:highlight w:val="none"/>
        </w:rPr>
        <w:t>方案，且此方案须经</w:t>
      </w:r>
      <w:r>
        <w:rPr>
          <w:rFonts w:hint="eastAsia" w:ascii="宋体" w:hAnsi="宋体"/>
          <w:sz w:val="24"/>
          <w:highlight w:val="none"/>
        </w:rPr>
        <w:t>询比</w:t>
      </w:r>
      <w:r>
        <w:rPr>
          <w:rFonts w:ascii="宋体" w:hAnsi="宋体"/>
          <w:sz w:val="24"/>
          <w:highlight w:val="none"/>
        </w:rPr>
        <w:t>小组评审认可</w:t>
      </w:r>
      <w:r>
        <w:rPr>
          <w:rFonts w:hint="eastAsia" w:ascii="宋体" w:hAnsi="宋体"/>
          <w:sz w:val="24"/>
          <w:highlight w:val="none"/>
        </w:rPr>
        <w:t>。</w:t>
      </w:r>
    </w:p>
    <w:p w14:paraId="6E8A13BB">
      <w:pPr>
        <w:shd w:val="clear"/>
        <w:wordWrap w:val="0"/>
        <w:spacing w:line="440" w:lineRule="exact"/>
        <w:ind w:firstLine="437"/>
        <w:rPr>
          <w:rFonts w:hint="eastAsia" w:ascii="宋体" w:hAnsi="宋体"/>
          <w:sz w:val="24"/>
          <w:highlight w:val="none"/>
        </w:rPr>
      </w:pPr>
    </w:p>
    <w:p w14:paraId="4223F11B">
      <w:pPr>
        <w:shd w:val="clear"/>
        <w:wordWrap w:val="0"/>
        <w:spacing w:line="440" w:lineRule="exact"/>
        <w:ind w:firstLine="437"/>
        <w:jc w:val="left"/>
        <w:rPr>
          <w:rFonts w:hint="eastAsia" w:ascii="宋体" w:hAnsi="宋体"/>
          <w:b/>
          <w:sz w:val="28"/>
          <w:szCs w:val="28"/>
          <w:highlight w:val="none"/>
        </w:rPr>
      </w:pPr>
      <w:r>
        <w:rPr>
          <w:rFonts w:hint="eastAsia" w:ascii="宋体" w:hAnsi="宋体"/>
          <w:b/>
          <w:sz w:val="28"/>
          <w:szCs w:val="28"/>
          <w:highlight w:val="none"/>
        </w:rPr>
        <w:t>一、采购需求前附表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2025"/>
        <w:gridCol w:w="5811"/>
      </w:tblGrid>
      <w:tr w14:paraId="7144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77E58288">
            <w:pPr>
              <w:pStyle w:val="47"/>
              <w:pBdr>
                <w:bottom w:val="none" w:color="auto" w:sz="0" w:space="0"/>
              </w:pBdr>
              <w:shd w:val="clear"/>
              <w:tabs>
                <w:tab w:val="clear" w:pos="4153"/>
                <w:tab w:val="clear" w:pos="8306"/>
              </w:tabs>
              <w:wordWrap w:val="0"/>
              <w:adjustRightInd/>
              <w:spacing w:line="360" w:lineRule="auto"/>
              <w:textAlignment w:val="auto"/>
              <w:rPr>
                <w:rFonts w:hint="eastAsia" w:ascii="宋体" w:hAnsi="宋体"/>
                <w:b/>
                <w:kern w:val="2"/>
                <w:highlight w:val="none"/>
              </w:rPr>
            </w:pPr>
            <w:r>
              <w:rPr>
                <w:rFonts w:hint="eastAsia" w:ascii="宋体" w:hAnsi="宋体"/>
                <w:b/>
                <w:kern w:val="2"/>
                <w:highlight w:val="none"/>
              </w:rPr>
              <w:t>序号</w:t>
            </w:r>
          </w:p>
        </w:tc>
        <w:tc>
          <w:tcPr>
            <w:tcW w:w="2025" w:type="dxa"/>
            <w:vAlign w:val="center"/>
          </w:tcPr>
          <w:p w14:paraId="3ACD808F">
            <w:pPr>
              <w:pStyle w:val="50"/>
              <w:widowControl w:val="0"/>
              <w:shd w:val="clear"/>
              <w:wordWrap w:val="0"/>
              <w:spacing w:before="0" w:beforeAutospacing="0" w:after="0" w:afterAutospacing="0" w:line="360" w:lineRule="auto"/>
              <w:rPr>
                <w:rFonts w:hint="eastAsia"/>
                <w:bCs w:val="0"/>
                <w:sz w:val="24"/>
                <w:highlight w:val="none"/>
              </w:rPr>
            </w:pPr>
            <w:r>
              <w:rPr>
                <w:rFonts w:hint="eastAsia"/>
                <w:bCs w:val="0"/>
                <w:sz w:val="24"/>
                <w:highlight w:val="none"/>
              </w:rPr>
              <w:t>内容</w:t>
            </w:r>
          </w:p>
        </w:tc>
        <w:tc>
          <w:tcPr>
            <w:tcW w:w="5811" w:type="dxa"/>
            <w:vAlign w:val="center"/>
          </w:tcPr>
          <w:p w14:paraId="78C9D02D">
            <w:pPr>
              <w:pStyle w:val="50"/>
              <w:widowControl w:val="0"/>
              <w:shd w:val="clear"/>
              <w:wordWrap w:val="0"/>
              <w:spacing w:before="0" w:beforeAutospacing="0" w:after="0" w:afterAutospacing="0" w:line="360" w:lineRule="auto"/>
              <w:rPr>
                <w:rFonts w:hint="eastAsia"/>
                <w:bCs w:val="0"/>
                <w:sz w:val="24"/>
                <w:highlight w:val="none"/>
              </w:rPr>
            </w:pPr>
            <w:r>
              <w:rPr>
                <w:rFonts w:hint="eastAsia"/>
                <w:bCs w:val="0"/>
                <w:sz w:val="24"/>
                <w:highlight w:val="none"/>
              </w:rPr>
              <w:t>说明与要求</w:t>
            </w:r>
          </w:p>
        </w:tc>
      </w:tr>
      <w:tr w14:paraId="15CA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6546E061">
            <w:pPr>
              <w:pStyle w:val="47"/>
              <w:pBdr>
                <w:bottom w:val="none" w:color="auto" w:sz="0" w:space="0"/>
              </w:pBdr>
              <w:shd w:val="clear"/>
              <w:tabs>
                <w:tab w:val="clear" w:pos="4153"/>
                <w:tab w:val="clear" w:pos="8306"/>
              </w:tabs>
              <w:wordWrap w:val="0"/>
              <w:adjustRightInd/>
              <w:spacing w:line="360" w:lineRule="auto"/>
              <w:textAlignment w:val="auto"/>
              <w:rPr>
                <w:rFonts w:hint="eastAsia" w:ascii="宋体" w:hAnsi="宋体"/>
                <w:bCs/>
                <w:kern w:val="2"/>
                <w:highlight w:val="none"/>
              </w:rPr>
            </w:pPr>
            <w:r>
              <w:rPr>
                <w:rFonts w:hint="eastAsia" w:ascii="宋体" w:hAnsi="宋体"/>
                <w:bCs/>
                <w:kern w:val="2"/>
                <w:highlight w:val="none"/>
              </w:rPr>
              <w:t>1</w:t>
            </w:r>
          </w:p>
        </w:tc>
        <w:tc>
          <w:tcPr>
            <w:tcW w:w="2025" w:type="dxa"/>
            <w:vAlign w:val="center"/>
          </w:tcPr>
          <w:p w14:paraId="6B1AC912">
            <w:pPr>
              <w:pStyle w:val="50"/>
              <w:widowControl w:val="0"/>
              <w:shd w:val="clear"/>
              <w:wordWrap w:val="0"/>
              <w:spacing w:before="0" w:beforeAutospacing="0" w:after="0" w:afterAutospacing="0" w:line="360" w:lineRule="auto"/>
              <w:rPr>
                <w:rFonts w:hint="eastAsia"/>
                <w:b w:val="0"/>
                <w:sz w:val="24"/>
                <w:highlight w:val="none"/>
              </w:rPr>
            </w:pPr>
            <w:r>
              <w:rPr>
                <w:rFonts w:hint="eastAsia"/>
                <w:b w:val="0"/>
                <w:sz w:val="24"/>
                <w:highlight w:val="none"/>
              </w:rPr>
              <w:t>付款方式</w:t>
            </w:r>
          </w:p>
        </w:tc>
        <w:tc>
          <w:tcPr>
            <w:tcW w:w="5811" w:type="dxa"/>
            <w:vAlign w:val="center"/>
          </w:tcPr>
          <w:p w14:paraId="7DA09D97">
            <w:pPr>
              <w:widowControl/>
              <w:shd w:val="clear"/>
              <w:spacing w:line="360" w:lineRule="auto"/>
              <w:jc w:val="left"/>
              <w:rPr>
                <w:rFonts w:hint="eastAsia" w:ascii="宋体" w:hAnsi="宋体"/>
                <w:sz w:val="24"/>
                <w:highlight w:val="none"/>
                <w:u w:val="single"/>
              </w:rPr>
            </w:pPr>
            <w:r>
              <w:rPr>
                <w:rFonts w:hint="eastAsia" w:ascii="宋体" w:hAnsi="宋体" w:cs="宋体"/>
                <w:sz w:val="24"/>
                <w:highlight w:val="none"/>
                <w:lang w:val="en-US" w:eastAsia="zh-CN"/>
              </w:rPr>
              <w:t>每年度</w:t>
            </w:r>
            <w:r>
              <w:rPr>
                <w:rFonts w:hint="eastAsia" w:ascii="宋体" w:hAnsi="宋体" w:cs="宋体"/>
                <w:sz w:val="24"/>
                <w:highlight w:val="none"/>
              </w:rPr>
              <w:t>服务期满后，乙方提供服务结算清单，待甲方确认无误后，乙方应提供等额合规的增值税普通发票及盖章的服务结算单。甲方在收到发票和盖章的服务结算清单后15日内办理付款。</w:t>
            </w:r>
          </w:p>
        </w:tc>
      </w:tr>
      <w:tr w14:paraId="305E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7757B08">
            <w:pPr>
              <w:pStyle w:val="47"/>
              <w:pBdr>
                <w:bottom w:val="none" w:color="auto" w:sz="0" w:space="0"/>
              </w:pBdr>
              <w:shd w:val="clear"/>
              <w:tabs>
                <w:tab w:val="clear" w:pos="4153"/>
                <w:tab w:val="clear" w:pos="8306"/>
              </w:tabs>
              <w:wordWrap w:val="0"/>
              <w:adjustRightInd/>
              <w:spacing w:line="360" w:lineRule="auto"/>
              <w:textAlignment w:val="auto"/>
              <w:rPr>
                <w:rFonts w:hint="eastAsia" w:ascii="宋体" w:hAnsi="宋体"/>
                <w:bCs/>
                <w:kern w:val="2"/>
                <w:highlight w:val="none"/>
              </w:rPr>
            </w:pPr>
            <w:r>
              <w:rPr>
                <w:rFonts w:hint="eastAsia" w:ascii="宋体" w:hAnsi="宋体"/>
                <w:bCs/>
                <w:kern w:val="2"/>
                <w:highlight w:val="none"/>
              </w:rPr>
              <w:t>2</w:t>
            </w:r>
          </w:p>
        </w:tc>
        <w:tc>
          <w:tcPr>
            <w:tcW w:w="2025" w:type="dxa"/>
            <w:vAlign w:val="center"/>
          </w:tcPr>
          <w:p w14:paraId="10FD9F33">
            <w:pPr>
              <w:pStyle w:val="50"/>
              <w:widowControl w:val="0"/>
              <w:shd w:val="clear"/>
              <w:wordWrap w:val="0"/>
              <w:spacing w:before="0" w:beforeAutospacing="0" w:after="0" w:afterAutospacing="0" w:line="360" w:lineRule="auto"/>
              <w:rPr>
                <w:rFonts w:hint="eastAsia"/>
                <w:b w:val="0"/>
                <w:sz w:val="24"/>
                <w:highlight w:val="none"/>
              </w:rPr>
            </w:pPr>
            <w:r>
              <w:rPr>
                <w:rFonts w:hint="eastAsia"/>
                <w:b w:val="0"/>
                <w:sz w:val="24"/>
                <w:highlight w:val="none"/>
              </w:rPr>
              <w:t>服务地点</w:t>
            </w:r>
          </w:p>
        </w:tc>
        <w:tc>
          <w:tcPr>
            <w:tcW w:w="5811" w:type="dxa"/>
            <w:vAlign w:val="center"/>
          </w:tcPr>
          <w:p w14:paraId="6CD13154">
            <w:pPr>
              <w:widowControl/>
              <w:shd w:val="clear"/>
              <w:spacing w:line="360" w:lineRule="auto"/>
              <w:jc w:val="left"/>
              <w:rPr>
                <w:rFonts w:hint="eastAsia" w:ascii="宋体" w:hAnsi="宋体"/>
                <w:sz w:val="24"/>
                <w:highlight w:val="none"/>
              </w:rPr>
            </w:pPr>
            <w:r>
              <w:rPr>
                <w:rFonts w:hint="eastAsia" w:ascii="宋体" w:hAnsi="宋体" w:cs="宋体"/>
                <w:kern w:val="0"/>
                <w:sz w:val="24"/>
                <w:szCs w:val="24"/>
                <w:highlight w:val="none"/>
              </w:rPr>
              <w:t xml:space="preserve">合肥市  </w:t>
            </w:r>
          </w:p>
        </w:tc>
      </w:tr>
      <w:tr w14:paraId="0D7E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2FA8C114">
            <w:pPr>
              <w:pStyle w:val="47"/>
              <w:pBdr>
                <w:bottom w:val="none" w:color="auto" w:sz="0" w:space="0"/>
              </w:pBdr>
              <w:shd w:val="clear"/>
              <w:tabs>
                <w:tab w:val="clear" w:pos="4153"/>
                <w:tab w:val="clear" w:pos="8306"/>
              </w:tabs>
              <w:wordWrap w:val="0"/>
              <w:adjustRightInd/>
              <w:spacing w:line="360" w:lineRule="auto"/>
              <w:textAlignment w:val="auto"/>
              <w:rPr>
                <w:rFonts w:hint="eastAsia" w:ascii="宋体" w:hAnsi="宋体"/>
                <w:bCs/>
                <w:kern w:val="2"/>
                <w:highlight w:val="none"/>
              </w:rPr>
            </w:pPr>
            <w:r>
              <w:rPr>
                <w:rFonts w:hint="eastAsia" w:ascii="宋体" w:hAnsi="宋体"/>
                <w:bCs/>
                <w:kern w:val="2"/>
                <w:highlight w:val="none"/>
              </w:rPr>
              <w:t>3</w:t>
            </w:r>
          </w:p>
        </w:tc>
        <w:tc>
          <w:tcPr>
            <w:tcW w:w="2025" w:type="dxa"/>
            <w:vAlign w:val="center"/>
          </w:tcPr>
          <w:p w14:paraId="7803E70A">
            <w:pPr>
              <w:pStyle w:val="50"/>
              <w:widowControl w:val="0"/>
              <w:shd w:val="clear"/>
              <w:wordWrap w:val="0"/>
              <w:spacing w:before="0" w:beforeAutospacing="0" w:after="0" w:afterAutospacing="0" w:line="360" w:lineRule="auto"/>
              <w:rPr>
                <w:rFonts w:hint="eastAsia"/>
                <w:b w:val="0"/>
                <w:sz w:val="24"/>
                <w:highlight w:val="none"/>
              </w:rPr>
            </w:pPr>
            <w:r>
              <w:rPr>
                <w:rFonts w:hint="eastAsia"/>
                <w:b w:val="0"/>
                <w:sz w:val="24"/>
                <w:highlight w:val="none"/>
              </w:rPr>
              <w:t>服务期限</w:t>
            </w:r>
          </w:p>
        </w:tc>
        <w:tc>
          <w:tcPr>
            <w:tcW w:w="5811" w:type="dxa"/>
            <w:vAlign w:val="center"/>
          </w:tcPr>
          <w:p w14:paraId="48C3757A">
            <w:pPr>
              <w:widowControl/>
              <w:shd w:val="clear"/>
              <w:spacing w:line="360" w:lineRule="auto"/>
              <w:jc w:val="left"/>
              <w:rPr>
                <w:rFonts w:hint="eastAsia" w:ascii="宋体" w:hAnsi="宋体"/>
                <w:sz w:val="24"/>
                <w:highlight w:val="none"/>
              </w:rPr>
            </w:pPr>
            <w:r>
              <w:rPr>
                <w:rFonts w:hint="eastAsia" w:ascii="宋体" w:hAnsi="宋体" w:cs="宋体"/>
                <w:sz w:val="24"/>
                <w:highlight w:val="none"/>
              </w:rPr>
              <w:t>服务期限共3年，合同签订采用“1+1+1模式”，合同一年一签，如上一年度服务反馈良好，甲乙双方同意，且年度预算能保障的前提下，可按成交价续签下一年度合同，续签次数不超过2次，续签的合同金额不超过当年的预算金额。</w:t>
            </w:r>
          </w:p>
        </w:tc>
      </w:tr>
    </w:tbl>
    <w:p w14:paraId="4BDF093E">
      <w:pPr>
        <w:shd w:val="clear"/>
        <w:wordWrap w:val="0"/>
        <w:spacing w:line="440" w:lineRule="exact"/>
        <w:ind w:firstLine="437"/>
        <w:rPr>
          <w:rFonts w:hint="eastAsia" w:ascii="宋体" w:hAnsi="宋体"/>
          <w:b/>
          <w:sz w:val="28"/>
          <w:szCs w:val="28"/>
          <w:highlight w:val="none"/>
        </w:rPr>
      </w:pPr>
      <w:bookmarkStart w:id="253" w:name="_Hlk16461016"/>
      <w:r>
        <w:rPr>
          <w:rFonts w:hint="eastAsia" w:ascii="宋体" w:hAnsi="宋体"/>
          <w:b/>
          <w:sz w:val="28"/>
          <w:szCs w:val="28"/>
          <w:highlight w:val="none"/>
        </w:rPr>
        <w:t>二、项目概况</w:t>
      </w:r>
    </w:p>
    <w:bookmarkEnd w:id="253"/>
    <w:p w14:paraId="46726877">
      <w:pPr>
        <w:pStyle w:val="57"/>
        <w:shd w:val="clear"/>
        <w:spacing w:after="0" w:line="360" w:lineRule="auto"/>
        <w:ind w:firstLine="480" w:firstLineChars="200"/>
        <w:rPr>
          <w:rFonts w:ascii="Times New Roman" w:hAnsi="Times New Roman" w:cs="宋体"/>
          <w:sz w:val="24"/>
          <w:szCs w:val="24"/>
          <w:highlight w:val="none"/>
        </w:rPr>
      </w:pPr>
      <w:r>
        <w:rPr>
          <w:rFonts w:hint="eastAsia" w:ascii="Times New Roman" w:hAnsi="Times New Roman" w:cs="宋体"/>
          <w:sz w:val="24"/>
          <w:szCs w:val="24"/>
          <w:highlight w:val="none"/>
        </w:rPr>
        <w:t>鼎信数智技术集团股份有限公司职工体检人数、费用：</w:t>
      </w:r>
    </w:p>
    <w:p w14:paraId="2E1E6803">
      <w:pPr>
        <w:pStyle w:val="57"/>
        <w:shd w:val="clear"/>
        <w:spacing w:after="0" w:line="360" w:lineRule="auto"/>
        <w:ind w:firstLine="480" w:firstLineChars="200"/>
        <w:rPr>
          <w:rFonts w:ascii="Times New Roman" w:hAnsi="Times New Roman" w:cs="宋体"/>
          <w:sz w:val="24"/>
          <w:szCs w:val="24"/>
          <w:highlight w:val="none"/>
        </w:rPr>
      </w:pPr>
      <w:r>
        <w:rPr>
          <w:rFonts w:hint="eastAsia" w:ascii="Times New Roman" w:hAnsi="Times New Roman" w:cs="宋体"/>
          <w:sz w:val="24"/>
          <w:szCs w:val="24"/>
          <w:highlight w:val="none"/>
        </w:rPr>
        <w:t>1.人数：本次体检人数约385人（各年龄段预估人数详见附件1：分年龄段基础套餐）；</w:t>
      </w:r>
    </w:p>
    <w:p w14:paraId="5F88F934">
      <w:pPr>
        <w:pStyle w:val="57"/>
        <w:shd w:val="clear"/>
        <w:spacing w:after="0" w:line="360" w:lineRule="auto"/>
        <w:ind w:firstLine="480" w:firstLineChars="200"/>
        <w:rPr>
          <w:rFonts w:ascii="Times New Roman" w:hAnsi="Times New Roman" w:cs="宋体"/>
          <w:b/>
          <w:sz w:val="24"/>
          <w:szCs w:val="24"/>
          <w:highlight w:val="none"/>
        </w:rPr>
      </w:pPr>
      <w:r>
        <w:rPr>
          <w:rFonts w:hint="eastAsia" w:ascii="Times New Roman" w:hAnsi="Times New Roman" w:cs="宋体"/>
          <w:sz w:val="24"/>
          <w:szCs w:val="24"/>
          <w:highlight w:val="none"/>
        </w:rPr>
        <w:t>2.费用：最终以实际体检情况结算费用，但2026年总金额不超过</w:t>
      </w:r>
      <w:r>
        <w:rPr>
          <w:rFonts w:ascii="Times New Roman" w:hAnsi="Times New Roman" w:cs="宋体"/>
          <w:sz w:val="24"/>
          <w:szCs w:val="24"/>
          <w:highlight w:val="none"/>
        </w:rPr>
        <w:t>3</w:t>
      </w:r>
      <w:r>
        <w:rPr>
          <w:rFonts w:hint="eastAsia" w:ascii="Times New Roman" w:hAnsi="Times New Roman" w:cs="宋体"/>
          <w:sz w:val="24"/>
          <w:szCs w:val="24"/>
          <w:highlight w:val="none"/>
        </w:rPr>
        <w:t>71500元。后续年度根据当年预算执行。</w:t>
      </w:r>
    </w:p>
    <w:p w14:paraId="24CD2FFC">
      <w:pPr>
        <w:shd w:val="clear"/>
        <w:spacing w:line="360" w:lineRule="auto"/>
        <w:ind w:firstLine="482" w:firstLineChars="200"/>
        <w:rPr>
          <w:rFonts w:ascii="Times New Roman" w:hAnsi="Times New Roman" w:cs="宋体"/>
          <w:b/>
          <w:sz w:val="24"/>
          <w:szCs w:val="24"/>
          <w:highlight w:val="none"/>
        </w:rPr>
      </w:pPr>
      <w:r>
        <w:rPr>
          <w:rFonts w:hint="eastAsia" w:ascii="Times New Roman" w:hAnsi="Times New Roman" w:cs="宋体"/>
          <w:b/>
          <w:sz w:val="24"/>
          <w:szCs w:val="24"/>
          <w:highlight w:val="none"/>
        </w:rPr>
        <w:t>三、服务需求</w:t>
      </w:r>
    </w:p>
    <w:p w14:paraId="6EB6A631">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1.为工作地点在合肥市的职工，集中安排1或</w:t>
      </w:r>
      <w:r>
        <w:rPr>
          <w:rFonts w:ascii="Times New Roman" w:hAnsi="Times New Roman" w:cs="宋体"/>
          <w:bCs/>
          <w:sz w:val="24"/>
          <w:szCs w:val="24"/>
          <w:highlight w:val="none"/>
        </w:rPr>
        <w:t>2</w:t>
      </w:r>
      <w:r>
        <w:rPr>
          <w:rFonts w:hint="eastAsia" w:ascii="Times New Roman" w:hAnsi="Times New Roman" w:cs="宋体"/>
          <w:bCs/>
          <w:sz w:val="24"/>
          <w:szCs w:val="24"/>
          <w:highlight w:val="none"/>
        </w:rPr>
        <w:t>天进行体检，未参加集中体检的可在</w:t>
      </w:r>
      <w:r>
        <w:rPr>
          <w:rFonts w:ascii="Times New Roman" w:hAnsi="Times New Roman" w:cs="宋体"/>
          <w:bCs/>
          <w:sz w:val="24"/>
          <w:szCs w:val="24"/>
          <w:highlight w:val="none"/>
        </w:rPr>
        <w:t>1</w:t>
      </w:r>
      <w:r>
        <w:rPr>
          <w:rFonts w:hint="eastAsia" w:ascii="Times New Roman" w:hAnsi="Times New Roman" w:cs="宋体"/>
          <w:bCs/>
          <w:sz w:val="24"/>
          <w:szCs w:val="24"/>
          <w:highlight w:val="none"/>
        </w:rPr>
        <w:t>2月1</w:t>
      </w:r>
      <w:r>
        <w:rPr>
          <w:rFonts w:ascii="Times New Roman" w:hAnsi="Times New Roman" w:cs="宋体"/>
          <w:bCs/>
          <w:sz w:val="24"/>
          <w:szCs w:val="24"/>
          <w:highlight w:val="none"/>
        </w:rPr>
        <w:t>0</w:t>
      </w:r>
      <w:r>
        <w:rPr>
          <w:rFonts w:hint="eastAsia" w:ascii="Times New Roman" w:hAnsi="Times New Roman" w:cs="宋体"/>
          <w:bCs/>
          <w:sz w:val="24"/>
          <w:szCs w:val="24"/>
          <w:highlight w:val="none"/>
        </w:rPr>
        <w:t>日前自行前往体检，过期不再安排；工作地点在其他地市的职工，在截止日前可在当地体检分院（如有）体检或来合肥体检。采购单位在芜湖、安庆、六安、马鞍山、海口等地设有办事处，参选人在上述地点有分院的，须允许</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上述相关人员在当地进行体检，体检价格按中选价执行。</w:t>
      </w:r>
    </w:p>
    <w:p w14:paraId="7012A939">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2.针对必检的基础项目（详见附件1），参选人不得进行挂靠或外包，且体检场所须为参选人自有场所（合肥市区内）；针对备选项目（详见附件2），参选人可选择与其他单位合作完成（若为合作，需单独说明），是否进行备检项目的检查，由</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根据实际情况确定。</w:t>
      </w:r>
    </w:p>
    <w:p w14:paraId="16F2E0A0">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3.体检周期安排：职工体检周期根据</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要求进行安排，成交供应商需根据</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要求对本项目做出合理安排；</w:t>
      </w:r>
    </w:p>
    <w:p w14:paraId="7EA029C5">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4.负责体检、体检结果分析、治疗建议及健康评估报告，并向</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提供被检人员的体检结果详细资料；</w:t>
      </w:r>
    </w:p>
    <w:p w14:paraId="616F6DFD">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5.检查结果反馈：检查结果（电子版）可网上自行查询，检查结果（纸质版）按照</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要求的时间送至</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指定地点，遇节假日可顺延；</w:t>
      </w:r>
    </w:p>
    <w:p w14:paraId="0ADB73D5">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6.为被体检所有人员提供免费早餐及免费停车；</w:t>
      </w:r>
    </w:p>
    <w:p w14:paraId="1FF75B97">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7.其它注意事项：</w:t>
      </w:r>
    </w:p>
    <w:p w14:paraId="6F8185F2">
      <w:pPr>
        <w:shd w:val="clear"/>
        <w:spacing w:line="360" w:lineRule="auto"/>
        <w:ind w:firstLine="480" w:firstLineChars="200"/>
        <w:rPr>
          <w:rFonts w:ascii="Times New Roman" w:hAnsi="Times New Roman" w:cs="宋体"/>
          <w:bCs/>
          <w:sz w:val="24"/>
          <w:szCs w:val="24"/>
          <w:highlight w:val="none"/>
        </w:rPr>
      </w:pPr>
      <w:r>
        <w:rPr>
          <w:rFonts w:hint="eastAsia" w:ascii="Times New Roman" w:hAnsi="Times New Roman" w:cs="宋体"/>
          <w:bCs/>
          <w:sz w:val="24"/>
          <w:szCs w:val="24"/>
          <w:highlight w:val="none"/>
        </w:rPr>
        <w:t>成交供应商要严格按照国家相关体检规定进行，体检质量达到国家卫生行政部门规定的体检行业标准，保证体检过程和体检结果。在体检过程中造成的医检事故等，由成交供应商负全责并承担相应法律责任，</w:t>
      </w:r>
      <w:r>
        <w:rPr>
          <w:rFonts w:hint="eastAsia" w:ascii="Times New Roman" w:hAnsi="Times New Roman" w:cs="宋体"/>
          <w:bCs/>
          <w:sz w:val="24"/>
          <w:szCs w:val="24"/>
          <w:highlight w:val="none"/>
          <w:lang w:eastAsia="zh-CN"/>
        </w:rPr>
        <w:t>采购人</w:t>
      </w:r>
      <w:r>
        <w:rPr>
          <w:rFonts w:hint="eastAsia" w:ascii="Times New Roman" w:hAnsi="Times New Roman" w:cs="宋体"/>
          <w:bCs/>
          <w:sz w:val="24"/>
          <w:szCs w:val="24"/>
          <w:highlight w:val="none"/>
        </w:rPr>
        <w:t>不负责任。</w:t>
      </w:r>
    </w:p>
    <w:p w14:paraId="56FC89CD">
      <w:pPr>
        <w:shd w:val="clear"/>
        <w:spacing w:line="360" w:lineRule="auto"/>
        <w:ind w:firstLine="482" w:firstLineChars="200"/>
        <w:rPr>
          <w:rFonts w:ascii="Times New Roman" w:hAnsi="Times New Roman" w:cs="宋体"/>
          <w:sz w:val="24"/>
          <w:szCs w:val="24"/>
          <w:highlight w:val="none"/>
        </w:rPr>
      </w:pPr>
      <w:r>
        <w:rPr>
          <w:rFonts w:hint="eastAsia" w:ascii="Times New Roman" w:hAnsi="Times New Roman" w:cs="宋体"/>
          <w:b/>
          <w:sz w:val="24"/>
          <w:szCs w:val="24"/>
          <w:highlight w:val="none"/>
        </w:rPr>
        <w:t>四、报价要求</w:t>
      </w:r>
    </w:p>
    <w:p w14:paraId="313F651A">
      <w:pPr>
        <w:shd w:val="clear"/>
        <w:spacing w:line="360" w:lineRule="auto"/>
        <w:ind w:firstLine="480" w:firstLineChars="200"/>
        <w:rPr>
          <w:rFonts w:ascii="Times New Roman" w:hAnsi="Times New Roman" w:cs="宋体"/>
          <w:sz w:val="24"/>
          <w:szCs w:val="24"/>
          <w:highlight w:val="none"/>
        </w:rPr>
      </w:pPr>
      <w:r>
        <w:rPr>
          <w:rFonts w:ascii="Times New Roman" w:hAnsi="Times New Roman" w:cs="宋体"/>
          <w:sz w:val="24"/>
          <w:szCs w:val="24"/>
          <w:highlight w:val="none"/>
        </w:rPr>
        <w:t>1</w:t>
      </w:r>
      <w:r>
        <w:rPr>
          <w:rFonts w:hint="eastAsia" w:ascii="Times New Roman" w:hAnsi="Times New Roman" w:cs="宋体"/>
          <w:sz w:val="24"/>
          <w:szCs w:val="24"/>
          <w:highlight w:val="none"/>
        </w:rPr>
        <w:t>.分年龄段基础套餐中，“/”</w:t>
      </w:r>
      <w:r>
        <w:rPr>
          <w:rFonts w:ascii="Times New Roman" w:hAnsi="Times New Roman" w:cs="宋体"/>
          <w:sz w:val="24"/>
          <w:szCs w:val="24"/>
          <w:highlight w:val="none"/>
        </w:rPr>
        <w:t>代表不检项，</w:t>
      </w:r>
      <w:r>
        <w:rPr>
          <w:rFonts w:hint="eastAsia" w:ascii="Times New Roman" w:hAnsi="Times New Roman" w:cs="宋体"/>
          <w:sz w:val="24"/>
          <w:szCs w:val="24"/>
          <w:highlight w:val="none"/>
        </w:rPr>
        <w:t>“</w:t>
      </w:r>
      <w:r>
        <w:rPr>
          <w:rFonts w:ascii="Segoe UI Symbol" w:hAnsi="Segoe UI Symbol" w:cs="Segoe UI Symbol"/>
          <w:sz w:val="24"/>
          <w:szCs w:val="24"/>
          <w:highlight w:val="none"/>
        </w:rPr>
        <w:t>★</w:t>
      </w:r>
      <w:r>
        <w:rPr>
          <w:rFonts w:hint="eastAsia" w:ascii="Times New Roman" w:hAnsi="Times New Roman" w:cs="宋体"/>
          <w:sz w:val="24"/>
          <w:szCs w:val="24"/>
          <w:highlight w:val="none"/>
        </w:rPr>
        <w:t>”</w:t>
      </w:r>
      <w:r>
        <w:rPr>
          <w:rFonts w:ascii="Times New Roman" w:hAnsi="Times New Roman" w:cs="宋体"/>
          <w:sz w:val="24"/>
          <w:szCs w:val="24"/>
          <w:highlight w:val="none"/>
        </w:rPr>
        <w:t>代表体检项</w:t>
      </w:r>
      <w:r>
        <w:rPr>
          <w:rFonts w:hint="eastAsia" w:ascii="Times New Roman" w:hAnsi="Times New Roman" w:cs="宋体"/>
          <w:sz w:val="24"/>
          <w:szCs w:val="24"/>
          <w:highlight w:val="none"/>
        </w:rPr>
        <w:t>，</w:t>
      </w:r>
      <w:r>
        <w:rPr>
          <w:rFonts w:ascii="Times New Roman" w:hAnsi="Times New Roman" w:cs="宋体"/>
          <w:sz w:val="24"/>
          <w:szCs w:val="24"/>
          <w:highlight w:val="none"/>
        </w:rPr>
        <w:t>40岁（不含）以下</w:t>
      </w:r>
      <w:r>
        <w:rPr>
          <w:rFonts w:hint="eastAsia" w:ascii="Times New Roman" w:hAnsi="Times New Roman" w:cs="宋体"/>
          <w:sz w:val="24"/>
          <w:szCs w:val="24"/>
          <w:highlight w:val="none"/>
        </w:rPr>
        <w:t>不超过6</w:t>
      </w:r>
      <w:r>
        <w:rPr>
          <w:rFonts w:ascii="Times New Roman" w:hAnsi="Times New Roman" w:cs="宋体"/>
          <w:sz w:val="24"/>
          <w:szCs w:val="24"/>
          <w:highlight w:val="none"/>
        </w:rPr>
        <w:t>00</w:t>
      </w:r>
      <w:r>
        <w:rPr>
          <w:rFonts w:hint="eastAsia" w:ascii="Times New Roman" w:hAnsi="Times New Roman" w:cs="宋体"/>
          <w:sz w:val="24"/>
          <w:szCs w:val="24"/>
          <w:highlight w:val="none"/>
        </w:rPr>
        <w:t>元/人，</w:t>
      </w:r>
      <w:r>
        <w:rPr>
          <w:rFonts w:ascii="Times New Roman" w:hAnsi="Times New Roman" w:cs="宋体"/>
          <w:sz w:val="24"/>
          <w:szCs w:val="24"/>
          <w:highlight w:val="none"/>
        </w:rPr>
        <w:t>40岁（含）以上</w:t>
      </w:r>
      <w:r>
        <w:rPr>
          <w:rFonts w:hint="eastAsia" w:ascii="Times New Roman" w:hAnsi="Times New Roman" w:cs="宋体"/>
          <w:sz w:val="24"/>
          <w:szCs w:val="24"/>
          <w:highlight w:val="none"/>
        </w:rPr>
        <w:t>不超过9</w:t>
      </w:r>
      <w:r>
        <w:rPr>
          <w:rFonts w:ascii="Times New Roman" w:hAnsi="Times New Roman" w:cs="宋体"/>
          <w:sz w:val="24"/>
          <w:szCs w:val="24"/>
          <w:highlight w:val="none"/>
        </w:rPr>
        <w:t>00</w:t>
      </w:r>
      <w:r>
        <w:rPr>
          <w:rFonts w:hint="eastAsia" w:ascii="Times New Roman" w:hAnsi="Times New Roman" w:cs="宋体"/>
          <w:sz w:val="24"/>
          <w:szCs w:val="24"/>
          <w:highlight w:val="none"/>
        </w:rPr>
        <w:t>元/人；备选项目需分类报价（包括但不限于骨质、肾脏、肿瘤、心血管、无痛胃镜、无痛肠镜等），可按每类中的细项报价，也可按类合并报价。</w:t>
      </w:r>
    </w:p>
    <w:p w14:paraId="681651F0">
      <w:pPr>
        <w:shd w:val="clear"/>
        <w:spacing w:line="360" w:lineRule="auto"/>
        <w:ind w:firstLine="480" w:firstLineChars="200"/>
        <w:rPr>
          <w:rFonts w:ascii="Times New Roman" w:hAnsi="Times New Roman" w:cs="宋体"/>
          <w:sz w:val="24"/>
          <w:szCs w:val="24"/>
          <w:highlight w:val="none"/>
        </w:rPr>
      </w:pPr>
      <w:r>
        <w:rPr>
          <w:rFonts w:ascii="Times New Roman" w:hAnsi="Times New Roman" w:cs="宋体"/>
          <w:sz w:val="24"/>
          <w:szCs w:val="24"/>
          <w:highlight w:val="none"/>
        </w:rPr>
        <w:t>2</w:t>
      </w:r>
      <w:r>
        <w:rPr>
          <w:rFonts w:hint="eastAsia" w:ascii="Times New Roman" w:hAnsi="Times New Roman" w:cs="宋体"/>
          <w:sz w:val="24"/>
          <w:szCs w:val="24"/>
          <w:highlight w:val="none"/>
        </w:rPr>
        <w:t>.最终结算金额根据实际体检人数及实际体检项据实结算。</w:t>
      </w:r>
    </w:p>
    <w:p w14:paraId="3B524692">
      <w:pPr>
        <w:shd w:val="clear"/>
        <w:spacing w:line="360" w:lineRule="auto"/>
        <w:ind w:firstLine="480" w:firstLineChars="200"/>
        <w:rPr>
          <w:rFonts w:ascii="Times New Roman" w:hAnsi="Times New Roman" w:cs="宋体"/>
          <w:sz w:val="24"/>
          <w:szCs w:val="24"/>
          <w:highlight w:val="none"/>
        </w:rPr>
      </w:pPr>
      <w:r>
        <w:rPr>
          <w:rFonts w:ascii="Times New Roman" w:hAnsi="Times New Roman" w:cs="宋体"/>
          <w:sz w:val="24"/>
          <w:szCs w:val="24"/>
          <w:highlight w:val="none"/>
        </w:rPr>
        <w:t>3</w:t>
      </w:r>
      <w:r>
        <w:rPr>
          <w:rFonts w:hint="eastAsia" w:ascii="Times New Roman" w:hAnsi="Times New Roman" w:cs="宋体"/>
          <w:sz w:val="24"/>
          <w:szCs w:val="24"/>
          <w:highlight w:val="none"/>
        </w:rPr>
        <w:t>.参选人自行考虑市场风险，所报费用包含采血、耗材、服务、税金等完成本项目的一切费用。</w:t>
      </w:r>
    </w:p>
    <w:p w14:paraId="5E6A1578">
      <w:pPr>
        <w:shd w:val="clear"/>
        <w:spacing w:line="360" w:lineRule="auto"/>
        <w:ind w:firstLine="480" w:firstLineChars="200"/>
        <w:rPr>
          <w:rFonts w:ascii="Times New Roman" w:hAnsi="Times New Roman" w:cs="宋体"/>
          <w:bCs/>
          <w:sz w:val="24"/>
          <w:szCs w:val="24"/>
          <w:highlight w:val="none"/>
        </w:rPr>
      </w:pPr>
      <w:r>
        <w:rPr>
          <w:rFonts w:ascii="Times New Roman" w:hAnsi="Times New Roman" w:cs="宋体"/>
          <w:bCs/>
          <w:sz w:val="24"/>
          <w:szCs w:val="24"/>
          <w:highlight w:val="none"/>
        </w:rPr>
        <w:t>4</w:t>
      </w:r>
      <w:r>
        <w:rPr>
          <w:rFonts w:hint="eastAsia" w:ascii="Times New Roman" w:hAnsi="Times New Roman" w:cs="宋体"/>
          <w:bCs/>
          <w:sz w:val="24"/>
          <w:szCs w:val="24"/>
          <w:highlight w:val="none"/>
        </w:rPr>
        <w:t>.</w:t>
      </w:r>
      <w:r>
        <w:rPr>
          <w:rFonts w:ascii="Times New Roman" w:hAnsi="Times New Roman" w:cs="宋体"/>
          <w:bCs/>
          <w:sz w:val="24"/>
          <w:szCs w:val="24"/>
          <w:highlight w:val="none"/>
        </w:rPr>
        <w:t>CT</w:t>
      </w:r>
      <w:r>
        <w:rPr>
          <w:rFonts w:hint="eastAsia" w:ascii="Times New Roman" w:hAnsi="Times New Roman" w:cs="宋体"/>
          <w:bCs/>
          <w:sz w:val="24"/>
          <w:szCs w:val="24"/>
          <w:highlight w:val="none"/>
        </w:rPr>
        <w:t>、D</w:t>
      </w:r>
      <w:r>
        <w:rPr>
          <w:rFonts w:ascii="Times New Roman" w:hAnsi="Times New Roman" w:cs="宋体"/>
          <w:bCs/>
          <w:sz w:val="24"/>
          <w:szCs w:val="24"/>
          <w:highlight w:val="none"/>
        </w:rPr>
        <w:t>R</w:t>
      </w:r>
      <w:r>
        <w:rPr>
          <w:rFonts w:hint="eastAsia" w:ascii="Times New Roman" w:hAnsi="Times New Roman" w:cs="宋体"/>
          <w:bCs/>
          <w:sz w:val="24"/>
          <w:szCs w:val="24"/>
          <w:highlight w:val="none"/>
        </w:rPr>
        <w:t>、核磁等检查的报价无需包含纸质胶片费用。</w:t>
      </w:r>
    </w:p>
    <w:p w14:paraId="26C692E8">
      <w:pPr>
        <w:shd w:val="clear"/>
        <w:spacing w:line="360" w:lineRule="auto"/>
        <w:ind w:firstLine="480" w:firstLineChars="200"/>
        <w:rPr>
          <w:rFonts w:ascii="Times New Roman" w:hAnsi="Times New Roman" w:cs="宋体"/>
          <w:bCs/>
          <w:sz w:val="24"/>
          <w:szCs w:val="24"/>
          <w:highlight w:val="none"/>
        </w:rPr>
      </w:pPr>
      <w:r>
        <w:rPr>
          <w:rFonts w:ascii="Times New Roman" w:hAnsi="Times New Roman" w:cs="宋体"/>
          <w:bCs/>
          <w:sz w:val="24"/>
          <w:szCs w:val="24"/>
          <w:highlight w:val="none"/>
        </w:rPr>
        <w:t>5</w:t>
      </w:r>
      <w:r>
        <w:rPr>
          <w:rFonts w:hint="eastAsia" w:ascii="Times New Roman" w:hAnsi="Times New Roman" w:cs="宋体"/>
          <w:bCs/>
          <w:sz w:val="24"/>
          <w:szCs w:val="24"/>
          <w:highlight w:val="none"/>
        </w:rPr>
        <w:t>.如果某个检查项目不是在本体检中心做、或体检同一天无法同时检查，需备注说明（包括但不限于无痛胃镜等）。</w:t>
      </w:r>
    </w:p>
    <w:p w14:paraId="2AFEA0DB">
      <w:pPr>
        <w:shd w:val="clear"/>
        <w:spacing w:line="360" w:lineRule="auto"/>
        <w:ind w:firstLine="480" w:firstLineChars="200"/>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6.早餐：免费提供。</w:t>
      </w:r>
    </w:p>
    <w:p w14:paraId="5B5850D1">
      <w:pPr>
        <w:shd w:val="clear"/>
        <w:spacing w:line="360" w:lineRule="auto"/>
        <w:ind w:firstLine="480" w:firstLineChars="200"/>
        <w:rPr>
          <w:rFonts w:ascii="Times New Roman" w:hAnsi="Times New Roman" w:cs="宋体"/>
          <w:kern w:val="0"/>
          <w:sz w:val="24"/>
          <w:szCs w:val="24"/>
          <w:highlight w:val="none"/>
        </w:rPr>
      </w:pPr>
      <w:r>
        <w:rPr>
          <w:rFonts w:hint="eastAsia" w:ascii="Times New Roman" w:hAnsi="Times New Roman" w:cs="宋体"/>
          <w:kern w:val="0"/>
          <w:sz w:val="24"/>
          <w:szCs w:val="24"/>
          <w:highlight w:val="none"/>
        </w:rPr>
        <w:t>7.免费停车：面向所有参检人员（包括员工和家属）均提供免费停车服务，如有多家门店，所有门店均应提供此项服务。</w:t>
      </w:r>
    </w:p>
    <w:p w14:paraId="66D6B366">
      <w:pPr>
        <w:shd w:val="clear"/>
        <w:spacing w:line="360" w:lineRule="auto"/>
        <w:ind w:firstLine="480" w:firstLineChars="200"/>
        <w:rPr>
          <w:rFonts w:hint="eastAsia" w:ascii="Times New Roman" w:hAnsi="Times New Roman" w:cs="宋体"/>
          <w:bCs/>
          <w:sz w:val="24"/>
          <w:szCs w:val="24"/>
          <w:highlight w:val="none"/>
        </w:rPr>
      </w:pPr>
      <w:r>
        <w:rPr>
          <w:rFonts w:hint="eastAsia" w:ascii="Times New Roman" w:hAnsi="Times New Roman" w:cs="宋体"/>
          <w:kern w:val="0"/>
          <w:sz w:val="24"/>
          <w:szCs w:val="24"/>
          <w:highlight w:val="none"/>
        </w:rPr>
        <w:t>8. 针对本次体检项目提供的报价，员工家属体检时，可享受与员工同等的体检项目</w:t>
      </w:r>
      <w:r>
        <w:rPr>
          <w:rFonts w:hint="eastAsia" w:ascii="Times New Roman" w:hAnsi="Times New Roman" w:cs="宋体"/>
          <w:kern w:val="0"/>
          <w:sz w:val="24"/>
          <w:szCs w:val="24"/>
          <w:highlight w:val="none"/>
          <w:lang w:val="en-US" w:eastAsia="zh-CN"/>
        </w:rPr>
        <w:t>价格</w:t>
      </w:r>
      <w:r>
        <w:rPr>
          <w:rFonts w:hint="eastAsia" w:ascii="Times New Roman" w:hAnsi="Times New Roman" w:cs="宋体"/>
          <w:kern w:val="0"/>
          <w:sz w:val="24"/>
          <w:szCs w:val="24"/>
          <w:highlight w:val="none"/>
        </w:rPr>
        <w:t>及服务标准。</w:t>
      </w:r>
    </w:p>
    <w:p w14:paraId="284E6E37">
      <w:pPr>
        <w:shd w:val="clear"/>
        <w:spacing w:line="360" w:lineRule="auto"/>
        <w:rPr>
          <w:rFonts w:ascii="Times New Roman" w:hAnsi="Times New Roman" w:cs="宋体"/>
          <w:b/>
          <w:bCs/>
          <w:sz w:val="24"/>
          <w:szCs w:val="24"/>
          <w:highlight w:val="none"/>
        </w:rPr>
      </w:pPr>
      <w:r>
        <w:rPr>
          <w:rFonts w:hint="eastAsia" w:ascii="Times New Roman" w:hAnsi="Times New Roman" w:cs="宋体"/>
          <w:b/>
          <w:bCs/>
          <w:sz w:val="24"/>
          <w:szCs w:val="24"/>
          <w:highlight w:val="none"/>
        </w:rPr>
        <w:br w:type="page"/>
      </w:r>
      <w:r>
        <w:rPr>
          <w:rFonts w:hint="eastAsia" w:ascii="Times New Roman" w:hAnsi="Times New Roman" w:cs="宋体"/>
          <w:b/>
          <w:bCs/>
          <w:sz w:val="24"/>
          <w:szCs w:val="24"/>
          <w:highlight w:val="none"/>
        </w:rPr>
        <w:t>附件1：分年龄段基础套餐（必检基础项目）</w:t>
      </w:r>
    </w:p>
    <w:tbl>
      <w:tblPr>
        <w:tblStyle w:val="27"/>
        <w:tblW w:w="9379" w:type="dxa"/>
        <w:tblInd w:w="113" w:type="dxa"/>
        <w:tblLayout w:type="autofit"/>
        <w:tblCellMar>
          <w:top w:w="0" w:type="dxa"/>
          <w:left w:w="108" w:type="dxa"/>
          <w:bottom w:w="0" w:type="dxa"/>
          <w:right w:w="108" w:type="dxa"/>
        </w:tblCellMar>
      </w:tblPr>
      <w:tblGrid>
        <w:gridCol w:w="704"/>
        <w:gridCol w:w="916"/>
        <w:gridCol w:w="1636"/>
        <w:gridCol w:w="1020"/>
        <w:gridCol w:w="1020"/>
        <w:gridCol w:w="1021"/>
        <w:gridCol w:w="1020"/>
        <w:gridCol w:w="1021"/>
        <w:gridCol w:w="1021"/>
      </w:tblGrid>
      <w:tr w14:paraId="599EF2F4">
        <w:tblPrEx>
          <w:tblCellMar>
            <w:top w:w="0" w:type="dxa"/>
            <w:left w:w="108" w:type="dxa"/>
            <w:bottom w:w="0" w:type="dxa"/>
            <w:right w:w="108" w:type="dxa"/>
          </w:tblCellMar>
        </w:tblPrEx>
        <w:trPr>
          <w:trHeight w:val="402" w:hRule="atLeast"/>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3E703C7">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分类</w:t>
            </w:r>
          </w:p>
        </w:tc>
        <w:tc>
          <w:tcPr>
            <w:tcW w:w="9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88D44B">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项目类型</w:t>
            </w:r>
          </w:p>
        </w:tc>
        <w:tc>
          <w:tcPr>
            <w:tcW w:w="16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450369">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项目明细</w:t>
            </w:r>
          </w:p>
        </w:tc>
        <w:tc>
          <w:tcPr>
            <w:tcW w:w="3061" w:type="dxa"/>
            <w:gridSpan w:val="3"/>
            <w:tcBorders>
              <w:top w:val="single" w:color="auto" w:sz="4" w:space="0"/>
              <w:left w:val="nil"/>
              <w:bottom w:val="single" w:color="auto" w:sz="4" w:space="0"/>
              <w:right w:val="single" w:color="auto" w:sz="4" w:space="0"/>
            </w:tcBorders>
            <w:shd w:val="clear" w:color="000000" w:fill="C6E0B4"/>
            <w:noWrap/>
            <w:vAlign w:val="center"/>
          </w:tcPr>
          <w:p w14:paraId="4EA09588">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40岁（不含）以下</w:t>
            </w:r>
          </w:p>
        </w:tc>
        <w:tc>
          <w:tcPr>
            <w:tcW w:w="3062" w:type="dxa"/>
            <w:gridSpan w:val="3"/>
            <w:tcBorders>
              <w:top w:val="single" w:color="auto" w:sz="4" w:space="0"/>
              <w:left w:val="nil"/>
              <w:bottom w:val="single" w:color="auto" w:sz="4" w:space="0"/>
              <w:right w:val="single" w:color="auto" w:sz="4" w:space="0"/>
            </w:tcBorders>
            <w:shd w:val="clear" w:color="000000" w:fill="FFE699"/>
            <w:noWrap/>
            <w:vAlign w:val="center"/>
          </w:tcPr>
          <w:p w14:paraId="019559B4">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40岁（含）以上</w:t>
            </w:r>
          </w:p>
        </w:tc>
      </w:tr>
      <w:tr w14:paraId="71407F2A">
        <w:tblPrEx>
          <w:tblCellMar>
            <w:top w:w="0" w:type="dxa"/>
            <w:left w:w="108" w:type="dxa"/>
            <w:bottom w:w="0" w:type="dxa"/>
            <w:right w:w="108" w:type="dxa"/>
          </w:tblCellMar>
        </w:tblPrEx>
        <w:trPr>
          <w:trHeight w:val="402" w:hRule="atLeast"/>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DB6D0F">
            <w:pPr>
              <w:widowControl/>
              <w:shd w:val="clear"/>
              <w:jc w:val="left"/>
              <w:rPr>
                <w:rFonts w:hint="eastAsia" w:ascii="宋体" w:hAnsi="宋体" w:cs="宋体"/>
                <w:b/>
                <w:bCs/>
                <w:color w:val="000000"/>
                <w:kern w:val="0"/>
                <w:sz w:val="20"/>
                <w:highlight w:val="none"/>
              </w:rPr>
            </w:pPr>
          </w:p>
        </w:tc>
        <w:tc>
          <w:tcPr>
            <w:tcW w:w="9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F3A567">
            <w:pPr>
              <w:widowControl/>
              <w:shd w:val="clear"/>
              <w:jc w:val="left"/>
              <w:rPr>
                <w:rFonts w:hint="eastAsia" w:ascii="宋体" w:hAnsi="宋体" w:cs="宋体"/>
                <w:b/>
                <w:bCs/>
                <w:color w:val="000000"/>
                <w:kern w:val="0"/>
                <w:sz w:val="20"/>
                <w:highlight w:val="none"/>
              </w:rPr>
            </w:pPr>
          </w:p>
        </w:tc>
        <w:tc>
          <w:tcPr>
            <w:tcW w:w="16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1D28CD">
            <w:pPr>
              <w:widowControl/>
              <w:shd w:val="clear"/>
              <w:jc w:val="left"/>
              <w:rPr>
                <w:rFonts w:hint="eastAsia" w:ascii="宋体" w:hAnsi="宋体" w:cs="宋体"/>
                <w:b/>
                <w:bCs/>
                <w:color w:val="000000"/>
                <w:kern w:val="0"/>
                <w:sz w:val="20"/>
                <w:highlight w:val="none"/>
              </w:rPr>
            </w:pPr>
          </w:p>
        </w:tc>
        <w:tc>
          <w:tcPr>
            <w:tcW w:w="1020" w:type="dxa"/>
            <w:tcBorders>
              <w:top w:val="nil"/>
              <w:left w:val="nil"/>
              <w:bottom w:val="single" w:color="auto" w:sz="4" w:space="0"/>
              <w:right w:val="single" w:color="auto" w:sz="4" w:space="0"/>
            </w:tcBorders>
            <w:shd w:val="clear" w:color="000000" w:fill="C6E0B4"/>
            <w:noWrap/>
            <w:vAlign w:val="center"/>
          </w:tcPr>
          <w:p w14:paraId="00B305C9">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男</w:t>
            </w:r>
          </w:p>
        </w:tc>
        <w:tc>
          <w:tcPr>
            <w:tcW w:w="1020" w:type="dxa"/>
            <w:tcBorders>
              <w:top w:val="nil"/>
              <w:left w:val="nil"/>
              <w:bottom w:val="single" w:color="auto" w:sz="4" w:space="0"/>
              <w:right w:val="single" w:color="auto" w:sz="4" w:space="0"/>
            </w:tcBorders>
            <w:shd w:val="clear" w:color="000000" w:fill="C6E0B4"/>
            <w:noWrap/>
            <w:vAlign w:val="center"/>
          </w:tcPr>
          <w:p w14:paraId="6EF1A42B">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女未婚</w:t>
            </w:r>
          </w:p>
        </w:tc>
        <w:tc>
          <w:tcPr>
            <w:tcW w:w="1021" w:type="dxa"/>
            <w:tcBorders>
              <w:top w:val="nil"/>
              <w:left w:val="nil"/>
              <w:bottom w:val="single" w:color="auto" w:sz="4" w:space="0"/>
              <w:right w:val="single" w:color="auto" w:sz="4" w:space="0"/>
            </w:tcBorders>
            <w:shd w:val="clear" w:color="000000" w:fill="C6E0B4"/>
            <w:noWrap/>
            <w:vAlign w:val="center"/>
          </w:tcPr>
          <w:p w14:paraId="4733EFA5">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女已婚</w:t>
            </w:r>
          </w:p>
        </w:tc>
        <w:tc>
          <w:tcPr>
            <w:tcW w:w="1020" w:type="dxa"/>
            <w:tcBorders>
              <w:top w:val="nil"/>
              <w:left w:val="nil"/>
              <w:bottom w:val="single" w:color="auto" w:sz="4" w:space="0"/>
              <w:right w:val="single" w:color="auto" w:sz="4" w:space="0"/>
            </w:tcBorders>
            <w:shd w:val="clear" w:color="000000" w:fill="FFE699"/>
            <w:noWrap/>
            <w:vAlign w:val="center"/>
          </w:tcPr>
          <w:p w14:paraId="2E7D7338">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男</w:t>
            </w:r>
          </w:p>
        </w:tc>
        <w:tc>
          <w:tcPr>
            <w:tcW w:w="1021" w:type="dxa"/>
            <w:tcBorders>
              <w:top w:val="nil"/>
              <w:left w:val="nil"/>
              <w:bottom w:val="single" w:color="auto" w:sz="4" w:space="0"/>
              <w:right w:val="single" w:color="auto" w:sz="4" w:space="0"/>
            </w:tcBorders>
            <w:shd w:val="clear" w:color="000000" w:fill="FFE699"/>
            <w:noWrap/>
            <w:vAlign w:val="center"/>
          </w:tcPr>
          <w:p w14:paraId="1DBA02DD">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女未婚</w:t>
            </w:r>
          </w:p>
        </w:tc>
        <w:tc>
          <w:tcPr>
            <w:tcW w:w="1021" w:type="dxa"/>
            <w:tcBorders>
              <w:top w:val="nil"/>
              <w:left w:val="nil"/>
              <w:bottom w:val="single" w:color="auto" w:sz="4" w:space="0"/>
              <w:right w:val="single" w:color="auto" w:sz="4" w:space="0"/>
            </w:tcBorders>
            <w:shd w:val="clear" w:color="000000" w:fill="FFE699"/>
            <w:vAlign w:val="center"/>
          </w:tcPr>
          <w:p w14:paraId="040C91C2">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女已婚</w:t>
            </w:r>
          </w:p>
        </w:tc>
      </w:tr>
      <w:tr w14:paraId="381E9EB7">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bottom w:val="single" w:color="auto" w:sz="4" w:space="0"/>
              <w:right w:val="single" w:color="auto" w:sz="4" w:space="0"/>
            </w:tcBorders>
            <w:shd w:val="clear" w:color="auto" w:fill="auto"/>
            <w:noWrap/>
            <w:vAlign w:val="center"/>
          </w:tcPr>
          <w:p w14:paraId="525B573B">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常规</w:t>
            </w:r>
          </w:p>
        </w:tc>
        <w:tc>
          <w:tcPr>
            <w:tcW w:w="916" w:type="dxa"/>
            <w:tcBorders>
              <w:top w:val="nil"/>
              <w:left w:val="nil"/>
              <w:bottom w:val="single" w:color="auto" w:sz="4" w:space="0"/>
              <w:right w:val="single" w:color="auto" w:sz="4" w:space="0"/>
            </w:tcBorders>
            <w:shd w:val="clear" w:color="auto" w:fill="auto"/>
            <w:vAlign w:val="center"/>
          </w:tcPr>
          <w:p w14:paraId="152E5EB5">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一般检查</w:t>
            </w:r>
          </w:p>
        </w:tc>
        <w:tc>
          <w:tcPr>
            <w:tcW w:w="1636" w:type="dxa"/>
            <w:tcBorders>
              <w:top w:val="nil"/>
              <w:left w:val="nil"/>
              <w:bottom w:val="single" w:color="auto" w:sz="4" w:space="0"/>
              <w:right w:val="single" w:color="auto" w:sz="4" w:space="0"/>
            </w:tcBorders>
            <w:shd w:val="clear" w:color="auto" w:fill="auto"/>
            <w:vAlign w:val="center"/>
          </w:tcPr>
          <w:p w14:paraId="2EF40B4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身高、体重、血压、脉搏</w:t>
            </w:r>
          </w:p>
        </w:tc>
        <w:tc>
          <w:tcPr>
            <w:tcW w:w="1020" w:type="dxa"/>
            <w:tcBorders>
              <w:top w:val="nil"/>
              <w:left w:val="nil"/>
              <w:bottom w:val="single" w:color="auto" w:sz="4" w:space="0"/>
              <w:right w:val="single" w:color="auto" w:sz="4" w:space="0"/>
            </w:tcBorders>
            <w:shd w:val="clear" w:color="000000" w:fill="FFFFFF"/>
            <w:vAlign w:val="center"/>
          </w:tcPr>
          <w:p w14:paraId="6361DEF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CB27AD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61FB29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91444C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9A0011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A56343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5DF45C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9BB9FCF">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7DEE8D0E">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内科</w:t>
            </w:r>
          </w:p>
        </w:tc>
        <w:tc>
          <w:tcPr>
            <w:tcW w:w="1636" w:type="dxa"/>
            <w:tcBorders>
              <w:top w:val="nil"/>
              <w:left w:val="nil"/>
              <w:bottom w:val="single" w:color="auto" w:sz="4" w:space="0"/>
              <w:right w:val="single" w:color="auto" w:sz="4" w:space="0"/>
            </w:tcBorders>
            <w:shd w:val="clear" w:color="auto" w:fill="auto"/>
            <w:vAlign w:val="center"/>
          </w:tcPr>
          <w:p w14:paraId="43A64F8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心、肺、肝、脾、双肾</w:t>
            </w:r>
          </w:p>
        </w:tc>
        <w:tc>
          <w:tcPr>
            <w:tcW w:w="1020" w:type="dxa"/>
            <w:tcBorders>
              <w:top w:val="nil"/>
              <w:left w:val="nil"/>
              <w:bottom w:val="single" w:color="auto" w:sz="4" w:space="0"/>
              <w:right w:val="single" w:color="auto" w:sz="4" w:space="0"/>
            </w:tcBorders>
            <w:shd w:val="clear" w:color="000000" w:fill="FFFFFF"/>
            <w:vAlign w:val="center"/>
          </w:tcPr>
          <w:p w14:paraId="5E45577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53A3CC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639E35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5D2C2D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18A7EB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92BF19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C7C49E0">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7184D807">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10608499">
            <w:pPr>
              <w:widowControl/>
              <w:shd w:val="clear"/>
              <w:jc w:val="left"/>
              <w:rPr>
                <w:rFonts w:hint="eastAsia" w:ascii="宋体" w:hAnsi="宋体" w:cs="宋体"/>
                <w:kern w:val="0"/>
                <w:sz w:val="20"/>
                <w:highlight w:val="none"/>
              </w:rPr>
            </w:pPr>
            <w:r>
              <w:rPr>
                <w:rFonts w:hint="eastAsia"/>
                <w:sz w:val="20"/>
                <w:szCs w:val="20"/>
                <w:highlight w:val="none"/>
              </w:rPr>
              <w:t>外科</w:t>
            </w:r>
          </w:p>
        </w:tc>
        <w:tc>
          <w:tcPr>
            <w:tcW w:w="1636" w:type="dxa"/>
            <w:tcBorders>
              <w:top w:val="nil"/>
              <w:left w:val="nil"/>
              <w:bottom w:val="single" w:color="auto" w:sz="4" w:space="0"/>
              <w:right w:val="single" w:color="auto" w:sz="4" w:space="0"/>
            </w:tcBorders>
            <w:shd w:val="clear" w:color="auto" w:fill="auto"/>
            <w:vAlign w:val="center"/>
          </w:tcPr>
          <w:p w14:paraId="61CBA564">
            <w:pPr>
              <w:widowControl/>
              <w:shd w:val="clear"/>
              <w:jc w:val="left"/>
              <w:rPr>
                <w:rFonts w:hint="eastAsia" w:ascii="宋体" w:hAnsi="宋体" w:cs="宋体"/>
                <w:kern w:val="0"/>
                <w:sz w:val="20"/>
                <w:highlight w:val="none"/>
              </w:rPr>
            </w:pPr>
            <w:r>
              <w:rPr>
                <w:rFonts w:hint="eastAsia"/>
                <w:sz w:val="20"/>
                <w:szCs w:val="20"/>
                <w:highlight w:val="none"/>
              </w:rPr>
              <w:t>皮肤、淋巴节、甲状腺、乳腺、脊柱、四肢</w:t>
            </w:r>
          </w:p>
        </w:tc>
        <w:tc>
          <w:tcPr>
            <w:tcW w:w="1020" w:type="dxa"/>
            <w:tcBorders>
              <w:top w:val="nil"/>
              <w:left w:val="nil"/>
              <w:bottom w:val="single" w:color="auto" w:sz="4" w:space="0"/>
              <w:right w:val="single" w:color="auto" w:sz="4" w:space="0"/>
            </w:tcBorders>
            <w:shd w:val="clear" w:color="000000" w:fill="FFFFFF"/>
            <w:vAlign w:val="center"/>
          </w:tcPr>
          <w:p w14:paraId="5C94D5E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4DFD4D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9F4291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6D96F6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E92F17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647686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7CA974F">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172ADACA">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621824A3">
            <w:pPr>
              <w:widowControl/>
              <w:shd w:val="clear"/>
              <w:jc w:val="left"/>
              <w:rPr>
                <w:rFonts w:hint="eastAsia" w:ascii="宋体" w:hAnsi="宋体" w:cs="宋体"/>
                <w:kern w:val="0"/>
                <w:sz w:val="20"/>
                <w:highlight w:val="none"/>
              </w:rPr>
            </w:pPr>
            <w:r>
              <w:rPr>
                <w:rFonts w:hint="eastAsia"/>
                <w:sz w:val="20"/>
                <w:szCs w:val="20"/>
                <w:highlight w:val="none"/>
              </w:rPr>
              <w:t>口腔科</w:t>
            </w:r>
          </w:p>
        </w:tc>
        <w:tc>
          <w:tcPr>
            <w:tcW w:w="1636" w:type="dxa"/>
            <w:tcBorders>
              <w:top w:val="nil"/>
              <w:left w:val="nil"/>
              <w:bottom w:val="single" w:color="auto" w:sz="4" w:space="0"/>
              <w:right w:val="single" w:color="auto" w:sz="4" w:space="0"/>
            </w:tcBorders>
            <w:shd w:val="clear" w:color="auto" w:fill="auto"/>
            <w:vAlign w:val="center"/>
          </w:tcPr>
          <w:p w14:paraId="53427654">
            <w:pPr>
              <w:widowControl/>
              <w:shd w:val="clear"/>
              <w:jc w:val="left"/>
              <w:rPr>
                <w:rFonts w:hint="eastAsia" w:ascii="宋体" w:hAnsi="宋体" w:cs="宋体"/>
                <w:kern w:val="0"/>
                <w:sz w:val="20"/>
                <w:highlight w:val="none"/>
              </w:rPr>
            </w:pPr>
            <w:r>
              <w:rPr>
                <w:rFonts w:hint="eastAsia"/>
                <w:sz w:val="20"/>
                <w:szCs w:val="20"/>
                <w:highlight w:val="none"/>
              </w:rPr>
              <w:t>口腔检查</w:t>
            </w:r>
          </w:p>
        </w:tc>
        <w:tc>
          <w:tcPr>
            <w:tcW w:w="1020" w:type="dxa"/>
            <w:tcBorders>
              <w:top w:val="nil"/>
              <w:left w:val="nil"/>
              <w:bottom w:val="single" w:color="auto" w:sz="4" w:space="0"/>
              <w:right w:val="single" w:color="auto" w:sz="4" w:space="0"/>
            </w:tcBorders>
            <w:shd w:val="clear" w:color="000000" w:fill="FFFFFF"/>
            <w:vAlign w:val="center"/>
          </w:tcPr>
          <w:p w14:paraId="37C24AA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3B7F11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2A7FCA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195817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F93AAE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F1084F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75A5D01">
        <w:tblPrEx>
          <w:tblCellMar>
            <w:top w:w="0" w:type="dxa"/>
            <w:left w:w="108" w:type="dxa"/>
            <w:bottom w:w="0" w:type="dxa"/>
            <w:right w:w="108" w:type="dxa"/>
          </w:tblCellMar>
        </w:tblPrEx>
        <w:trPr>
          <w:trHeight w:val="735"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21B6A6C">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10CE77F8">
            <w:pPr>
              <w:widowControl/>
              <w:shd w:val="clear"/>
              <w:jc w:val="left"/>
              <w:rPr>
                <w:rFonts w:hint="eastAsia" w:ascii="宋体" w:hAnsi="宋体" w:cs="宋体"/>
                <w:kern w:val="0"/>
                <w:sz w:val="20"/>
                <w:highlight w:val="none"/>
              </w:rPr>
            </w:pPr>
            <w:r>
              <w:rPr>
                <w:rFonts w:hint="eastAsia"/>
                <w:sz w:val="20"/>
                <w:szCs w:val="20"/>
                <w:highlight w:val="none"/>
              </w:rPr>
              <w:t>眼科</w:t>
            </w:r>
          </w:p>
        </w:tc>
        <w:tc>
          <w:tcPr>
            <w:tcW w:w="1636" w:type="dxa"/>
            <w:tcBorders>
              <w:top w:val="nil"/>
              <w:left w:val="nil"/>
              <w:bottom w:val="single" w:color="auto" w:sz="4" w:space="0"/>
              <w:right w:val="single" w:color="auto" w:sz="4" w:space="0"/>
            </w:tcBorders>
            <w:shd w:val="clear" w:color="auto" w:fill="auto"/>
            <w:vAlign w:val="center"/>
          </w:tcPr>
          <w:p w14:paraId="5BDD2A8D">
            <w:pPr>
              <w:widowControl/>
              <w:shd w:val="clear"/>
              <w:jc w:val="left"/>
              <w:rPr>
                <w:rFonts w:hint="eastAsia" w:ascii="宋体" w:hAnsi="宋体" w:cs="宋体"/>
                <w:kern w:val="0"/>
                <w:sz w:val="20"/>
                <w:highlight w:val="none"/>
              </w:rPr>
            </w:pPr>
            <w:r>
              <w:rPr>
                <w:rFonts w:hint="eastAsia"/>
                <w:sz w:val="20"/>
                <w:szCs w:val="20"/>
                <w:highlight w:val="none"/>
              </w:rPr>
              <w:t>普通视力检查、色觉、外眼、裂隙灯</w:t>
            </w:r>
          </w:p>
        </w:tc>
        <w:tc>
          <w:tcPr>
            <w:tcW w:w="1020" w:type="dxa"/>
            <w:tcBorders>
              <w:top w:val="nil"/>
              <w:left w:val="nil"/>
              <w:bottom w:val="single" w:color="auto" w:sz="4" w:space="0"/>
              <w:right w:val="single" w:color="auto" w:sz="4" w:space="0"/>
            </w:tcBorders>
            <w:shd w:val="clear" w:color="000000" w:fill="FFFFFF"/>
            <w:vAlign w:val="center"/>
          </w:tcPr>
          <w:p w14:paraId="4EB64BA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281E74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C91F71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6C2047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C31A5B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7AF339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064BF59">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bottom w:val="single" w:color="auto" w:sz="4" w:space="0"/>
              <w:right w:val="single" w:color="auto" w:sz="4" w:space="0"/>
            </w:tcBorders>
            <w:shd w:val="clear" w:color="auto" w:fill="auto"/>
            <w:noWrap/>
            <w:vAlign w:val="center"/>
          </w:tcPr>
          <w:p w14:paraId="50AEB798">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检验</w:t>
            </w:r>
          </w:p>
        </w:tc>
        <w:tc>
          <w:tcPr>
            <w:tcW w:w="916" w:type="dxa"/>
            <w:tcBorders>
              <w:top w:val="nil"/>
              <w:left w:val="nil"/>
              <w:bottom w:val="single" w:color="auto" w:sz="4" w:space="0"/>
              <w:right w:val="single" w:color="auto" w:sz="4" w:space="0"/>
            </w:tcBorders>
            <w:shd w:val="clear" w:color="auto" w:fill="auto"/>
            <w:vAlign w:val="center"/>
          </w:tcPr>
          <w:p w14:paraId="59C61FF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血常规</w:t>
            </w:r>
          </w:p>
        </w:tc>
        <w:tc>
          <w:tcPr>
            <w:tcW w:w="1636" w:type="dxa"/>
            <w:tcBorders>
              <w:top w:val="nil"/>
              <w:left w:val="nil"/>
              <w:bottom w:val="single" w:color="auto" w:sz="4" w:space="0"/>
              <w:right w:val="single" w:color="auto" w:sz="4" w:space="0"/>
            </w:tcBorders>
            <w:shd w:val="clear" w:color="auto" w:fill="auto"/>
            <w:vAlign w:val="center"/>
          </w:tcPr>
          <w:p w14:paraId="20C4B666">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血常规</w:t>
            </w:r>
          </w:p>
        </w:tc>
        <w:tc>
          <w:tcPr>
            <w:tcW w:w="1020" w:type="dxa"/>
            <w:tcBorders>
              <w:top w:val="nil"/>
              <w:left w:val="nil"/>
              <w:bottom w:val="single" w:color="auto" w:sz="4" w:space="0"/>
              <w:right w:val="single" w:color="auto" w:sz="4" w:space="0"/>
            </w:tcBorders>
            <w:shd w:val="clear" w:color="000000" w:fill="FFFFFF"/>
            <w:vAlign w:val="center"/>
          </w:tcPr>
          <w:p w14:paraId="359629F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CD4CA6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A66FF2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C568A0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EF9FDB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7883BA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5F05D5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40D78BA">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13DD1E50">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尿常规</w:t>
            </w:r>
          </w:p>
        </w:tc>
        <w:tc>
          <w:tcPr>
            <w:tcW w:w="1636" w:type="dxa"/>
            <w:tcBorders>
              <w:top w:val="nil"/>
              <w:left w:val="nil"/>
              <w:bottom w:val="single" w:color="auto" w:sz="4" w:space="0"/>
              <w:right w:val="single" w:color="auto" w:sz="4" w:space="0"/>
            </w:tcBorders>
            <w:shd w:val="clear" w:color="auto" w:fill="auto"/>
            <w:vAlign w:val="center"/>
          </w:tcPr>
          <w:p w14:paraId="24E09305">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尿常规</w:t>
            </w:r>
          </w:p>
        </w:tc>
        <w:tc>
          <w:tcPr>
            <w:tcW w:w="1020" w:type="dxa"/>
            <w:tcBorders>
              <w:top w:val="nil"/>
              <w:left w:val="nil"/>
              <w:bottom w:val="single" w:color="auto" w:sz="4" w:space="0"/>
              <w:right w:val="single" w:color="auto" w:sz="4" w:space="0"/>
            </w:tcBorders>
            <w:shd w:val="clear" w:color="000000" w:fill="FFFFFF"/>
            <w:vAlign w:val="center"/>
          </w:tcPr>
          <w:p w14:paraId="5674E3E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D57305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4E742C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6F9310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0DA622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4F494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05EF42E">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3139BC2E">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0EF507EE">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血糖</w:t>
            </w:r>
          </w:p>
        </w:tc>
        <w:tc>
          <w:tcPr>
            <w:tcW w:w="1636" w:type="dxa"/>
            <w:tcBorders>
              <w:top w:val="nil"/>
              <w:left w:val="nil"/>
              <w:bottom w:val="single" w:color="auto" w:sz="4" w:space="0"/>
              <w:right w:val="single" w:color="auto" w:sz="4" w:space="0"/>
            </w:tcBorders>
            <w:shd w:val="clear" w:color="auto" w:fill="auto"/>
            <w:vAlign w:val="center"/>
          </w:tcPr>
          <w:p w14:paraId="693DF96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空腹血糖</w:t>
            </w:r>
          </w:p>
        </w:tc>
        <w:tc>
          <w:tcPr>
            <w:tcW w:w="1020" w:type="dxa"/>
            <w:tcBorders>
              <w:top w:val="nil"/>
              <w:left w:val="nil"/>
              <w:bottom w:val="single" w:color="auto" w:sz="4" w:space="0"/>
              <w:right w:val="single" w:color="auto" w:sz="4" w:space="0"/>
            </w:tcBorders>
            <w:shd w:val="clear" w:color="000000" w:fill="FFFFFF"/>
            <w:vAlign w:val="center"/>
          </w:tcPr>
          <w:p w14:paraId="0996746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BFCA14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5C334E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CD11FD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DBE5A9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AA6E9A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654AA8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5CA3EE2">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ADB4A74">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59C4310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糖化血红蛋白（HbA1C）测定</w:t>
            </w:r>
          </w:p>
        </w:tc>
        <w:tc>
          <w:tcPr>
            <w:tcW w:w="1020" w:type="dxa"/>
            <w:tcBorders>
              <w:top w:val="nil"/>
              <w:left w:val="nil"/>
              <w:bottom w:val="single" w:color="auto" w:sz="4" w:space="0"/>
              <w:right w:val="single" w:color="auto" w:sz="4" w:space="0"/>
            </w:tcBorders>
            <w:shd w:val="clear" w:color="000000" w:fill="FFFFFF"/>
            <w:vAlign w:val="center"/>
          </w:tcPr>
          <w:p w14:paraId="5699170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A14762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E067D0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9F6755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F006C9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E538CF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20057D6">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91F47DF">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20152AC1">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肝功能</w:t>
            </w:r>
          </w:p>
        </w:tc>
        <w:tc>
          <w:tcPr>
            <w:tcW w:w="1636" w:type="dxa"/>
            <w:tcBorders>
              <w:top w:val="nil"/>
              <w:left w:val="nil"/>
              <w:bottom w:val="single" w:color="auto" w:sz="4" w:space="0"/>
              <w:right w:val="single" w:color="auto" w:sz="4" w:space="0"/>
            </w:tcBorders>
            <w:shd w:val="clear" w:color="auto" w:fill="auto"/>
            <w:vAlign w:val="center"/>
          </w:tcPr>
          <w:p w14:paraId="6715E170">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谷丙转氨酶（ALT）</w:t>
            </w:r>
          </w:p>
        </w:tc>
        <w:tc>
          <w:tcPr>
            <w:tcW w:w="1020" w:type="dxa"/>
            <w:tcBorders>
              <w:top w:val="nil"/>
              <w:left w:val="nil"/>
              <w:bottom w:val="single" w:color="auto" w:sz="4" w:space="0"/>
              <w:right w:val="single" w:color="auto" w:sz="4" w:space="0"/>
            </w:tcBorders>
            <w:shd w:val="clear" w:color="000000" w:fill="FFFFFF"/>
            <w:vAlign w:val="center"/>
          </w:tcPr>
          <w:p w14:paraId="4D766FC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3AB53A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EB4FB2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0138D3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91E2C0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58D1F8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D6A181F">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23690FF">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26561D3">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666B7A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谷草转氨酶（AST）</w:t>
            </w:r>
          </w:p>
        </w:tc>
        <w:tc>
          <w:tcPr>
            <w:tcW w:w="1020" w:type="dxa"/>
            <w:tcBorders>
              <w:top w:val="nil"/>
              <w:left w:val="nil"/>
              <w:bottom w:val="single" w:color="auto" w:sz="4" w:space="0"/>
              <w:right w:val="single" w:color="auto" w:sz="4" w:space="0"/>
            </w:tcBorders>
            <w:shd w:val="clear" w:color="000000" w:fill="FFFFFF"/>
            <w:vAlign w:val="center"/>
          </w:tcPr>
          <w:p w14:paraId="6DA0D0B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D7311A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2784D1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C32520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180EAB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9B9868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49BBC75">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7A2C3081">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0C4DBD80">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D6B9C10">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总胆红素（TBIL)</w:t>
            </w:r>
          </w:p>
        </w:tc>
        <w:tc>
          <w:tcPr>
            <w:tcW w:w="1020" w:type="dxa"/>
            <w:tcBorders>
              <w:top w:val="nil"/>
              <w:left w:val="nil"/>
              <w:bottom w:val="single" w:color="auto" w:sz="4" w:space="0"/>
              <w:right w:val="single" w:color="auto" w:sz="4" w:space="0"/>
            </w:tcBorders>
            <w:shd w:val="clear" w:color="000000" w:fill="FFFFFF"/>
            <w:vAlign w:val="center"/>
          </w:tcPr>
          <w:p w14:paraId="444ECD0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E1B8C3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1DFB0B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D8B2AE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EFACD1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69BDDD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0C82CC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7599A580">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226F06E7">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86898D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直接胆红素（DBIL）</w:t>
            </w:r>
          </w:p>
        </w:tc>
        <w:tc>
          <w:tcPr>
            <w:tcW w:w="1020" w:type="dxa"/>
            <w:tcBorders>
              <w:top w:val="nil"/>
              <w:left w:val="nil"/>
              <w:bottom w:val="single" w:color="auto" w:sz="4" w:space="0"/>
              <w:right w:val="single" w:color="auto" w:sz="4" w:space="0"/>
            </w:tcBorders>
            <w:shd w:val="clear" w:color="000000" w:fill="FFFFFF"/>
            <w:vAlign w:val="center"/>
          </w:tcPr>
          <w:p w14:paraId="7FBD6B6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0CDC70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158259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DA6DC7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565579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BDE0DE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896032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A6AFB02">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52C22FD">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94724A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间接胆红素（IBIL）</w:t>
            </w:r>
          </w:p>
        </w:tc>
        <w:tc>
          <w:tcPr>
            <w:tcW w:w="1020" w:type="dxa"/>
            <w:tcBorders>
              <w:top w:val="nil"/>
              <w:left w:val="nil"/>
              <w:bottom w:val="single" w:color="auto" w:sz="4" w:space="0"/>
              <w:right w:val="single" w:color="auto" w:sz="4" w:space="0"/>
            </w:tcBorders>
            <w:shd w:val="clear" w:color="000000" w:fill="FFFFFF"/>
            <w:vAlign w:val="center"/>
          </w:tcPr>
          <w:p w14:paraId="4955948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32FB69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87BA30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A293E6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B4B8B2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C25FE3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F4E99A1">
        <w:tblPrEx>
          <w:tblCellMar>
            <w:top w:w="0" w:type="dxa"/>
            <w:left w:w="108" w:type="dxa"/>
            <w:bottom w:w="0" w:type="dxa"/>
            <w:right w:w="108" w:type="dxa"/>
          </w:tblCellMar>
        </w:tblPrEx>
        <w:trPr>
          <w:trHeight w:val="762"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E03EF72">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805C10E">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FCC0B5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总蛋白（TP）</w:t>
            </w:r>
          </w:p>
        </w:tc>
        <w:tc>
          <w:tcPr>
            <w:tcW w:w="1020" w:type="dxa"/>
            <w:tcBorders>
              <w:top w:val="nil"/>
              <w:left w:val="nil"/>
              <w:bottom w:val="single" w:color="auto" w:sz="4" w:space="0"/>
              <w:right w:val="single" w:color="auto" w:sz="4" w:space="0"/>
            </w:tcBorders>
            <w:shd w:val="clear" w:color="000000" w:fill="FFFFFF"/>
            <w:vAlign w:val="center"/>
          </w:tcPr>
          <w:p w14:paraId="01DC70A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0DACBB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4C576B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668D99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F6F5D2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E5573F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72732A73">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56899AA">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78DC0956">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C5F2EBD">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白蛋白(ALB)</w:t>
            </w:r>
          </w:p>
        </w:tc>
        <w:tc>
          <w:tcPr>
            <w:tcW w:w="1020" w:type="dxa"/>
            <w:tcBorders>
              <w:top w:val="nil"/>
              <w:left w:val="nil"/>
              <w:bottom w:val="single" w:color="auto" w:sz="4" w:space="0"/>
              <w:right w:val="single" w:color="auto" w:sz="4" w:space="0"/>
            </w:tcBorders>
            <w:shd w:val="clear" w:color="000000" w:fill="FFFFFF"/>
            <w:vAlign w:val="center"/>
          </w:tcPr>
          <w:p w14:paraId="5A90E44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393171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CE8D0C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A9D2CF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AD2EA0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869EB4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771A2DE1">
        <w:tblPrEx>
          <w:tblCellMar>
            <w:top w:w="0" w:type="dxa"/>
            <w:left w:w="108" w:type="dxa"/>
            <w:bottom w:w="0" w:type="dxa"/>
            <w:right w:w="108" w:type="dxa"/>
          </w:tblCellMar>
        </w:tblPrEx>
        <w:trPr>
          <w:trHeight w:val="735"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730780F">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297AC213">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5741895">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球蛋白(GLB)</w:t>
            </w:r>
          </w:p>
        </w:tc>
        <w:tc>
          <w:tcPr>
            <w:tcW w:w="1020" w:type="dxa"/>
            <w:tcBorders>
              <w:top w:val="nil"/>
              <w:left w:val="nil"/>
              <w:bottom w:val="single" w:color="auto" w:sz="4" w:space="0"/>
              <w:right w:val="single" w:color="auto" w:sz="4" w:space="0"/>
            </w:tcBorders>
            <w:shd w:val="clear" w:color="auto" w:fill="auto"/>
            <w:vAlign w:val="center"/>
          </w:tcPr>
          <w:p w14:paraId="31E0097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auto" w:fill="auto"/>
            <w:vAlign w:val="center"/>
          </w:tcPr>
          <w:p w14:paraId="7AD8AF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auto" w:fill="auto"/>
            <w:vAlign w:val="center"/>
          </w:tcPr>
          <w:p w14:paraId="65D044C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1EAF9A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E777AF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8B4472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2906BF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25F0FF7">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3F4610E">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13C264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白蛋白/球蛋白比值（A/G）</w:t>
            </w:r>
          </w:p>
        </w:tc>
        <w:tc>
          <w:tcPr>
            <w:tcW w:w="1020" w:type="dxa"/>
            <w:tcBorders>
              <w:top w:val="nil"/>
              <w:left w:val="nil"/>
              <w:bottom w:val="single" w:color="auto" w:sz="4" w:space="0"/>
              <w:right w:val="single" w:color="auto" w:sz="4" w:space="0"/>
            </w:tcBorders>
            <w:shd w:val="clear" w:color="auto" w:fill="auto"/>
            <w:vAlign w:val="center"/>
          </w:tcPr>
          <w:p w14:paraId="5B94997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auto" w:fill="auto"/>
            <w:vAlign w:val="center"/>
          </w:tcPr>
          <w:p w14:paraId="6ECFCB0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auto" w:fill="auto"/>
            <w:vAlign w:val="center"/>
          </w:tcPr>
          <w:p w14:paraId="34ADE91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ED343A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9D7885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C96DC5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615F0BD">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798AEBEC">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189ACFA">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79BDE77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γ-谷氨酰转肽酶（γ-GT）</w:t>
            </w:r>
          </w:p>
        </w:tc>
        <w:tc>
          <w:tcPr>
            <w:tcW w:w="1020" w:type="dxa"/>
            <w:tcBorders>
              <w:top w:val="nil"/>
              <w:left w:val="nil"/>
              <w:bottom w:val="single" w:color="auto" w:sz="4" w:space="0"/>
              <w:right w:val="single" w:color="auto" w:sz="4" w:space="0"/>
            </w:tcBorders>
            <w:shd w:val="clear" w:color="auto" w:fill="auto"/>
            <w:vAlign w:val="center"/>
          </w:tcPr>
          <w:p w14:paraId="056652C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auto" w:fill="auto"/>
            <w:vAlign w:val="center"/>
          </w:tcPr>
          <w:p w14:paraId="4182176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auto" w:fill="auto"/>
            <w:vAlign w:val="center"/>
          </w:tcPr>
          <w:p w14:paraId="36C96B7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82D91C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73E19F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4770C0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54C9854">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2C16E55">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1B28D64">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9E71F5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碱性磷酸酶（ALP）</w:t>
            </w:r>
          </w:p>
        </w:tc>
        <w:tc>
          <w:tcPr>
            <w:tcW w:w="1020" w:type="dxa"/>
            <w:tcBorders>
              <w:top w:val="nil"/>
              <w:left w:val="nil"/>
              <w:bottom w:val="single" w:color="auto" w:sz="4" w:space="0"/>
              <w:right w:val="single" w:color="auto" w:sz="4" w:space="0"/>
            </w:tcBorders>
            <w:shd w:val="clear" w:color="auto" w:fill="auto"/>
            <w:vAlign w:val="center"/>
          </w:tcPr>
          <w:p w14:paraId="52AA9A5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auto" w:fill="auto"/>
            <w:vAlign w:val="center"/>
          </w:tcPr>
          <w:p w14:paraId="75F08D0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auto" w:fill="auto"/>
            <w:vAlign w:val="center"/>
          </w:tcPr>
          <w:p w14:paraId="285ECB3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7A7B58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7EB079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E8F94C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9467B15">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367C7ACD">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607FCB5C">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血脂</w:t>
            </w:r>
          </w:p>
        </w:tc>
        <w:tc>
          <w:tcPr>
            <w:tcW w:w="1636" w:type="dxa"/>
            <w:tcBorders>
              <w:top w:val="nil"/>
              <w:left w:val="nil"/>
              <w:bottom w:val="single" w:color="auto" w:sz="4" w:space="0"/>
              <w:right w:val="single" w:color="auto" w:sz="4" w:space="0"/>
            </w:tcBorders>
            <w:shd w:val="clear" w:color="auto" w:fill="auto"/>
            <w:vAlign w:val="center"/>
          </w:tcPr>
          <w:p w14:paraId="21A96DCD">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总胆固醇(TC)</w:t>
            </w:r>
          </w:p>
        </w:tc>
        <w:tc>
          <w:tcPr>
            <w:tcW w:w="1020" w:type="dxa"/>
            <w:tcBorders>
              <w:top w:val="nil"/>
              <w:left w:val="nil"/>
              <w:bottom w:val="single" w:color="auto" w:sz="4" w:space="0"/>
              <w:right w:val="single" w:color="auto" w:sz="4" w:space="0"/>
            </w:tcBorders>
            <w:shd w:val="clear" w:color="000000" w:fill="FFFFFF"/>
            <w:vAlign w:val="center"/>
          </w:tcPr>
          <w:p w14:paraId="7BE6221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6B6DDA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061BE3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0CAEB1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3A9CAA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3D0B89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BCC51F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FECA2A1">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2427D7B3">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78AC65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甘油三脂（TG）</w:t>
            </w:r>
          </w:p>
        </w:tc>
        <w:tc>
          <w:tcPr>
            <w:tcW w:w="1020" w:type="dxa"/>
            <w:tcBorders>
              <w:top w:val="nil"/>
              <w:left w:val="nil"/>
              <w:bottom w:val="single" w:color="auto" w:sz="4" w:space="0"/>
              <w:right w:val="single" w:color="auto" w:sz="4" w:space="0"/>
            </w:tcBorders>
            <w:shd w:val="clear" w:color="000000" w:fill="FFFFFF"/>
            <w:vAlign w:val="center"/>
          </w:tcPr>
          <w:p w14:paraId="11E8E3E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E7C1A5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A0C4EE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53AF98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284CB6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B7BE9F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EDF5C5A">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387186D0">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764DACBB">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CE8739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高密度脂蛋白胆固醇（HDL-C）</w:t>
            </w:r>
          </w:p>
        </w:tc>
        <w:tc>
          <w:tcPr>
            <w:tcW w:w="1020" w:type="dxa"/>
            <w:tcBorders>
              <w:top w:val="nil"/>
              <w:left w:val="nil"/>
              <w:bottom w:val="single" w:color="auto" w:sz="4" w:space="0"/>
              <w:right w:val="single" w:color="auto" w:sz="4" w:space="0"/>
            </w:tcBorders>
            <w:shd w:val="clear" w:color="000000" w:fill="FFFFFF"/>
            <w:vAlign w:val="center"/>
          </w:tcPr>
          <w:p w14:paraId="1CA7A38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63A326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1ADC0D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1CBBCE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01A46E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B1FD29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AD30F28">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19E6ACA8">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17A7934">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288A75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低密度脂蛋白胆固醇（LDL-C）</w:t>
            </w:r>
          </w:p>
        </w:tc>
        <w:tc>
          <w:tcPr>
            <w:tcW w:w="1020" w:type="dxa"/>
            <w:tcBorders>
              <w:top w:val="nil"/>
              <w:left w:val="nil"/>
              <w:bottom w:val="single" w:color="auto" w:sz="4" w:space="0"/>
              <w:right w:val="single" w:color="auto" w:sz="4" w:space="0"/>
            </w:tcBorders>
            <w:shd w:val="clear" w:color="000000" w:fill="FFFFFF"/>
            <w:vAlign w:val="center"/>
          </w:tcPr>
          <w:p w14:paraId="1F89951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C2897C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C54592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AED2AA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78AEBD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7866B6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088BB01">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DF948F9">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F715152">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949A0F6">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载脂蛋白A1</w:t>
            </w:r>
          </w:p>
        </w:tc>
        <w:tc>
          <w:tcPr>
            <w:tcW w:w="1020" w:type="dxa"/>
            <w:tcBorders>
              <w:top w:val="nil"/>
              <w:left w:val="nil"/>
              <w:bottom w:val="single" w:color="auto" w:sz="4" w:space="0"/>
              <w:right w:val="single" w:color="auto" w:sz="4" w:space="0"/>
            </w:tcBorders>
            <w:shd w:val="clear" w:color="000000" w:fill="FFFFFF"/>
            <w:vAlign w:val="center"/>
          </w:tcPr>
          <w:p w14:paraId="48B0E60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576045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B908CD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377DFC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8D0E70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13BDC8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FADD0C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87AEE88">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F1D90B9">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5C4607A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载脂蛋白B</w:t>
            </w:r>
          </w:p>
        </w:tc>
        <w:tc>
          <w:tcPr>
            <w:tcW w:w="1020" w:type="dxa"/>
            <w:tcBorders>
              <w:top w:val="nil"/>
              <w:left w:val="nil"/>
              <w:bottom w:val="single" w:color="auto" w:sz="4" w:space="0"/>
              <w:right w:val="single" w:color="auto" w:sz="4" w:space="0"/>
            </w:tcBorders>
            <w:shd w:val="clear" w:color="000000" w:fill="FFFFFF"/>
            <w:vAlign w:val="center"/>
          </w:tcPr>
          <w:p w14:paraId="05A1B5C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7C7F1D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C953DF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477E2E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649C45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6FEFFF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D8C74C6">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A2FA21C">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706AE602">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5006D2C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脂蛋白a</w:t>
            </w:r>
          </w:p>
        </w:tc>
        <w:tc>
          <w:tcPr>
            <w:tcW w:w="1020" w:type="dxa"/>
            <w:tcBorders>
              <w:top w:val="nil"/>
              <w:left w:val="nil"/>
              <w:bottom w:val="single" w:color="auto" w:sz="4" w:space="0"/>
              <w:right w:val="single" w:color="auto" w:sz="4" w:space="0"/>
            </w:tcBorders>
            <w:shd w:val="clear" w:color="000000" w:fill="FFFFFF"/>
            <w:vAlign w:val="center"/>
          </w:tcPr>
          <w:p w14:paraId="30D05C6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474D16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0921FE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0DFBA3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1F69D4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CFC7E7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8EEADFE">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306885BB">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34DF1A7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肾功能3项</w:t>
            </w:r>
          </w:p>
        </w:tc>
        <w:tc>
          <w:tcPr>
            <w:tcW w:w="1636" w:type="dxa"/>
            <w:tcBorders>
              <w:top w:val="nil"/>
              <w:left w:val="nil"/>
              <w:bottom w:val="single" w:color="auto" w:sz="4" w:space="0"/>
              <w:right w:val="single" w:color="auto" w:sz="4" w:space="0"/>
            </w:tcBorders>
            <w:shd w:val="clear" w:color="auto" w:fill="auto"/>
            <w:vAlign w:val="center"/>
          </w:tcPr>
          <w:p w14:paraId="6E06542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尿素氮</w:t>
            </w:r>
          </w:p>
        </w:tc>
        <w:tc>
          <w:tcPr>
            <w:tcW w:w="1020" w:type="dxa"/>
            <w:tcBorders>
              <w:top w:val="nil"/>
              <w:left w:val="nil"/>
              <w:bottom w:val="single" w:color="auto" w:sz="4" w:space="0"/>
              <w:right w:val="single" w:color="auto" w:sz="4" w:space="0"/>
            </w:tcBorders>
            <w:shd w:val="clear" w:color="000000" w:fill="FFFFFF"/>
            <w:vAlign w:val="center"/>
          </w:tcPr>
          <w:p w14:paraId="03D6C2E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100831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BB2F64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B9E0C1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9424DD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FB0B3C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CE31258">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795C00B">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16F52683">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55D33220">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肌酐</w:t>
            </w:r>
          </w:p>
        </w:tc>
        <w:tc>
          <w:tcPr>
            <w:tcW w:w="1020" w:type="dxa"/>
            <w:tcBorders>
              <w:top w:val="nil"/>
              <w:left w:val="nil"/>
              <w:bottom w:val="single" w:color="auto" w:sz="4" w:space="0"/>
              <w:right w:val="single" w:color="auto" w:sz="4" w:space="0"/>
            </w:tcBorders>
            <w:shd w:val="clear" w:color="000000" w:fill="FFFFFF"/>
            <w:vAlign w:val="center"/>
          </w:tcPr>
          <w:p w14:paraId="2236DAD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D76C63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0A02BB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BB8DFB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E6C6FF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10F23F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DA2A2DA">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E43977A">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32172300">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3CA67E4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尿酸UA</w:t>
            </w:r>
          </w:p>
        </w:tc>
        <w:tc>
          <w:tcPr>
            <w:tcW w:w="1020" w:type="dxa"/>
            <w:tcBorders>
              <w:top w:val="nil"/>
              <w:left w:val="nil"/>
              <w:bottom w:val="single" w:color="auto" w:sz="4" w:space="0"/>
              <w:right w:val="single" w:color="auto" w:sz="4" w:space="0"/>
            </w:tcBorders>
            <w:shd w:val="clear" w:color="000000" w:fill="FFFFFF"/>
            <w:vAlign w:val="center"/>
          </w:tcPr>
          <w:p w14:paraId="5A4679D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CBD6BC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9DD558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B266BB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BFF1F4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55EB71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6E3D45F">
        <w:tblPrEx>
          <w:tblCellMar>
            <w:top w:w="0" w:type="dxa"/>
            <w:left w:w="108" w:type="dxa"/>
            <w:bottom w:w="0" w:type="dxa"/>
            <w:right w:w="108" w:type="dxa"/>
          </w:tblCellMar>
        </w:tblPrEx>
        <w:trPr>
          <w:trHeight w:val="810"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34E798F">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349A4029">
            <w:pPr>
              <w:widowControl/>
              <w:shd w:val="clear"/>
              <w:jc w:val="left"/>
              <w:rPr>
                <w:rFonts w:hint="eastAsia" w:ascii="宋体" w:hAnsi="宋体" w:cs="宋体"/>
                <w:kern w:val="0"/>
                <w:sz w:val="20"/>
                <w:highlight w:val="none"/>
              </w:rPr>
            </w:pPr>
            <w:r>
              <w:rPr>
                <w:rFonts w:hint="eastAsia"/>
                <w:sz w:val="20"/>
                <w:szCs w:val="20"/>
                <w:highlight w:val="none"/>
              </w:rPr>
              <w:t>早期肾脏损伤3项</w:t>
            </w:r>
          </w:p>
        </w:tc>
        <w:tc>
          <w:tcPr>
            <w:tcW w:w="1636" w:type="dxa"/>
            <w:tcBorders>
              <w:top w:val="nil"/>
              <w:left w:val="nil"/>
              <w:bottom w:val="single" w:color="auto" w:sz="4" w:space="0"/>
              <w:right w:val="single" w:color="auto" w:sz="4" w:space="0"/>
            </w:tcBorders>
            <w:shd w:val="clear" w:color="auto" w:fill="auto"/>
            <w:vAlign w:val="center"/>
          </w:tcPr>
          <w:p w14:paraId="1C9C3D3D">
            <w:pPr>
              <w:widowControl/>
              <w:shd w:val="clear"/>
              <w:jc w:val="left"/>
              <w:rPr>
                <w:rFonts w:hint="eastAsia" w:ascii="宋体" w:hAnsi="宋体" w:cs="宋体"/>
                <w:kern w:val="0"/>
                <w:sz w:val="20"/>
                <w:highlight w:val="none"/>
              </w:rPr>
            </w:pPr>
            <w:r>
              <w:rPr>
                <w:rFonts w:hint="eastAsia"/>
                <w:sz w:val="20"/>
                <w:szCs w:val="20"/>
                <w:highlight w:val="none"/>
              </w:rPr>
              <w:t>尿肌酐测定、尿微量白蛋白测定、尿微量白蛋白/尿肌酐</w:t>
            </w:r>
          </w:p>
        </w:tc>
        <w:tc>
          <w:tcPr>
            <w:tcW w:w="1020" w:type="dxa"/>
            <w:tcBorders>
              <w:top w:val="nil"/>
              <w:left w:val="nil"/>
              <w:bottom w:val="single" w:color="auto" w:sz="4" w:space="0"/>
              <w:right w:val="single" w:color="auto" w:sz="4" w:space="0"/>
            </w:tcBorders>
            <w:shd w:val="clear" w:color="000000" w:fill="FFFFFF"/>
            <w:vAlign w:val="center"/>
          </w:tcPr>
          <w:p w14:paraId="30E6068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39654A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93B113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A1056C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FDEDEE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41AE58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4D59DF7">
        <w:tblPrEx>
          <w:tblCellMar>
            <w:top w:w="0" w:type="dxa"/>
            <w:left w:w="108" w:type="dxa"/>
            <w:bottom w:w="0" w:type="dxa"/>
            <w:right w:w="108" w:type="dxa"/>
          </w:tblCellMar>
        </w:tblPrEx>
        <w:trPr>
          <w:trHeight w:val="810"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D56E4B3">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39909CF7">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甲状腺功能3项</w:t>
            </w:r>
          </w:p>
        </w:tc>
        <w:tc>
          <w:tcPr>
            <w:tcW w:w="1636" w:type="dxa"/>
            <w:tcBorders>
              <w:top w:val="nil"/>
              <w:left w:val="nil"/>
              <w:bottom w:val="single" w:color="auto" w:sz="4" w:space="0"/>
              <w:right w:val="single" w:color="auto" w:sz="4" w:space="0"/>
            </w:tcBorders>
            <w:shd w:val="clear" w:color="auto" w:fill="auto"/>
            <w:vAlign w:val="center"/>
          </w:tcPr>
          <w:p w14:paraId="7BE285F8">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血清促甲状腺激素、血清甲状腺素、血清三碘甲状原氨酸</w:t>
            </w:r>
          </w:p>
        </w:tc>
        <w:tc>
          <w:tcPr>
            <w:tcW w:w="1020" w:type="dxa"/>
            <w:tcBorders>
              <w:top w:val="nil"/>
              <w:left w:val="nil"/>
              <w:bottom w:val="single" w:color="auto" w:sz="4" w:space="0"/>
              <w:right w:val="single" w:color="auto" w:sz="4" w:space="0"/>
            </w:tcBorders>
            <w:shd w:val="clear" w:color="000000" w:fill="FFFFFF"/>
            <w:vAlign w:val="center"/>
          </w:tcPr>
          <w:p w14:paraId="3C3A7DE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AFD7FE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A20B1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344CEF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1C49E1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EF0BED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C53CD1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219C320">
            <w:pPr>
              <w:widowControl/>
              <w:shd w:val="clear"/>
              <w:jc w:val="left"/>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115F9DE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胃功能3项</w:t>
            </w:r>
          </w:p>
        </w:tc>
        <w:tc>
          <w:tcPr>
            <w:tcW w:w="1636" w:type="dxa"/>
            <w:tcBorders>
              <w:top w:val="nil"/>
              <w:left w:val="nil"/>
              <w:bottom w:val="single" w:color="auto" w:sz="4" w:space="0"/>
              <w:right w:val="single" w:color="auto" w:sz="4" w:space="0"/>
            </w:tcBorders>
            <w:shd w:val="clear" w:color="auto" w:fill="auto"/>
            <w:vAlign w:val="center"/>
          </w:tcPr>
          <w:p w14:paraId="1C38B93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胃蛋白酶原I、胃蛋白酶原II、PGI/PGII</w:t>
            </w:r>
          </w:p>
        </w:tc>
        <w:tc>
          <w:tcPr>
            <w:tcW w:w="1020" w:type="dxa"/>
            <w:tcBorders>
              <w:top w:val="nil"/>
              <w:left w:val="nil"/>
              <w:bottom w:val="single" w:color="auto" w:sz="4" w:space="0"/>
              <w:right w:val="single" w:color="auto" w:sz="4" w:space="0"/>
            </w:tcBorders>
            <w:shd w:val="clear" w:color="000000" w:fill="FFFFFF"/>
            <w:vAlign w:val="center"/>
          </w:tcPr>
          <w:p w14:paraId="47269C8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F505C5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8F4036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434237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F40A4C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DFD5FD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92E87AF">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5EFFED1">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630F5D6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心血管</w:t>
            </w:r>
          </w:p>
        </w:tc>
        <w:tc>
          <w:tcPr>
            <w:tcW w:w="1636" w:type="dxa"/>
            <w:tcBorders>
              <w:top w:val="nil"/>
              <w:left w:val="nil"/>
              <w:bottom w:val="single" w:color="auto" w:sz="4" w:space="0"/>
              <w:right w:val="single" w:color="auto" w:sz="4" w:space="0"/>
            </w:tcBorders>
            <w:shd w:val="clear" w:color="auto" w:fill="auto"/>
            <w:vAlign w:val="center"/>
          </w:tcPr>
          <w:p w14:paraId="5F7E610D">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同型半胱氨酸（Hcy）</w:t>
            </w:r>
          </w:p>
        </w:tc>
        <w:tc>
          <w:tcPr>
            <w:tcW w:w="1020" w:type="dxa"/>
            <w:tcBorders>
              <w:top w:val="nil"/>
              <w:left w:val="nil"/>
              <w:bottom w:val="single" w:color="auto" w:sz="4" w:space="0"/>
              <w:right w:val="single" w:color="auto" w:sz="4" w:space="0"/>
            </w:tcBorders>
            <w:shd w:val="clear" w:color="000000" w:fill="FFFFFF"/>
            <w:vAlign w:val="center"/>
          </w:tcPr>
          <w:p w14:paraId="0E5E118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9D25D4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651375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4C520E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98C3A5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3A8436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9574EE3">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79180010">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28C76E8F">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05E92A76">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超敏C反应蛋白（CRP）测定</w:t>
            </w:r>
          </w:p>
        </w:tc>
        <w:tc>
          <w:tcPr>
            <w:tcW w:w="1020" w:type="dxa"/>
            <w:tcBorders>
              <w:top w:val="nil"/>
              <w:left w:val="nil"/>
              <w:bottom w:val="single" w:color="auto" w:sz="4" w:space="0"/>
              <w:right w:val="single" w:color="auto" w:sz="4" w:space="0"/>
            </w:tcBorders>
            <w:shd w:val="clear" w:color="000000" w:fill="FFFFFF"/>
            <w:vAlign w:val="center"/>
          </w:tcPr>
          <w:p w14:paraId="5D0EA16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5537AB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E966C3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BC2F96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1E7132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8D6891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6A6A720">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57A587E">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1A1C78B">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670FD4E">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心肌酶三项</w:t>
            </w:r>
          </w:p>
        </w:tc>
        <w:tc>
          <w:tcPr>
            <w:tcW w:w="1020" w:type="dxa"/>
            <w:tcBorders>
              <w:top w:val="nil"/>
              <w:left w:val="nil"/>
              <w:bottom w:val="single" w:color="auto" w:sz="4" w:space="0"/>
              <w:right w:val="single" w:color="auto" w:sz="4" w:space="0"/>
            </w:tcBorders>
            <w:shd w:val="clear" w:color="000000" w:fill="FFFFFF"/>
            <w:vAlign w:val="center"/>
          </w:tcPr>
          <w:p w14:paraId="77B2830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65ABB9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1DBE52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BF3CE3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33A9F7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B03AA3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C8C6946">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2663CAF">
            <w:pPr>
              <w:widowControl/>
              <w:shd w:val="clear"/>
              <w:jc w:val="left"/>
              <w:rPr>
                <w:rFonts w:hint="eastAsia" w:ascii="宋体" w:hAnsi="宋体" w:cs="宋体"/>
                <w:b/>
                <w:bCs/>
                <w:kern w:val="0"/>
                <w:sz w:val="20"/>
                <w:highlight w:val="none"/>
              </w:rPr>
            </w:pP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6732D90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肿瘤筛查</w:t>
            </w:r>
          </w:p>
        </w:tc>
        <w:tc>
          <w:tcPr>
            <w:tcW w:w="1636" w:type="dxa"/>
            <w:tcBorders>
              <w:top w:val="nil"/>
              <w:left w:val="nil"/>
              <w:bottom w:val="single" w:color="auto" w:sz="4" w:space="0"/>
              <w:right w:val="single" w:color="auto" w:sz="4" w:space="0"/>
            </w:tcBorders>
            <w:shd w:val="clear" w:color="auto" w:fill="auto"/>
            <w:vAlign w:val="center"/>
          </w:tcPr>
          <w:p w14:paraId="24BD622D">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甲胎蛋白测定（AFP）</w:t>
            </w:r>
          </w:p>
        </w:tc>
        <w:tc>
          <w:tcPr>
            <w:tcW w:w="1020" w:type="dxa"/>
            <w:tcBorders>
              <w:top w:val="nil"/>
              <w:left w:val="nil"/>
              <w:bottom w:val="single" w:color="auto" w:sz="4" w:space="0"/>
              <w:right w:val="single" w:color="auto" w:sz="4" w:space="0"/>
            </w:tcBorders>
            <w:shd w:val="clear" w:color="000000" w:fill="FFFFFF"/>
            <w:vAlign w:val="center"/>
          </w:tcPr>
          <w:p w14:paraId="106C106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CBDC77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798D7E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D9E6B1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17F2C7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6D9CCA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C39D0E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1AF7707">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375FDCA">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0961BB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癌胚抗原测定（CEA）</w:t>
            </w:r>
          </w:p>
        </w:tc>
        <w:tc>
          <w:tcPr>
            <w:tcW w:w="1020" w:type="dxa"/>
            <w:tcBorders>
              <w:top w:val="nil"/>
              <w:left w:val="nil"/>
              <w:bottom w:val="single" w:color="auto" w:sz="4" w:space="0"/>
              <w:right w:val="single" w:color="auto" w:sz="4" w:space="0"/>
            </w:tcBorders>
            <w:shd w:val="clear" w:color="000000" w:fill="FFFFFF"/>
            <w:vAlign w:val="center"/>
          </w:tcPr>
          <w:p w14:paraId="59B1A2C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EBDA23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C04616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F1AB02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DE5617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3D84E2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FF88B62">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1101F5D">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628FE68F">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58CE97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肿瘤特异性生长因子(TSGF）</w:t>
            </w:r>
          </w:p>
        </w:tc>
        <w:tc>
          <w:tcPr>
            <w:tcW w:w="1020" w:type="dxa"/>
            <w:tcBorders>
              <w:top w:val="nil"/>
              <w:left w:val="nil"/>
              <w:bottom w:val="single" w:color="auto" w:sz="4" w:space="0"/>
              <w:right w:val="single" w:color="auto" w:sz="4" w:space="0"/>
            </w:tcBorders>
            <w:shd w:val="clear" w:color="000000" w:fill="FFFFFF"/>
            <w:vAlign w:val="center"/>
          </w:tcPr>
          <w:p w14:paraId="49E6818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B031FE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1ECE72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86C4FA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E39ACD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5A96E4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86F9B0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D081687">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2A55107C">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C663DE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总前列腺特异性抗原（TPSA）</w:t>
            </w:r>
          </w:p>
        </w:tc>
        <w:tc>
          <w:tcPr>
            <w:tcW w:w="1020" w:type="dxa"/>
            <w:tcBorders>
              <w:top w:val="nil"/>
              <w:left w:val="nil"/>
              <w:bottom w:val="single" w:color="auto" w:sz="4" w:space="0"/>
              <w:right w:val="single" w:color="auto" w:sz="4" w:space="0"/>
            </w:tcBorders>
            <w:shd w:val="clear" w:color="000000" w:fill="FFFFFF"/>
            <w:vAlign w:val="center"/>
          </w:tcPr>
          <w:p w14:paraId="1961FDD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F53238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386BB6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2D00B3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24B7B5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4C8DA6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1E439B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C9B2DD1">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8396F56">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E7109DD">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游离前列腺特异性抗原（FPSA）</w:t>
            </w:r>
          </w:p>
        </w:tc>
        <w:tc>
          <w:tcPr>
            <w:tcW w:w="1020" w:type="dxa"/>
            <w:tcBorders>
              <w:top w:val="nil"/>
              <w:left w:val="nil"/>
              <w:bottom w:val="single" w:color="auto" w:sz="4" w:space="0"/>
              <w:right w:val="single" w:color="auto" w:sz="4" w:space="0"/>
            </w:tcBorders>
            <w:shd w:val="clear" w:color="000000" w:fill="FFFFFF"/>
            <w:vAlign w:val="center"/>
          </w:tcPr>
          <w:p w14:paraId="419432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D50596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E83F32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7150F4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DF8731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F63C75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033E9B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B86EFC8">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12A99E61">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02DB719">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糖链抗原CA125测定</w:t>
            </w:r>
          </w:p>
        </w:tc>
        <w:tc>
          <w:tcPr>
            <w:tcW w:w="1020" w:type="dxa"/>
            <w:tcBorders>
              <w:top w:val="nil"/>
              <w:left w:val="nil"/>
              <w:bottom w:val="single" w:color="auto" w:sz="4" w:space="0"/>
              <w:right w:val="single" w:color="auto" w:sz="4" w:space="0"/>
            </w:tcBorders>
            <w:shd w:val="clear" w:color="000000" w:fill="FFFFFF"/>
            <w:vAlign w:val="center"/>
          </w:tcPr>
          <w:p w14:paraId="44D5F4F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F23EBD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01A985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7529B7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72312F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79BD47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02DA4FB">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29A331A">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00A73E92">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B181D8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糖链抗原CA153测定</w:t>
            </w:r>
          </w:p>
        </w:tc>
        <w:tc>
          <w:tcPr>
            <w:tcW w:w="1020" w:type="dxa"/>
            <w:tcBorders>
              <w:top w:val="nil"/>
              <w:left w:val="nil"/>
              <w:bottom w:val="single" w:color="auto" w:sz="4" w:space="0"/>
              <w:right w:val="single" w:color="auto" w:sz="4" w:space="0"/>
            </w:tcBorders>
            <w:shd w:val="clear" w:color="000000" w:fill="FFFFFF"/>
            <w:vAlign w:val="center"/>
          </w:tcPr>
          <w:p w14:paraId="5731067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ED169A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2CEA47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C88A56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13D318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3A2308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9B69DD3">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21F1284">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0D1629EC">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652FFA7">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糖链抗原CA19-9测定</w:t>
            </w:r>
          </w:p>
        </w:tc>
        <w:tc>
          <w:tcPr>
            <w:tcW w:w="1020" w:type="dxa"/>
            <w:tcBorders>
              <w:top w:val="nil"/>
              <w:left w:val="nil"/>
              <w:bottom w:val="single" w:color="auto" w:sz="4" w:space="0"/>
              <w:right w:val="single" w:color="auto" w:sz="4" w:space="0"/>
            </w:tcBorders>
            <w:shd w:val="clear" w:color="000000" w:fill="FFFFFF"/>
            <w:vAlign w:val="center"/>
          </w:tcPr>
          <w:p w14:paraId="592676F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3AFD97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C37B43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0090B4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6027B4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84066D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F51356A">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DD17F52">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90E3432">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10F53FF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糖链抗原CA72-4测定</w:t>
            </w:r>
          </w:p>
        </w:tc>
        <w:tc>
          <w:tcPr>
            <w:tcW w:w="1020" w:type="dxa"/>
            <w:tcBorders>
              <w:top w:val="nil"/>
              <w:left w:val="nil"/>
              <w:bottom w:val="single" w:color="auto" w:sz="4" w:space="0"/>
              <w:right w:val="single" w:color="auto" w:sz="4" w:space="0"/>
            </w:tcBorders>
            <w:shd w:val="clear" w:color="000000" w:fill="FFFFFF"/>
            <w:vAlign w:val="center"/>
          </w:tcPr>
          <w:p w14:paraId="2BA41D2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20052D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177CA5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B9B491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F4F17F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8577C8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048712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97AEC57">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BC98E5C">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0E67479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神经元特异性烯醇化酶（NSE）</w:t>
            </w:r>
          </w:p>
        </w:tc>
        <w:tc>
          <w:tcPr>
            <w:tcW w:w="1020" w:type="dxa"/>
            <w:tcBorders>
              <w:top w:val="nil"/>
              <w:left w:val="nil"/>
              <w:bottom w:val="single" w:color="auto" w:sz="4" w:space="0"/>
              <w:right w:val="single" w:color="auto" w:sz="4" w:space="0"/>
            </w:tcBorders>
            <w:shd w:val="clear" w:color="000000" w:fill="FFFFFF"/>
            <w:vAlign w:val="center"/>
          </w:tcPr>
          <w:p w14:paraId="2B31985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8ACFA9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F1688A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E84B2D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3CF172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AB86D5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C41548F">
        <w:tblPrEx>
          <w:tblCellMar>
            <w:top w:w="0" w:type="dxa"/>
            <w:left w:w="108" w:type="dxa"/>
            <w:bottom w:w="0" w:type="dxa"/>
            <w:right w:w="108" w:type="dxa"/>
          </w:tblCellMar>
        </w:tblPrEx>
        <w:trPr>
          <w:trHeight w:val="499" w:hRule="atLeast"/>
        </w:trPr>
        <w:tc>
          <w:tcPr>
            <w:tcW w:w="704" w:type="dxa"/>
            <w:tcBorders>
              <w:top w:val="nil"/>
              <w:left w:val="single" w:color="auto" w:sz="4" w:space="0"/>
              <w:bottom w:val="single" w:color="auto" w:sz="4" w:space="0"/>
              <w:right w:val="single" w:color="auto" w:sz="4" w:space="0"/>
            </w:tcBorders>
            <w:shd w:val="clear" w:color="auto" w:fill="auto"/>
            <w:noWrap/>
            <w:vAlign w:val="center"/>
          </w:tcPr>
          <w:p w14:paraId="362A0CB5">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功能</w:t>
            </w:r>
          </w:p>
        </w:tc>
        <w:tc>
          <w:tcPr>
            <w:tcW w:w="916" w:type="dxa"/>
            <w:tcBorders>
              <w:top w:val="nil"/>
              <w:left w:val="nil"/>
              <w:bottom w:val="single" w:color="auto" w:sz="4" w:space="0"/>
              <w:right w:val="single" w:color="auto" w:sz="4" w:space="0"/>
            </w:tcBorders>
            <w:shd w:val="clear" w:color="auto" w:fill="auto"/>
            <w:vAlign w:val="center"/>
          </w:tcPr>
          <w:p w14:paraId="06365B4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静态心电图（ECG）</w:t>
            </w:r>
          </w:p>
        </w:tc>
        <w:tc>
          <w:tcPr>
            <w:tcW w:w="1636" w:type="dxa"/>
            <w:tcBorders>
              <w:top w:val="nil"/>
              <w:left w:val="nil"/>
              <w:bottom w:val="single" w:color="auto" w:sz="4" w:space="0"/>
              <w:right w:val="single" w:color="auto" w:sz="4" w:space="0"/>
            </w:tcBorders>
            <w:shd w:val="clear" w:color="auto" w:fill="auto"/>
            <w:vAlign w:val="center"/>
          </w:tcPr>
          <w:p w14:paraId="6E58F00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十二导心电图</w:t>
            </w:r>
          </w:p>
        </w:tc>
        <w:tc>
          <w:tcPr>
            <w:tcW w:w="1020" w:type="dxa"/>
            <w:tcBorders>
              <w:top w:val="nil"/>
              <w:left w:val="nil"/>
              <w:bottom w:val="single" w:color="auto" w:sz="4" w:space="0"/>
              <w:right w:val="single" w:color="auto" w:sz="4" w:space="0"/>
            </w:tcBorders>
            <w:shd w:val="clear" w:color="000000" w:fill="FFFFFF"/>
            <w:vAlign w:val="center"/>
          </w:tcPr>
          <w:p w14:paraId="64FE68E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F0B770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5E327B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677198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21A40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417486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95A3B8F">
        <w:tblPrEx>
          <w:tblCellMar>
            <w:top w:w="0" w:type="dxa"/>
            <w:left w:w="108" w:type="dxa"/>
            <w:bottom w:w="0" w:type="dxa"/>
            <w:right w:w="108" w:type="dxa"/>
          </w:tblCellMar>
        </w:tblPrEx>
        <w:trPr>
          <w:trHeight w:val="499" w:hRule="atLeast"/>
        </w:trPr>
        <w:tc>
          <w:tcPr>
            <w:tcW w:w="704" w:type="dxa"/>
            <w:tcBorders>
              <w:top w:val="nil"/>
              <w:left w:val="single" w:color="auto" w:sz="4" w:space="0"/>
              <w:bottom w:val="single" w:color="auto" w:sz="4" w:space="0"/>
              <w:right w:val="single" w:color="auto" w:sz="4" w:space="0"/>
            </w:tcBorders>
            <w:shd w:val="clear" w:color="auto" w:fill="auto"/>
            <w:noWrap/>
            <w:vAlign w:val="center"/>
          </w:tcPr>
          <w:p w14:paraId="5155D42E">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呼气</w:t>
            </w:r>
          </w:p>
        </w:tc>
        <w:tc>
          <w:tcPr>
            <w:tcW w:w="916" w:type="dxa"/>
            <w:tcBorders>
              <w:top w:val="nil"/>
              <w:left w:val="nil"/>
              <w:bottom w:val="single" w:color="auto" w:sz="4" w:space="0"/>
              <w:right w:val="single" w:color="auto" w:sz="4" w:space="0"/>
            </w:tcBorders>
            <w:shd w:val="clear" w:color="auto" w:fill="auto"/>
            <w:vAlign w:val="center"/>
          </w:tcPr>
          <w:p w14:paraId="64B9C791">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幽门螺旋杆菌检测C14</w:t>
            </w:r>
          </w:p>
        </w:tc>
        <w:tc>
          <w:tcPr>
            <w:tcW w:w="1636" w:type="dxa"/>
            <w:tcBorders>
              <w:top w:val="nil"/>
              <w:left w:val="nil"/>
              <w:bottom w:val="single" w:color="auto" w:sz="4" w:space="0"/>
              <w:right w:val="single" w:color="auto" w:sz="4" w:space="0"/>
            </w:tcBorders>
            <w:shd w:val="clear" w:color="auto" w:fill="auto"/>
            <w:vAlign w:val="center"/>
          </w:tcPr>
          <w:p w14:paraId="462A043B">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碳14呼气试验</w:t>
            </w:r>
          </w:p>
        </w:tc>
        <w:tc>
          <w:tcPr>
            <w:tcW w:w="1020" w:type="dxa"/>
            <w:tcBorders>
              <w:top w:val="nil"/>
              <w:left w:val="nil"/>
              <w:bottom w:val="single" w:color="auto" w:sz="4" w:space="0"/>
              <w:right w:val="single" w:color="auto" w:sz="4" w:space="0"/>
            </w:tcBorders>
            <w:shd w:val="clear" w:color="000000" w:fill="FFFFFF"/>
            <w:vAlign w:val="center"/>
          </w:tcPr>
          <w:p w14:paraId="54F11D4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0FC2DF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57B3C8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3CE204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5B8E25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0D0E7D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C0F45F4">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bottom w:val="single" w:color="auto" w:sz="4" w:space="0"/>
              <w:right w:val="single" w:color="auto" w:sz="4" w:space="0"/>
            </w:tcBorders>
            <w:shd w:val="clear" w:color="auto" w:fill="auto"/>
            <w:noWrap/>
            <w:vAlign w:val="center"/>
          </w:tcPr>
          <w:p w14:paraId="35AB8F87">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科室</w:t>
            </w: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11ADF8D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妇科</w:t>
            </w:r>
          </w:p>
        </w:tc>
        <w:tc>
          <w:tcPr>
            <w:tcW w:w="1636" w:type="dxa"/>
            <w:tcBorders>
              <w:top w:val="nil"/>
              <w:left w:val="nil"/>
              <w:bottom w:val="single" w:color="auto" w:sz="4" w:space="0"/>
              <w:right w:val="single" w:color="auto" w:sz="4" w:space="0"/>
            </w:tcBorders>
            <w:shd w:val="clear" w:color="auto" w:fill="auto"/>
            <w:vAlign w:val="center"/>
          </w:tcPr>
          <w:p w14:paraId="5A2F74C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妇科常规检查</w:t>
            </w:r>
          </w:p>
        </w:tc>
        <w:tc>
          <w:tcPr>
            <w:tcW w:w="1020" w:type="dxa"/>
            <w:tcBorders>
              <w:top w:val="nil"/>
              <w:left w:val="nil"/>
              <w:bottom w:val="single" w:color="auto" w:sz="4" w:space="0"/>
              <w:right w:val="single" w:color="auto" w:sz="4" w:space="0"/>
            </w:tcBorders>
            <w:shd w:val="clear" w:color="000000" w:fill="FFFFFF"/>
            <w:vAlign w:val="center"/>
          </w:tcPr>
          <w:p w14:paraId="699F734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516FA4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D8B93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E94B1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9588E5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559AB5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8A467F9">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0FB8C91">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4D4C51DE">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03ED9E86">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白带常规</w:t>
            </w:r>
          </w:p>
        </w:tc>
        <w:tc>
          <w:tcPr>
            <w:tcW w:w="1020" w:type="dxa"/>
            <w:tcBorders>
              <w:top w:val="nil"/>
              <w:left w:val="nil"/>
              <w:bottom w:val="single" w:color="auto" w:sz="4" w:space="0"/>
              <w:right w:val="single" w:color="auto" w:sz="4" w:space="0"/>
            </w:tcBorders>
            <w:shd w:val="clear" w:color="000000" w:fill="FFFFFF"/>
            <w:vAlign w:val="center"/>
          </w:tcPr>
          <w:p w14:paraId="4DE736B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A2A37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09E79D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AB4197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A42FD6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700E6D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0577BAE1">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6359931">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3142CF8F">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B2163DC">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宫颈TCT</w:t>
            </w:r>
          </w:p>
        </w:tc>
        <w:tc>
          <w:tcPr>
            <w:tcW w:w="1020" w:type="dxa"/>
            <w:tcBorders>
              <w:top w:val="nil"/>
              <w:left w:val="nil"/>
              <w:bottom w:val="single" w:color="auto" w:sz="4" w:space="0"/>
              <w:right w:val="single" w:color="auto" w:sz="4" w:space="0"/>
            </w:tcBorders>
            <w:shd w:val="clear" w:color="000000" w:fill="FFFFFF"/>
            <w:vAlign w:val="center"/>
          </w:tcPr>
          <w:p w14:paraId="7B00D0A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95084E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108939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112449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4DD6A8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D4CC6E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119F0DD">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D49024F">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4EA6FDB">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0D2189F">
            <w:pPr>
              <w:widowControl/>
              <w:shd w:val="clear"/>
              <w:jc w:val="left"/>
              <w:rPr>
                <w:rFonts w:hint="eastAsia" w:ascii="宋体" w:hAnsi="宋体" w:cs="宋体"/>
                <w:color w:val="000000"/>
                <w:kern w:val="0"/>
                <w:sz w:val="20"/>
                <w:highlight w:val="none"/>
              </w:rPr>
            </w:pPr>
            <w:r>
              <w:rPr>
                <w:rFonts w:hint="eastAsia" w:ascii="宋体" w:hAnsi="宋体" w:cs="宋体"/>
                <w:color w:val="000000"/>
                <w:kern w:val="0"/>
                <w:sz w:val="20"/>
                <w:highlight w:val="none"/>
              </w:rPr>
              <w:t>HPV检测</w:t>
            </w:r>
          </w:p>
        </w:tc>
        <w:tc>
          <w:tcPr>
            <w:tcW w:w="1020" w:type="dxa"/>
            <w:tcBorders>
              <w:top w:val="nil"/>
              <w:left w:val="nil"/>
              <w:bottom w:val="single" w:color="auto" w:sz="4" w:space="0"/>
              <w:right w:val="single" w:color="auto" w:sz="4" w:space="0"/>
            </w:tcBorders>
            <w:shd w:val="clear" w:color="000000" w:fill="FFFFFF"/>
            <w:vAlign w:val="center"/>
          </w:tcPr>
          <w:p w14:paraId="570773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3E55EB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16E8A9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8C67D1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1BADAB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864764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71DFF4AF">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bottom w:val="single" w:color="auto" w:sz="4" w:space="0"/>
              <w:right w:val="single" w:color="auto" w:sz="4" w:space="0"/>
            </w:tcBorders>
            <w:shd w:val="clear" w:color="auto" w:fill="auto"/>
            <w:noWrap/>
            <w:vAlign w:val="center"/>
          </w:tcPr>
          <w:p w14:paraId="7B39FFCF">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彩超</w:t>
            </w:r>
          </w:p>
        </w:tc>
        <w:tc>
          <w:tcPr>
            <w:tcW w:w="916" w:type="dxa"/>
            <w:vMerge w:val="restart"/>
            <w:tcBorders>
              <w:top w:val="nil"/>
              <w:left w:val="single" w:color="auto" w:sz="4" w:space="0"/>
              <w:bottom w:val="single" w:color="auto" w:sz="4" w:space="0"/>
              <w:right w:val="single" w:color="auto" w:sz="4" w:space="0"/>
            </w:tcBorders>
            <w:shd w:val="clear" w:color="auto" w:fill="auto"/>
            <w:vAlign w:val="center"/>
          </w:tcPr>
          <w:p w14:paraId="7B17AAD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彩超</w:t>
            </w:r>
          </w:p>
        </w:tc>
        <w:tc>
          <w:tcPr>
            <w:tcW w:w="1636" w:type="dxa"/>
            <w:tcBorders>
              <w:top w:val="nil"/>
              <w:left w:val="nil"/>
              <w:bottom w:val="single" w:color="auto" w:sz="4" w:space="0"/>
              <w:right w:val="single" w:color="auto" w:sz="4" w:space="0"/>
            </w:tcBorders>
            <w:shd w:val="clear" w:color="auto" w:fill="auto"/>
            <w:vAlign w:val="center"/>
          </w:tcPr>
          <w:p w14:paraId="560324D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肝胆胰脾肾</w:t>
            </w:r>
          </w:p>
        </w:tc>
        <w:tc>
          <w:tcPr>
            <w:tcW w:w="1020" w:type="dxa"/>
            <w:tcBorders>
              <w:top w:val="nil"/>
              <w:left w:val="nil"/>
              <w:bottom w:val="single" w:color="auto" w:sz="4" w:space="0"/>
              <w:right w:val="single" w:color="auto" w:sz="4" w:space="0"/>
            </w:tcBorders>
            <w:shd w:val="clear" w:color="000000" w:fill="FFFFFF"/>
            <w:vAlign w:val="center"/>
          </w:tcPr>
          <w:p w14:paraId="51A8773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6F2342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4C868D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76B707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FC6C6C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7C4543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6D6496E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37BABF95">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12548116">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EE8E72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甲状腺</w:t>
            </w:r>
          </w:p>
        </w:tc>
        <w:tc>
          <w:tcPr>
            <w:tcW w:w="1020" w:type="dxa"/>
            <w:tcBorders>
              <w:top w:val="nil"/>
              <w:left w:val="nil"/>
              <w:bottom w:val="single" w:color="auto" w:sz="4" w:space="0"/>
              <w:right w:val="single" w:color="auto" w:sz="4" w:space="0"/>
            </w:tcBorders>
            <w:shd w:val="clear" w:color="000000" w:fill="FFFFFF"/>
            <w:vAlign w:val="center"/>
          </w:tcPr>
          <w:p w14:paraId="57F9C6C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44B657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B8016F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BFCE26E">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F878FD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EA725D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53DB676">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6FE136E">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1C3C3203">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C5768C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颈动脉</w:t>
            </w:r>
          </w:p>
        </w:tc>
        <w:tc>
          <w:tcPr>
            <w:tcW w:w="1020" w:type="dxa"/>
            <w:tcBorders>
              <w:top w:val="nil"/>
              <w:left w:val="nil"/>
              <w:bottom w:val="single" w:color="auto" w:sz="4" w:space="0"/>
              <w:right w:val="single" w:color="auto" w:sz="4" w:space="0"/>
            </w:tcBorders>
            <w:shd w:val="clear" w:color="000000" w:fill="FFFFFF"/>
            <w:vAlign w:val="center"/>
          </w:tcPr>
          <w:p w14:paraId="505B129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0E4766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79F47E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497284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5F0720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453284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E6D08DE">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6B8DB850">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36E4C109">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00CE465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前列腺</w:t>
            </w:r>
          </w:p>
        </w:tc>
        <w:tc>
          <w:tcPr>
            <w:tcW w:w="1020" w:type="dxa"/>
            <w:tcBorders>
              <w:top w:val="nil"/>
              <w:left w:val="nil"/>
              <w:bottom w:val="single" w:color="auto" w:sz="4" w:space="0"/>
              <w:right w:val="single" w:color="auto" w:sz="4" w:space="0"/>
            </w:tcBorders>
            <w:shd w:val="clear" w:color="000000" w:fill="FFFFFF"/>
            <w:vAlign w:val="center"/>
          </w:tcPr>
          <w:p w14:paraId="046E64A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A18591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31DFD4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08AA9C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29EFAB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804779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09BE99D">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7FA06C9">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5DE33A90">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714A959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乳腺（双侧）</w:t>
            </w:r>
          </w:p>
        </w:tc>
        <w:tc>
          <w:tcPr>
            <w:tcW w:w="1020" w:type="dxa"/>
            <w:tcBorders>
              <w:top w:val="nil"/>
              <w:left w:val="nil"/>
              <w:bottom w:val="single" w:color="auto" w:sz="4" w:space="0"/>
              <w:right w:val="single" w:color="auto" w:sz="4" w:space="0"/>
            </w:tcBorders>
            <w:shd w:val="clear" w:color="000000" w:fill="FFFFFF"/>
            <w:vAlign w:val="center"/>
          </w:tcPr>
          <w:p w14:paraId="555944D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CB3433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426CE5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FC73B1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931FC5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DAAE83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C95E937">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085DFF49">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19173F6E">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BE9235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盆腔彩超</w:t>
            </w:r>
          </w:p>
        </w:tc>
        <w:tc>
          <w:tcPr>
            <w:tcW w:w="1020" w:type="dxa"/>
            <w:tcBorders>
              <w:top w:val="nil"/>
              <w:left w:val="nil"/>
              <w:bottom w:val="single" w:color="auto" w:sz="4" w:space="0"/>
              <w:right w:val="single" w:color="auto" w:sz="4" w:space="0"/>
            </w:tcBorders>
            <w:shd w:val="clear" w:color="000000" w:fill="FFFFFF"/>
            <w:vAlign w:val="center"/>
          </w:tcPr>
          <w:p w14:paraId="29FEC72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E2A321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3D0E59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0058D8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013578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112781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61BBBEB">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2E20BB2C">
            <w:pPr>
              <w:widowControl/>
              <w:shd w:val="clear"/>
              <w:jc w:val="left"/>
              <w:rPr>
                <w:rFonts w:hint="eastAsia" w:ascii="宋体" w:hAnsi="宋体" w:cs="宋体"/>
                <w:b/>
                <w:bCs/>
                <w:kern w:val="0"/>
                <w:sz w:val="20"/>
                <w:highlight w:val="none"/>
              </w:rPr>
            </w:pPr>
          </w:p>
        </w:tc>
        <w:tc>
          <w:tcPr>
            <w:tcW w:w="916" w:type="dxa"/>
            <w:vMerge w:val="continue"/>
            <w:tcBorders>
              <w:top w:val="nil"/>
              <w:left w:val="single" w:color="auto" w:sz="4" w:space="0"/>
              <w:bottom w:val="single" w:color="auto" w:sz="4" w:space="0"/>
              <w:right w:val="single" w:color="auto" w:sz="4" w:space="0"/>
            </w:tcBorders>
            <w:shd w:val="clear" w:color="auto" w:fill="auto"/>
            <w:vAlign w:val="center"/>
          </w:tcPr>
          <w:p w14:paraId="38B958CF">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3990BE2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阴道彩超</w:t>
            </w:r>
          </w:p>
        </w:tc>
        <w:tc>
          <w:tcPr>
            <w:tcW w:w="1020" w:type="dxa"/>
            <w:tcBorders>
              <w:top w:val="nil"/>
              <w:left w:val="nil"/>
              <w:bottom w:val="single" w:color="auto" w:sz="4" w:space="0"/>
              <w:right w:val="single" w:color="auto" w:sz="4" w:space="0"/>
            </w:tcBorders>
            <w:shd w:val="clear" w:color="000000" w:fill="FFFFFF"/>
            <w:vAlign w:val="center"/>
          </w:tcPr>
          <w:p w14:paraId="00DC173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674720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C473B7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3C1A0D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644D87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A31732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D330499">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bottom w:val="single" w:color="auto" w:sz="4" w:space="0"/>
              <w:right w:val="single" w:color="auto" w:sz="4" w:space="0"/>
            </w:tcBorders>
            <w:shd w:val="clear" w:color="auto" w:fill="auto"/>
            <w:noWrap/>
            <w:vAlign w:val="center"/>
          </w:tcPr>
          <w:p w14:paraId="3104FFE9">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影像</w:t>
            </w:r>
          </w:p>
        </w:tc>
        <w:tc>
          <w:tcPr>
            <w:tcW w:w="916" w:type="dxa"/>
            <w:vMerge w:val="restart"/>
            <w:tcBorders>
              <w:top w:val="nil"/>
              <w:left w:val="nil"/>
              <w:right w:val="single" w:color="auto" w:sz="4" w:space="0"/>
            </w:tcBorders>
            <w:shd w:val="clear" w:color="auto" w:fill="auto"/>
            <w:vAlign w:val="center"/>
          </w:tcPr>
          <w:p w14:paraId="27DA69C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CT</w:t>
            </w:r>
          </w:p>
        </w:tc>
        <w:tc>
          <w:tcPr>
            <w:tcW w:w="1636" w:type="dxa"/>
            <w:tcBorders>
              <w:top w:val="nil"/>
              <w:left w:val="nil"/>
              <w:bottom w:val="single" w:color="auto" w:sz="4" w:space="0"/>
              <w:right w:val="single" w:color="auto" w:sz="4" w:space="0"/>
            </w:tcBorders>
            <w:shd w:val="clear" w:color="auto" w:fill="auto"/>
            <w:vAlign w:val="center"/>
          </w:tcPr>
          <w:p w14:paraId="0119EDB7">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CT平扫-胸部</w:t>
            </w:r>
          </w:p>
        </w:tc>
        <w:tc>
          <w:tcPr>
            <w:tcW w:w="1020" w:type="dxa"/>
            <w:tcBorders>
              <w:top w:val="nil"/>
              <w:left w:val="nil"/>
              <w:bottom w:val="single" w:color="auto" w:sz="4" w:space="0"/>
              <w:right w:val="single" w:color="auto" w:sz="4" w:space="0"/>
            </w:tcBorders>
            <w:shd w:val="clear" w:color="000000" w:fill="FFFFFF"/>
            <w:vAlign w:val="center"/>
          </w:tcPr>
          <w:p w14:paraId="5AC12BD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FBBD74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43FCED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EEEB91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740716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E4BCE3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1DF1BDB6">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19443BA6">
            <w:pPr>
              <w:widowControl/>
              <w:shd w:val="clear"/>
              <w:jc w:val="left"/>
              <w:rPr>
                <w:rFonts w:hint="eastAsia" w:ascii="宋体" w:hAnsi="宋体" w:cs="宋体"/>
                <w:b/>
                <w:bCs/>
                <w:kern w:val="0"/>
                <w:sz w:val="20"/>
                <w:highlight w:val="none"/>
              </w:rPr>
            </w:pPr>
          </w:p>
        </w:tc>
        <w:tc>
          <w:tcPr>
            <w:tcW w:w="916" w:type="dxa"/>
            <w:vMerge w:val="continue"/>
            <w:tcBorders>
              <w:left w:val="nil"/>
              <w:right w:val="single" w:color="auto" w:sz="4" w:space="0"/>
            </w:tcBorders>
            <w:shd w:val="clear" w:color="auto" w:fill="auto"/>
            <w:vAlign w:val="center"/>
          </w:tcPr>
          <w:p w14:paraId="69B10F84">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48AD2E58">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冠脉钙化积分评估</w:t>
            </w:r>
          </w:p>
        </w:tc>
        <w:tc>
          <w:tcPr>
            <w:tcW w:w="1020" w:type="dxa"/>
            <w:tcBorders>
              <w:top w:val="nil"/>
              <w:left w:val="nil"/>
              <w:bottom w:val="single" w:color="auto" w:sz="4" w:space="0"/>
              <w:right w:val="single" w:color="auto" w:sz="4" w:space="0"/>
            </w:tcBorders>
            <w:shd w:val="clear" w:color="000000" w:fill="FFFFFF"/>
            <w:vAlign w:val="center"/>
          </w:tcPr>
          <w:p w14:paraId="36D7B55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C53CBF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5C510B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41ED64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E0E6808">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9B9F4D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E11C3BF">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5E07A30A">
            <w:pPr>
              <w:widowControl/>
              <w:shd w:val="clear"/>
              <w:jc w:val="left"/>
              <w:rPr>
                <w:rFonts w:hint="eastAsia" w:ascii="宋体" w:hAnsi="宋体" w:cs="宋体"/>
                <w:b/>
                <w:bCs/>
                <w:kern w:val="0"/>
                <w:sz w:val="20"/>
                <w:highlight w:val="none"/>
              </w:rPr>
            </w:pPr>
          </w:p>
        </w:tc>
        <w:tc>
          <w:tcPr>
            <w:tcW w:w="916" w:type="dxa"/>
            <w:vMerge w:val="continue"/>
            <w:tcBorders>
              <w:left w:val="nil"/>
              <w:right w:val="single" w:color="auto" w:sz="4" w:space="0"/>
            </w:tcBorders>
            <w:shd w:val="clear" w:color="auto" w:fill="auto"/>
            <w:vAlign w:val="center"/>
          </w:tcPr>
          <w:p w14:paraId="6606B21D">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29EBE990">
            <w:pPr>
              <w:widowControl/>
              <w:shd w:val="clear"/>
              <w:jc w:val="left"/>
              <w:rPr>
                <w:rFonts w:hint="eastAsia" w:ascii="宋体" w:hAnsi="宋体" w:cs="宋体"/>
                <w:kern w:val="0"/>
                <w:sz w:val="20"/>
                <w:highlight w:val="none"/>
              </w:rPr>
            </w:pPr>
            <w:r>
              <w:rPr>
                <w:rFonts w:hint="eastAsia"/>
                <w:sz w:val="20"/>
                <w:szCs w:val="20"/>
                <w:highlight w:val="none"/>
              </w:rPr>
              <w:t>CT骨密度</w:t>
            </w:r>
          </w:p>
        </w:tc>
        <w:tc>
          <w:tcPr>
            <w:tcW w:w="1020" w:type="dxa"/>
            <w:tcBorders>
              <w:top w:val="nil"/>
              <w:left w:val="nil"/>
              <w:bottom w:val="single" w:color="auto" w:sz="4" w:space="0"/>
              <w:right w:val="single" w:color="auto" w:sz="4" w:space="0"/>
            </w:tcBorders>
            <w:shd w:val="clear" w:color="000000" w:fill="FFFFFF"/>
            <w:vAlign w:val="center"/>
          </w:tcPr>
          <w:p w14:paraId="5A6C09C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DC0410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38AAD2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A21EA0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21B796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30DA8C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C285DFB">
        <w:tblPrEx>
          <w:tblCellMar>
            <w:top w:w="0" w:type="dxa"/>
            <w:left w:w="108" w:type="dxa"/>
            <w:bottom w:w="0" w:type="dxa"/>
            <w:right w:w="108" w:type="dxa"/>
          </w:tblCellMar>
        </w:tblPrEx>
        <w:trPr>
          <w:trHeight w:val="499" w:hRule="atLeast"/>
        </w:trPr>
        <w:tc>
          <w:tcPr>
            <w:tcW w:w="704" w:type="dxa"/>
            <w:vMerge w:val="continue"/>
            <w:tcBorders>
              <w:top w:val="nil"/>
              <w:left w:val="single" w:color="auto" w:sz="4" w:space="0"/>
              <w:bottom w:val="single" w:color="auto" w:sz="4" w:space="0"/>
              <w:right w:val="single" w:color="auto" w:sz="4" w:space="0"/>
            </w:tcBorders>
            <w:shd w:val="clear" w:color="auto" w:fill="auto"/>
            <w:vAlign w:val="center"/>
          </w:tcPr>
          <w:p w14:paraId="4A8F5938">
            <w:pPr>
              <w:widowControl/>
              <w:shd w:val="clear"/>
              <w:jc w:val="left"/>
              <w:rPr>
                <w:rFonts w:hint="eastAsia" w:ascii="宋体" w:hAnsi="宋体" w:cs="宋体"/>
                <w:b/>
                <w:bCs/>
                <w:kern w:val="0"/>
                <w:sz w:val="20"/>
                <w:highlight w:val="none"/>
              </w:rPr>
            </w:pPr>
          </w:p>
        </w:tc>
        <w:tc>
          <w:tcPr>
            <w:tcW w:w="916" w:type="dxa"/>
            <w:vMerge w:val="continue"/>
            <w:tcBorders>
              <w:left w:val="nil"/>
              <w:bottom w:val="single" w:color="auto" w:sz="4" w:space="0"/>
              <w:right w:val="single" w:color="auto" w:sz="4" w:space="0"/>
            </w:tcBorders>
            <w:shd w:val="clear" w:color="auto" w:fill="auto"/>
            <w:vAlign w:val="center"/>
          </w:tcPr>
          <w:p w14:paraId="785E9A39">
            <w:pPr>
              <w:widowControl/>
              <w:shd w:val="clear"/>
              <w:jc w:val="left"/>
              <w:rPr>
                <w:rFonts w:hint="eastAsia" w:ascii="宋体" w:hAnsi="宋体" w:cs="宋体"/>
                <w:kern w:val="0"/>
                <w:sz w:val="20"/>
                <w:highlight w:val="none"/>
              </w:rPr>
            </w:pPr>
          </w:p>
        </w:tc>
        <w:tc>
          <w:tcPr>
            <w:tcW w:w="1636" w:type="dxa"/>
            <w:tcBorders>
              <w:top w:val="nil"/>
              <w:left w:val="nil"/>
              <w:bottom w:val="single" w:color="auto" w:sz="4" w:space="0"/>
              <w:right w:val="single" w:color="auto" w:sz="4" w:space="0"/>
            </w:tcBorders>
            <w:shd w:val="clear" w:color="auto" w:fill="auto"/>
            <w:vAlign w:val="center"/>
          </w:tcPr>
          <w:p w14:paraId="604F7796">
            <w:pPr>
              <w:widowControl/>
              <w:shd w:val="clear"/>
              <w:jc w:val="left"/>
              <w:rPr>
                <w:rFonts w:hint="eastAsia" w:ascii="宋体" w:hAnsi="宋体" w:cs="宋体"/>
                <w:kern w:val="0"/>
                <w:sz w:val="20"/>
                <w:highlight w:val="none"/>
              </w:rPr>
            </w:pPr>
            <w:r>
              <w:rPr>
                <w:rFonts w:hint="eastAsia"/>
                <w:sz w:val="20"/>
                <w:szCs w:val="20"/>
                <w:highlight w:val="none"/>
              </w:rPr>
              <w:t>CT平扫-头颅</w:t>
            </w:r>
          </w:p>
        </w:tc>
        <w:tc>
          <w:tcPr>
            <w:tcW w:w="1020" w:type="dxa"/>
            <w:tcBorders>
              <w:top w:val="nil"/>
              <w:left w:val="nil"/>
              <w:bottom w:val="single" w:color="auto" w:sz="4" w:space="0"/>
              <w:right w:val="single" w:color="auto" w:sz="4" w:space="0"/>
            </w:tcBorders>
            <w:shd w:val="clear" w:color="000000" w:fill="FFFFFF"/>
            <w:vAlign w:val="center"/>
          </w:tcPr>
          <w:p w14:paraId="63ABB17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CC5469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73175C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F7F4CB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1AF265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75F40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55E42067">
        <w:tblPrEx>
          <w:tblCellMar>
            <w:top w:w="0" w:type="dxa"/>
            <w:left w:w="108" w:type="dxa"/>
            <w:bottom w:w="0" w:type="dxa"/>
            <w:right w:w="108" w:type="dxa"/>
          </w:tblCellMar>
        </w:tblPrEx>
        <w:trPr>
          <w:trHeight w:val="499" w:hRule="atLeast"/>
        </w:trPr>
        <w:tc>
          <w:tcPr>
            <w:tcW w:w="704" w:type="dxa"/>
            <w:tcBorders>
              <w:top w:val="nil"/>
              <w:left w:val="single" w:color="auto" w:sz="4" w:space="0"/>
              <w:bottom w:val="single" w:color="auto" w:sz="4" w:space="0"/>
              <w:right w:val="single" w:color="auto" w:sz="4" w:space="0"/>
            </w:tcBorders>
            <w:shd w:val="clear" w:color="auto" w:fill="auto"/>
            <w:noWrap/>
            <w:vAlign w:val="center"/>
          </w:tcPr>
          <w:p w14:paraId="73AA2F50">
            <w:pPr>
              <w:widowControl/>
              <w:shd w:val="clear"/>
              <w:jc w:val="center"/>
              <w:rPr>
                <w:rFonts w:hint="eastAsia" w:ascii="宋体" w:hAnsi="宋体" w:cs="宋体"/>
                <w:b/>
                <w:bCs/>
                <w:kern w:val="0"/>
                <w:sz w:val="20"/>
                <w:highlight w:val="none"/>
              </w:rPr>
            </w:pPr>
            <w:r>
              <w:rPr>
                <w:rFonts w:hint="eastAsia"/>
                <w:b/>
                <w:bCs/>
                <w:color w:val="000000"/>
                <w:sz w:val="20"/>
                <w:szCs w:val="20"/>
                <w:highlight w:val="none"/>
              </w:rPr>
              <w:t>核磁共振</w:t>
            </w:r>
          </w:p>
        </w:tc>
        <w:tc>
          <w:tcPr>
            <w:tcW w:w="916" w:type="dxa"/>
            <w:tcBorders>
              <w:top w:val="nil"/>
              <w:left w:val="nil"/>
              <w:bottom w:val="single" w:color="auto" w:sz="4" w:space="0"/>
              <w:right w:val="single" w:color="auto" w:sz="4" w:space="0"/>
            </w:tcBorders>
            <w:shd w:val="clear" w:color="auto" w:fill="auto"/>
            <w:vAlign w:val="center"/>
          </w:tcPr>
          <w:p w14:paraId="62E5F4B0">
            <w:pPr>
              <w:widowControl/>
              <w:shd w:val="clear"/>
              <w:jc w:val="left"/>
              <w:rPr>
                <w:rFonts w:hint="eastAsia" w:ascii="宋体" w:hAnsi="宋体" w:cs="宋体"/>
                <w:kern w:val="0"/>
                <w:sz w:val="20"/>
                <w:highlight w:val="none"/>
              </w:rPr>
            </w:pPr>
            <w:r>
              <w:rPr>
                <w:rFonts w:hint="eastAsia"/>
                <w:sz w:val="20"/>
                <w:szCs w:val="20"/>
                <w:highlight w:val="none"/>
              </w:rPr>
              <w:t>MRI头颅核磁平扫</w:t>
            </w:r>
          </w:p>
        </w:tc>
        <w:tc>
          <w:tcPr>
            <w:tcW w:w="1636" w:type="dxa"/>
            <w:tcBorders>
              <w:top w:val="nil"/>
              <w:left w:val="nil"/>
              <w:bottom w:val="single" w:color="auto" w:sz="4" w:space="0"/>
              <w:right w:val="single" w:color="auto" w:sz="4" w:space="0"/>
            </w:tcBorders>
            <w:shd w:val="clear" w:color="auto" w:fill="auto"/>
            <w:vAlign w:val="center"/>
          </w:tcPr>
          <w:p w14:paraId="2AE9020B">
            <w:pPr>
              <w:widowControl/>
              <w:shd w:val="clear"/>
              <w:jc w:val="left"/>
              <w:rPr>
                <w:rFonts w:hint="eastAsia" w:ascii="宋体" w:hAnsi="宋体" w:cs="宋体"/>
                <w:kern w:val="0"/>
                <w:sz w:val="20"/>
                <w:highlight w:val="none"/>
              </w:rPr>
            </w:pPr>
            <w:r>
              <w:rPr>
                <w:rFonts w:hint="eastAsia"/>
                <w:sz w:val="20"/>
                <w:szCs w:val="20"/>
                <w:highlight w:val="none"/>
              </w:rPr>
              <w:t>磁共振平扫-头颅</w:t>
            </w:r>
          </w:p>
        </w:tc>
        <w:tc>
          <w:tcPr>
            <w:tcW w:w="1020" w:type="dxa"/>
            <w:tcBorders>
              <w:top w:val="nil"/>
              <w:left w:val="nil"/>
              <w:bottom w:val="single" w:color="auto" w:sz="4" w:space="0"/>
              <w:right w:val="single" w:color="auto" w:sz="4" w:space="0"/>
            </w:tcBorders>
            <w:shd w:val="clear" w:color="000000" w:fill="FFFFFF"/>
            <w:vAlign w:val="center"/>
          </w:tcPr>
          <w:p w14:paraId="48002E5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49FFCC3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549AA9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6239DC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F67E90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0638B4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25390592">
        <w:tblPrEx>
          <w:tblCellMar>
            <w:top w:w="0" w:type="dxa"/>
            <w:left w:w="108" w:type="dxa"/>
            <w:bottom w:w="0" w:type="dxa"/>
            <w:right w:w="108" w:type="dxa"/>
          </w:tblCellMar>
        </w:tblPrEx>
        <w:trPr>
          <w:trHeight w:val="499" w:hRule="atLeast"/>
        </w:trPr>
        <w:tc>
          <w:tcPr>
            <w:tcW w:w="704" w:type="dxa"/>
            <w:tcBorders>
              <w:top w:val="nil"/>
              <w:left w:val="single" w:color="auto" w:sz="4" w:space="0"/>
              <w:bottom w:val="single" w:color="auto" w:sz="4" w:space="0"/>
              <w:right w:val="single" w:color="auto" w:sz="4" w:space="0"/>
            </w:tcBorders>
            <w:shd w:val="clear" w:color="auto" w:fill="auto"/>
            <w:noWrap/>
            <w:vAlign w:val="center"/>
          </w:tcPr>
          <w:p w14:paraId="2BBBECEE">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早餐</w:t>
            </w:r>
          </w:p>
        </w:tc>
        <w:tc>
          <w:tcPr>
            <w:tcW w:w="916" w:type="dxa"/>
            <w:tcBorders>
              <w:top w:val="nil"/>
              <w:left w:val="nil"/>
              <w:bottom w:val="single" w:color="auto" w:sz="4" w:space="0"/>
              <w:right w:val="single" w:color="auto" w:sz="4" w:space="0"/>
            </w:tcBorders>
            <w:shd w:val="clear" w:color="auto" w:fill="auto"/>
            <w:vAlign w:val="center"/>
          </w:tcPr>
          <w:p w14:paraId="637D344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早餐</w:t>
            </w:r>
          </w:p>
        </w:tc>
        <w:tc>
          <w:tcPr>
            <w:tcW w:w="1636" w:type="dxa"/>
            <w:tcBorders>
              <w:top w:val="nil"/>
              <w:left w:val="nil"/>
              <w:bottom w:val="single" w:color="auto" w:sz="4" w:space="0"/>
              <w:right w:val="single" w:color="auto" w:sz="4" w:space="0"/>
            </w:tcBorders>
            <w:shd w:val="clear" w:color="auto" w:fill="auto"/>
            <w:vAlign w:val="center"/>
          </w:tcPr>
          <w:p w14:paraId="554CB056">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早餐</w:t>
            </w:r>
          </w:p>
        </w:tc>
        <w:tc>
          <w:tcPr>
            <w:tcW w:w="1020" w:type="dxa"/>
            <w:tcBorders>
              <w:top w:val="nil"/>
              <w:left w:val="nil"/>
              <w:bottom w:val="single" w:color="auto" w:sz="4" w:space="0"/>
              <w:right w:val="single" w:color="auto" w:sz="4" w:space="0"/>
            </w:tcBorders>
            <w:shd w:val="clear" w:color="000000" w:fill="FFFFFF"/>
            <w:vAlign w:val="center"/>
          </w:tcPr>
          <w:p w14:paraId="7A15B3D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DA084A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20E2D8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4F5374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E55C70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BC23A0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D87F0B9">
        <w:tblPrEx>
          <w:tblCellMar>
            <w:top w:w="0" w:type="dxa"/>
            <w:left w:w="108" w:type="dxa"/>
            <w:bottom w:w="0" w:type="dxa"/>
            <w:right w:w="108" w:type="dxa"/>
          </w:tblCellMar>
        </w:tblPrEx>
        <w:trPr>
          <w:trHeight w:val="499" w:hRule="atLeast"/>
        </w:trPr>
        <w:tc>
          <w:tcPr>
            <w:tcW w:w="704" w:type="dxa"/>
            <w:vMerge w:val="restart"/>
            <w:tcBorders>
              <w:top w:val="nil"/>
              <w:left w:val="single" w:color="auto" w:sz="4" w:space="0"/>
              <w:right w:val="single" w:color="auto" w:sz="4" w:space="0"/>
            </w:tcBorders>
            <w:shd w:val="clear" w:color="auto" w:fill="auto"/>
            <w:noWrap/>
            <w:vAlign w:val="center"/>
          </w:tcPr>
          <w:p w14:paraId="17978284">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交通</w:t>
            </w:r>
          </w:p>
        </w:tc>
        <w:tc>
          <w:tcPr>
            <w:tcW w:w="916" w:type="dxa"/>
            <w:tcBorders>
              <w:top w:val="nil"/>
              <w:left w:val="nil"/>
              <w:bottom w:val="single" w:color="auto" w:sz="4" w:space="0"/>
              <w:right w:val="single" w:color="auto" w:sz="4" w:space="0"/>
            </w:tcBorders>
            <w:shd w:val="clear" w:color="auto" w:fill="auto"/>
            <w:vAlign w:val="center"/>
          </w:tcPr>
          <w:p w14:paraId="2A76B894">
            <w:pPr>
              <w:widowControl/>
              <w:shd w:val="clear"/>
              <w:jc w:val="left"/>
              <w:rPr>
                <w:rFonts w:hint="eastAsia" w:ascii="宋体" w:hAnsi="宋体" w:cs="宋体"/>
                <w:kern w:val="0"/>
                <w:sz w:val="20"/>
                <w:highlight w:val="none"/>
              </w:rPr>
            </w:pPr>
            <w:r>
              <w:rPr>
                <w:rFonts w:hint="eastAsia"/>
                <w:sz w:val="20"/>
                <w:szCs w:val="20"/>
                <w:highlight w:val="none"/>
              </w:rPr>
              <w:t>大巴车接送</w:t>
            </w:r>
          </w:p>
        </w:tc>
        <w:tc>
          <w:tcPr>
            <w:tcW w:w="1636" w:type="dxa"/>
            <w:tcBorders>
              <w:top w:val="nil"/>
              <w:left w:val="nil"/>
              <w:bottom w:val="single" w:color="auto" w:sz="4" w:space="0"/>
              <w:right w:val="single" w:color="auto" w:sz="4" w:space="0"/>
            </w:tcBorders>
            <w:shd w:val="clear" w:color="auto" w:fill="auto"/>
            <w:vAlign w:val="center"/>
          </w:tcPr>
          <w:p w14:paraId="2793C934">
            <w:pPr>
              <w:widowControl/>
              <w:shd w:val="clear"/>
              <w:jc w:val="left"/>
              <w:rPr>
                <w:rFonts w:hint="eastAsia" w:ascii="宋体" w:hAnsi="宋体" w:cs="宋体"/>
                <w:kern w:val="0"/>
                <w:sz w:val="20"/>
                <w:highlight w:val="none"/>
              </w:rPr>
            </w:pPr>
            <w:r>
              <w:rPr>
                <w:rFonts w:hint="eastAsia"/>
                <w:sz w:val="20"/>
                <w:szCs w:val="20"/>
                <w:highlight w:val="none"/>
              </w:rPr>
              <w:t>免费提供集中体检的大巴车接送服务。</w:t>
            </w:r>
          </w:p>
        </w:tc>
        <w:tc>
          <w:tcPr>
            <w:tcW w:w="1020" w:type="dxa"/>
            <w:tcBorders>
              <w:top w:val="nil"/>
              <w:left w:val="nil"/>
              <w:bottom w:val="single" w:color="auto" w:sz="4" w:space="0"/>
              <w:right w:val="single" w:color="auto" w:sz="4" w:space="0"/>
            </w:tcBorders>
            <w:shd w:val="clear" w:color="000000" w:fill="FFFFFF"/>
            <w:vAlign w:val="center"/>
          </w:tcPr>
          <w:p w14:paraId="6B9A95A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46BDF4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961052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A0F6DA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CEE7A42">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23D500A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318B85F4">
        <w:tblPrEx>
          <w:tblCellMar>
            <w:top w:w="0" w:type="dxa"/>
            <w:left w:w="108" w:type="dxa"/>
            <w:bottom w:w="0" w:type="dxa"/>
            <w:right w:w="108" w:type="dxa"/>
          </w:tblCellMar>
        </w:tblPrEx>
        <w:trPr>
          <w:trHeight w:val="499" w:hRule="atLeast"/>
        </w:trPr>
        <w:tc>
          <w:tcPr>
            <w:tcW w:w="704" w:type="dxa"/>
            <w:vMerge w:val="continue"/>
            <w:tcBorders>
              <w:left w:val="single" w:color="auto" w:sz="4" w:space="0"/>
              <w:bottom w:val="single" w:color="auto" w:sz="4" w:space="0"/>
              <w:right w:val="single" w:color="auto" w:sz="4" w:space="0"/>
            </w:tcBorders>
            <w:shd w:val="clear" w:color="auto" w:fill="auto"/>
            <w:noWrap/>
            <w:vAlign w:val="center"/>
          </w:tcPr>
          <w:p w14:paraId="232AB70F">
            <w:pPr>
              <w:widowControl/>
              <w:shd w:val="clear"/>
              <w:jc w:val="center"/>
              <w:rPr>
                <w:rFonts w:hint="eastAsia" w:ascii="宋体" w:hAnsi="宋体" w:cs="宋体"/>
                <w:b/>
                <w:bCs/>
                <w:kern w:val="0"/>
                <w:sz w:val="20"/>
                <w:highlight w:val="none"/>
              </w:rPr>
            </w:pPr>
          </w:p>
        </w:tc>
        <w:tc>
          <w:tcPr>
            <w:tcW w:w="916" w:type="dxa"/>
            <w:tcBorders>
              <w:top w:val="nil"/>
              <w:left w:val="nil"/>
              <w:bottom w:val="single" w:color="auto" w:sz="4" w:space="0"/>
              <w:right w:val="single" w:color="auto" w:sz="4" w:space="0"/>
            </w:tcBorders>
            <w:shd w:val="clear" w:color="auto" w:fill="auto"/>
            <w:vAlign w:val="center"/>
          </w:tcPr>
          <w:p w14:paraId="38BD89B9">
            <w:pPr>
              <w:widowControl/>
              <w:shd w:val="clear"/>
              <w:jc w:val="left"/>
              <w:rPr>
                <w:rFonts w:hint="eastAsia" w:ascii="宋体" w:hAnsi="宋体" w:cs="宋体"/>
                <w:kern w:val="0"/>
                <w:sz w:val="20"/>
                <w:highlight w:val="none"/>
              </w:rPr>
            </w:pPr>
            <w:r>
              <w:rPr>
                <w:rFonts w:hint="eastAsia"/>
                <w:sz w:val="20"/>
                <w:szCs w:val="20"/>
                <w:highlight w:val="none"/>
              </w:rPr>
              <w:t>停车</w:t>
            </w:r>
          </w:p>
        </w:tc>
        <w:tc>
          <w:tcPr>
            <w:tcW w:w="1636" w:type="dxa"/>
            <w:tcBorders>
              <w:top w:val="nil"/>
              <w:left w:val="nil"/>
              <w:bottom w:val="single" w:color="auto" w:sz="4" w:space="0"/>
              <w:right w:val="single" w:color="auto" w:sz="4" w:space="0"/>
            </w:tcBorders>
            <w:shd w:val="clear" w:color="auto" w:fill="auto"/>
            <w:vAlign w:val="center"/>
          </w:tcPr>
          <w:p w14:paraId="5A595ECA">
            <w:pPr>
              <w:widowControl/>
              <w:shd w:val="clear"/>
              <w:jc w:val="left"/>
              <w:rPr>
                <w:rFonts w:hint="eastAsia" w:ascii="宋体" w:hAnsi="宋体" w:cs="宋体"/>
                <w:kern w:val="0"/>
                <w:sz w:val="20"/>
                <w:highlight w:val="none"/>
              </w:rPr>
            </w:pPr>
            <w:r>
              <w:rPr>
                <w:rFonts w:hint="eastAsia"/>
                <w:sz w:val="20"/>
                <w:szCs w:val="20"/>
                <w:highlight w:val="none"/>
              </w:rPr>
              <w:t>面向所有参检人员（包括员工和家属）均提供免费停车服务，如有多家门店，所有门店均应提供此项服务。</w:t>
            </w:r>
          </w:p>
        </w:tc>
        <w:tc>
          <w:tcPr>
            <w:tcW w:w="1020" w:type="dxa"/>
            <w:tcBorders>
              <w:top w:val="nil"/>
              <w:left w:val="nil"/>
              <w:bottom w:val="single" w:color="auto" w:sz="4" w:space="0"/>
              <w:right w:val="single" w:color="auto" w:sz="4" w:space="0"/>
            </w:tcBorders>
            <w:shd w:val="clear" w:color="000000" w:fill="FFFFFF"/>
            <w:vAlign w:val="center"/>
          </w:tcPr>
          <w:p w14:paraId="31964A6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DB0C474">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316D861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1BDBBD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6DC8D6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62AC31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r>
      <w:tr w14:paraId="4228DF25">
        <w:tblPrEx>
          <w:tblCellMar>
            <w:top w:w="0" w:type="dxa"/>
            <w:left w:w="108" w:type="dxa"/>
            <w:bottom w:w="0" w:type="dxa"/>
            <w:right w:w="108" w:type="dxa"/>
          </w:tblCellMar>
        </w:tblPrEx>
        <w:trPr>
          <w:trHeight w:val="499" w:hRule="atLeast"/>
        </w:trPr>
        <w:tc>
          <w:tcPr>
            <w:tcW w:w="3256" w:type="dxa"/>
            <w:gridSpan w:val="3"/>
            <w:tcBorders>
              <w:top w:val="single" w:color="auto" w:sz="4" w:space="0"/>
              <w:left w:val="single" w:color="auto" w:sz="4" w:space="0"/>
              <w:bottom w:val="single" w:color="auto" w:sz="4" w:space="0"/>
              <w:right w:val="nil"/>
            </w:tcBorders>
            <w:shd w:val="clear" w:color="000000" w:fill="F8CBAD"/>
            <w:noWrap/>
            <w:vAlign w:val="center"/>
          </w:tcPr>
          <w:p w14:paraId="509E9C62">
            <w:pPr>
              <w:widowControl/>
              <w:shd w:val="clear"/>
              <w:jc w:val="center"/>
              <w:rPr>
                <w:rFonts w:hint="eastAsia" w:ascii="宋体" w:hAnsi="宋体" w:cs="宋体"/>
                <w:b/>
                <w:bCs/>
                <w:kern w:val="0"/>
                <w:sz w:val="20"/>
                <w:highlight w:val="none"/>
              </w:rPr>
            </w:pPr>
            <w:r>
              <w:rPr>
                <w:rFonts w:hint="eastAsia" w:ascii="宋体" w:hAnsi="宋体" w:cs="宋体"/>
                <w:b/>
                <w:bCs/>
                <w:kern w:val="0"/>
                <w:sz w:val="20"/>
                <w:highlight w:val="none"/>
              </w:rPr>
              <w:t>预估人数</w:t>
            </w:r>
          </w:p>
        </w:tc>
        <w:tc>
          <w:tcPr>
            <w:tcW w:w="1020" w:type="dxa"/>
            <w:tcBorders>
              <w:top w:val="nil"/>
              <w:left w:val="single" w:color="auto" w:sz="4" w:space="0"/>
              <w:bottom w:val="single" w:color="auto" w:sz="4" w:space="0"/>
              <w:right w:val="single" w:color="auto" w:sz="4" w:space="0"/>
            </w:tcBorders>
            <w:shd w:val="clear" w:color="000000" w:fill="F8CBAD"/>
            <w:noWrap/>
            <w:vAlign w:val="center"/>
          </w:tcPr>
          <w:p w14:paraId="6FE24506">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158</w:t>
            </w:r>
          </w:p>
        </w:tc>
        <w:tc>
          <w:tcPr>
            <w:tcW w:w="1020" w:type="dxa"/>
            <w:tcBorders>
              <w:top w:val="nil"/>
              <w:left w:val="nil"/>
              <w:bottom w:val="single" w:color="auto" w:sz="4" w:space="0"/>
              <w:right w:val="single" w:color="auto" w:sz="4" w:space="0"/>
            </w:tcBorders>
            <w:shd w:val="clear" w:color="000000" w:fill="F8CBAD"/>
            <w:noWrap/>
            <w:vAlign w:val="center"/>
          </w:tcPr>
          <w:p w14:paraId="567EE6D2">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41</w:t>
            </w:r>
          </w:p>
        </w:tc>
        <w:tc>
          <w:tcPr>
            <w:tcW w:w="1021" w:type="dxa"/>
            <w:tcBorders>
              <w:top w:val="nil"/>
              <w:left w:val="nil"/>
              <w:bottom w:val="single" w:color="auto" w:sz="4" w:space="0"/>
              <w:right w:val="single" w:color="auto" w:sz="4" w:space="0"/>
            </w:tcBorders>
            <w:shd w:val="clear" w:color="000000" w:fill="F8CBAD"/>
            <w:noWrap/>
            <w:vAlign w:val="center"/>
          </w:tcPr>
          <w:p w14:paraId="5D69F901">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77</w:t>
            </w:r>
          </w:p>
        </w:tc>
        <w:tc>
          <w:tcPr>
            <w:tcW w:w="1020" w:type="dxa"/>
            <w:tcBorders>
              <w:top w:val="nil"/>
              <w:left w:val="nil"/>
              <w:bottom w:val="single" w:color="auto" w:sz="4" w:space="0"/>
              <w:right w:val="single" w:color="auto" w:sz="4" w:space="0"/>
            </w:tcBorders>
            <w:shd w:val="clear" w:color="000000" w:fill="F8CBAD"/>
            <w:noWrap/>
            <w:vAlign w:val="center"/>
          </w:tcPr>
          <w:p w14:paraId="458278B9">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70</w:t>
            </w:r>
          </w:p>
        </w:tc>
        <w:tc>
          <w:tcPr>
            <w:tcW w:w="1021" w:type="dxa"/>
            <w:tcBorders>
              <w:top w:val="nil"/>
              <w:left w:val="nil"/>
              <w:bottom w:val="single" w:color="auto" w:sz="4" w:space="0"/>
              <w:right w:val="single" w:color="auto" w:sz="4" w:space="0"/>
            </w:tcBorders>
            <w:shd w:val="clear" w:color="000000" w:fill="F8CBAD"/>
            <w:noWrap/>
            <w:vAlign w:val="center"/>
          </w:tcPr>
          <w:p w14:paraId="395E377C">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2</w:t>
            </w:r>
          </w:p>
        </w:tc>
        <w:tc>
          <w:tcPr>
            <w:tcW w:w="1021" w:type="dxa"/>
            <w:tcBorders>
              <w:top w:val="nil"/>
              <w:left w:val="nil"/>
              <w:bottom w:val="single" w:color="auto" w:sz="4" w:space="0"/>
              <w:right w:val="single" w:color="auto" w:sz="4" w:space="0"/>
            </w:tcBorders>
            <w:shd w:val="clear" w:color="000000" w:fill="F8CBAD"/>
            <w:vAlign w:val="center"/>
          </w:tcPr>
          <w:p w14:paraId="6E836790">
            <w:pPr>
              <w:widowControl/>
              <w:shd w:val="clear"/>
              <w:jc w:val="center"/>
              <w:rPr>
                <w:rFonts w:hint="eastAsia" w:ascii="宋体" w:hAnsi="宋体" w:cs="宋体"/>
                <w:b/>
                <w:bCs/>
                <w:kern w:val="0"/>
                <w:sz w:val="20"/>
                <w:highlight w:val="none"/>
              </w:rPr>
            </w:pPr>
            <w:r>
              <w:rPr>
                <w:rFonts w:hint="eastAsia" w:ascii="宋体" w:hAnsi="宋体"/>
                <w:b/>
                <w:bCs/>
                <w:sz w:val="20"/>
                <w:szCs w:val="20"/>
                <w:highlight w:val="none"/>
              </w:rPr>
              <w:t>37</w:t>
            </w:r>
          </w:p>
        </w:tc>
      </w:tr>
    </w:tbl>
    <w:p w14:paraId="35057492">
      <w:pPr>
        <w:shd w:val="clear"/>
        <w:spacing w:line="360" w:lineRule="auto"/>
        <w:jc w:val="center"/>
        <w:outlineLvl w:val="1"/>
        <w:rPr>
          <w:rFonts w:ascii="Times New Roman" w:hAnsi="Times New Roman"/>
          <w:b/>
          <w:sz w:val="28"/>
          <w:highlight w:val="none"/>
        </w:rPr>
      </w:pPr>
    </w:p>
    <w:p w14:paraId="2D55CE9F">
      <w:pPr>
        <w:shd w:val="clear"/>
        <w:jc w:val="left"/>
        <w:rPr>
          <w:rFonts w:ascii="Times New Roman" w:hAnsi="Times New Roman"/>
          <w:b/>
          <w:sz w:val="24"/>
          <w:szCs w:val="18"/>
          <w:highlight w:val="none"/>
        </w:rPr>
      </w:pPr>
      <w:r>
        <w:rPr>
          <w:rFonts w:hint="eastAsia" w:ascii="Times New Roman" w:hAnsi="Times New Roman"/>
          <w:b/>
          <w:sz w:val="24"/>
          <w:szCs w:val="18"/>
          <w:highlight w:val="none"/>
        </w:rPr>
        <w:t>附件2：选检备选项目</w:t>
      </w:r>
    </w:p>
    <w:tbl>
      <w:tblPr>
        <w:tblStyle w:val="27"/>
        <w:tblW w:w="9679" w:type="dxa"/>
        <w:tblInd w:w="113" w:type="dxa"/>
        <w:tblLayout w:type="autofit"/>
        <w:tblCellMar>
          <w:top w:w="0" w:type="dxa"/>
          <w:left w:w="108" w:type="dxa"/>
          <w:bottom w:w="0" w:type="dxa"/>
          <w:right w:w="108" w:type="dxa"/>
        </w:tblCellMar>
      </w:tblPr>
      <w:tblGrid>
        <w:gridCol w:w="1020"/>
        <w:gridCol w:w="1020"/>
        <w:gridCol w:w="1516"/>
        <w:gridCol w:w="1020"/>
        <w:gridCol w:w="1020"/>
        <w:gridCol w:w="1021"/>
        <w:gridCol w:w="1020"/>
        <w:gridCol w:w="1021"/>
        <w:gridCol w:w="1021"/>
      </w:tblGrid>
      <w:tr w14:paraId="209ABAC7">
        <w:tblPrEx>
          <w:tblCellMar>
            <w:top w:w="0" w:type="dxa"/>
            <w:left w:w="108" w:type="dxa"/>
            <w:bottom w:w="0" w:type="dxa"/>
            <w:right w:w="108" w:type="dxa"/>
          </w:tblCellMar>
        </w:tblPrEx>
        <w:trPr>
          <w:trHeight w:val="499" w:hRule="atLeast"/>
        </w:trPr>
        <w:tc>
          <w:tcPr>
            <w:tcW w:w="102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4FE46B79">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可选检查</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FBE644">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项目类型</w:t>
            </w:r>
          </w:p>
        </w:tc>
        <w:tc>
          <w:tcPr>
            <w:tcW w:w="151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2BD61FF">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项目明细</w:t>
            </w:r>
          </w:p>
        </w:tc>
        <w:tc>
          <w:tcPr>
            <w:tcW w:w="3061" w:type="dxa"/>
            <w:gridSpan w:val="3"/>
            <w:tcBorders>
              <w:top w:val="single" w:color="auto" w:sz="4" w:space="0"/>
              <w:left w:val="nil"/>
              <w:bottom w:val="single" w:color="auto" w:sz="4" w:space="0"/>
              <w:right w:val="single" w:color="auto" w:sz="4" w:space="0"/>
            </w:tcBorders>
            <w:shd w:val="clear" w:color="000000" w:fill="C6E0B4"/>
            <w:noWrap/>
            <w:vAlign w:val="center"/>
          </w:tcPr>
          <w:p w14:paraId="76653C50">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40岁（不含）以下</w:t>
            </w:r>
          </w:p>
        </w:tc>
        <w:tc>
          <w:tcPr>
            <w:tcW w:w="3062" w:type="dxa"/>
            <w:gridSpan w:val="3"/>
            <w:tcBorders>
              <w:top w:val="single" w:color="auto" w:sz="4" w:space="0"/>
              <w:left w:val="nil"/>
              <w:bottom w:val="single" w:color="auto" w:sz="4" w:space="0"/>
              <w:right w:val="single" w:color="auto" w:sz="4" w:space="0"/>
            </w:tcBorders>
            <w:shd w:val="clear" w:color="000000" w:fill="FFE699"/>
            <w:noWrap/>
            <w:vAlign w:val="center"/>
          </w:tcPr>
          <w:p w14:paraId="24C7D09C">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40岁（含）以上</w:t>
            </w:r>
          </w:p>
        </w:tc>
      </w:tr>
      <w:tr w14:paraId="36B71471">
        <w:tblPrEx>
          <w:tblCellMar>
            <w:top w:w="0" w:type="dxa"/>
            <w:left w:w="108" w:type="dxa"/>
            <w:bottom w:w="0" w:type="dxa"/>
            <w:right w:w="108" w:type="dxa"/>
          </w:tblCellMar>
        </w:tblPrEx>
        <w:trPr>
          <w:trHeight w:val="499" w:hRule="atLeast"/>
        </w:trPr>
        <w:tc>
          <w:tcPr>
            <w:tcW w:w="1020"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14:paraId="6AFC306B">
            <w:pPr>
              <w:widowControl/>
              <w:shd w:val="clear"/>
              <w:jc w:val="left"/>
              <w:rPr>
                <w:rFonts w:hint="eastAsia" w:ascii="宋体" w:hAnsi="宋体" w:cs="宋体"/>
                <w:b/>
                <w:bCs/>
                <w:color w:val="000000"/>
                <w:kern w:val="0"/>
                <w:sz w:val="20"/>
                <w:highlight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DA67B0">
            <w:pPr>
              <w:widowControl/>
              <w:shd w:val="clear"/>
              <w:jc w:val="left"/>
              <w:rPr>
                <w:rFonts w:hint="eastAsia" w:ascii="宋体" w:hAnsi="宋体" w:cs="宋体"/>
                <w:b/>
                <w:bCs/>
                <w:color w:val="000000"/>
                <w:kern w:val="0"/>
                <w:sz w:val="20"/>
                <w:highlight w:val="none"/>
              </w:rPr>
            </w:pPr>
          </w:p>
        </w:tc>
        <w:tc>
          <w:tcPr>
            <w:tcW w:w="1516"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14:paraId="40C8BDA7">
            <w:pPr>
              <w:widowControl/>
              <w:shd w:val="clear"/>
              <w:jc w:val="left"/>
              <w:rPr>
                <w:rFonts w:hint="eastAsia" w:ascii="宋体" w:hAnsi="宋体" w:cs="宋体"/>
                <w:b/>
                <w:bCs/>
                <w:color w:val="000000"/>
                <w:kern w:val="0"/>
                <w:sz w:val="20"/>
                <w:highlight w:val="none"/>
              </w:rPr>
            </w:pPr>
          </w:p>
        </w:tc>
        <w:tc>
          <w:tcPr>
            <w:tcW w:w="1020" w:type="dxa"/>
            <w:tcBorders>
              <w:top w:val="nil"/>
              <w:left w:val="nil"/>
              <w:bottom w:val="single" w:color="auto" w:sz="4" w:space="0"/>
              <w:right w:val="single" w:color="auto" w:sz="4" w:space="0"/>
            </w:tcBorders>
            <w:shd w:val="clear" w:color="000000" w:fill="C6E0B4"/>
            <w:noWrap/>
            <w:vAlign w:val="center"/>
          </w:tcPr>
          <w:p w14:paraId="70208D07">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男</w:t>
            </w:r>
          </w:p>
        </w:tc>
        <w:tc>
          <w:tcPr>
            <w:tcW w:w="1020" w:type="dxa"/>
            <w:tcBorders>
              <w:top w:val="nil"/>
              <w:left w:val="nil"/>
              <w:bottom w:val="single" w:color="auto" w:sz="4" w:space="0"/>
              <w:right w:val="single" w:color="auto" w:sz="4" w:space="0"/>
            </w:tcBorders>
            <w:shd w:val="clear" w:color="000000" w:fill="C6E0B4"/>
            <w:noWrap/>
            <w:vAlign w:val="center"/>
          </w:tcPr>
          <w:p w14:paraId="2BCF2BD2">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女未婚</w:t>
            </w:r>
          </w:p>
        </w:tc>
        <w:tc>
          <w:tcPr>
            <w:tcW w:w="1021" w:type="dxa"/>
            <w:tcBorders>
              <w:top w:val="nil"/>
              <w:left w:val="nil"/>
              <w:bottom w:val="single" w:color="auto" w:sz="4" w:space="0"/>
              <w:right w:val="single" w:color="auto" w:sz="4" w:space="0"/>
            </w:tcBorders>
            <w:shd w:val="clear" w:color="000000" w:fill="C6E0B4"/>
            <w:noWrap/>
            <w:vAlign w:val="center"/>
          </w:tcPr>
          <w:p w14:paraId="45D0EEE1">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女已婚</w:t>
            </w:r>
          </w:p>
        </w:tc>
        <w:tc>
          <w:tcPr>
            <w:tcW w:w="1020" w:type="dxa"/>
            <w:tcBorders>
              <w:top w:val="nil"/>
              <w:left w:val="nil"/>
              <w:bottom w:val="single" w:color="auto" w:sz="4" w:space="0"/>
              <w:right w:val="single" w:color="auto" w:sz="4" w:space="0"/>
            </w:tcBorders>
            <w:shd w:val="clear" w:color="000000" w:fill="FFE699"/>
            <w:noWrap/>
            <w:vAlign w:val="center"/>
          </w:tcPr>
          <w:p w14:paraId="7B691489">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男</w:t>
            </w:r>
          </w:p>
        </w:tc>
        <w:tc>
          <w:tcPr>
            <w:tcW w:w="1021" w:type="dxa"/>
            <w:tcBorders>
              <w:top w:val="nil"/>
              <w:left w:val="nil"/>
              <w:bottom w:val="single" w:color="auto" w:sz="4" w:space="0"/>
              <w:right w:val="single" w:color="auto" w:sz="4" w:space="0"/>
            </w:tcBorders>
            <w:shd w:val="clear" w:color="000000" w:fill="FFE699"/>
            <w:noWrap/>
            <w:vAlign w:val="center"/>
          </w:tcPr>
          <w:p w14:paraId="0945D411">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女未婚</w:t>
            </w:r>
          </w:p>
        </w:tc>
        <w:tc>
          <w:tcPr>
            <w:tcW w:w="1021" w:type="dxa"/>
            <w:tcBorders>
              <w:top w:val="nil"/>
              <w:left w:val="nil"/>
              <w:bottom w:val="single" w:color="auto" w:sz="4" w:space="0"/>
              <w:right w:val="single" w:color="auto" w:sz="4" w:space="0"/>
            </w:tcBorders>
            <w:shd w:val="clear" w:color="000000" w:fill="FFE699"/>
            <w:vAlign w:val="center"/>
          </w:tcPr>
          <w:p w14:paraId="56E5533C">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女已婚</w:t>
            </w:r>
          </w:p>
        </w:tc>
      </w:tr>
      <w:tr w14:paraId="468CA17B">
        <w:tblPrEx>
          <w:tblCellMar>
            <w:top w:w="0" w:type="dxa"/>
            <w:left w:w="108" w:type="dxa"/>
            <w:bottom w:w="0" w:type="dxa"/>
            <w:right w:w="108" w:type="dxa"/>
          </w:tblCellMar>
        </w:tblPrEx>
        <w:trPr>
          <w:trHeight w:val="499" w:hRule="atLeast"/>
        </w:trPr>
        <w:tc>
          <w:tcPr>
            <w:tcW w:w="1020" w:type="dxa"/>
            <w:tcBorders>
              <w:top w:val="nil"/>
              <w:left w:val="single" w:color="auto" w:sz="4" w:space="0"/>
              <w:bottom w:val="single" w:color="000000" w:sz="4" w:space="0"/>
              <w:right w:val="single" w:color="auto" w:sz="4" w:space="0"/>
            </w:tcBorders>
            <w:shd w:val="clear" w:color="auto" w:fill="auto"/>
            <w:noWrap/>
            <w:vAlign w:val="center"/>
          </w:tcPr>
          <w:p w14:paraId="2897FF41">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骨质</w:t>
            </w:r>
          </w:p>
        </w:tc>
        <w:tc>
          <w:tcPr>
            <w:tcW w:w="1020" w:type="dxa"/>
            <w:tcBorders>
              <w:top w:val="nil"/>
              <w:left w:val="nil"/>
              <w:bottom w:val="single" w:color="auto" w:sz="4" w:space="0"/>
              <w:right w:val="single" w:color="auto" w:sz="4" w:space="0"/>
            </w:tcBorders>
            <w:shd w:val="clear" w:color="auto" w:fill="auto"/>
            <w:vAlign w:val="center"/>
          </w:tcPr>
          <w:p w14:paraId="6A283009">
            <w:pPr>
              <w:widowControl/>
              <w:shd w:val="clear"/>
              <w:jc w:val="left"/>
              <w:rPr>
                <w:rFonts w:hint="eastAsia" w:ascii="宋体" w:hAnsi="宋体" w:cs="宋体"/>
                <w:color w:val="000000"/>
                <w:kern w:val="0"/>
                <w:sz w:val="20"/>
                <w:highlight w:val="none"/>
              </w:rPr>
            </w:pPr>
            <w:r>
              <w:rPr>
                <w:rFonts w:hint="eastAsia" w:ascii="宋体" w:hAnsi="宋体" w:cs="宋体"/>
                <w:color w:val="000000"/>
                <w:kern w:val="0"/>
                <w:sz w:val="20"/>
                <w:highlight w:val="none"/>
              </w:rPr>
              <w:t>25羟维生素D</w:t>
            </w:r>
          </w:p>
        </w:tc>
        <w:tc>
          <w:tcPr>
            <w:tcW w:w="1516" w:type="dxa"/>
            <w:tcBorders>
              <w:top w:val="nil"/>
              <w:left w:val="nil"/>
              <w:bottom w:val="single" w:color="auto" w:sz="4" w:space="0"/>
              <w:right w:val="single" w:color="auto" w:sz="4" w:space="0"/>
            </w:tcBorders>
            <w:shd w:val="clear" w:color="auto" w:fill="auto"/>
            <w:vAlign w:val="center"/>
          </w:tcPr>
          <w:p w14:paraId="22C7B7CA">
            <w:pPr>
              <w:widowControl/>
              <w:shd w:val="clear"/>
              <w:jc w:val="left"/>
              <w:rPr>
                <w:rFonts w:hint="eastAsia" w:ascii="宋体" w:hAnsi="宋体" w:cs="宋体"/>
                <w:color w:val="000000"/>
                <w:kern w:val="0"/>
                <w:sz w:val="20"/>
                <w:highlight w:val="none"/>
              </w:rPr>
            </w:pPr>
            <w:r>
              <w:rPr>
                <w:rFonts w:hint="eastAsia" w:ascii="宋体" w:hAnsi="宋体" w:cs="宋体"/>
                <w:color w:val="000000"/>
                <w:kern w:val="0"/>
                <w:sz w:val="20"/>
                <w:highlight w:val="none"/>
              </w:rPr>
              <w:t>25羟维生素D</w:t>
            </w:r>
          </w:p>
        </w:tc>
        <w:tc>
          <w:tcPr>
            <w:tcW w:w="1020" w:type="dxa"/>
            <w:tcBorders>
              <w:top w:val="nil"/>
              <w:left w:val="nil"/>
              <w:bottom w:val="single" w:color="auto" w:sz="4" w:space="0"/>
              <w:right w:val="single" w:color="auto" w:sz="4" w:space="0"/>
            </w:tcBorders>
            <w:shd w:val="clear" w:color="000000" w:fill="FFFFFF"/>
            <w:vAlign w:val="center"/>
          </w:tcPr>
          <w:p w14:paraId="62E29726">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9CD73AF">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9DBC31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ED8EE67">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333EA81B">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05C3E09D">
            <w:pPr>
              <w:widowControl/>
              <w:shd w:val="clear"/>
              <w:jc w:val="center"/>
              <w:rPr>
                <w:rFonts w:hint="eastAsia" w:ascii="宋体" w:hAnsi="宋体" w:cs="宋体"/>
                <w:kern w:val="0"/>
                <w:sz w:val="20"/>
                <w:highlight w:val="none"/>
              </w:rPr>
            </w:pPr>
          </w:p>
        </w:tc>
      </w:tr>
      <w:tr w14:paraId="5E7D194B">
        <w:tblPrEx>
          <w:tblCellMar>
            <w:top w:w="0" w:type="dxa"/>
            <w:left w:w="108" w:type="dxa"/>
            <w:bottom w:w="0" w:type="dxa"/>
            <w:right w:w="108" w:type="dxa"/>
          </w:tblCellMar>
        </w:tblPrEx>
        <w:trPr>
          <w:trHeight w:val="499" w:hRule="atLeast"/>
        </w:trPr>
        <w:tc>
          <w:tcPr>
            <w:tcW w:w="1020" w:type="dxa"/>
            <w:vMerge w:val="restart"/>
            <w:tcBorders>
              <w:top w:val="nil"/>
              <w:left w:val="single" w:color="auto" w:sz="4" w:space="0"/>
              <w:bottom w:val="single" w:color="000000" w:sz="4" w:space="0"/>
              <w:right w:val="single" w:color="auto" w:sz="4" w:space="0"/>
            </w:tcBorders>
            <w:shd w:val="clear" w:color="auto" w:fill="auto"/>
            <w:noWrap/>
            <w:vAlign w:val="center"/>
          </w:tcPr>
          <w:p w14:paraId="1C1BB93D">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心血管</w:t>
            </w:r>
          </w:p>
        </w:tc>
        <w:tc>
          <w:tcPr>
            <w:tcW w:w="1020" w:type="dxa"/>
            <w:tcBorders>
              <w:top w:val="nil"/>
              <w:left w:val="nil"/>
              <w:bottom w:val="single" w:color="auto" w:sz="4" w:space="0"/>
              <w:right w:val="single" w:color="auto" w:sz="4" w:space="0"/>
            </w:tcBorders>
            <w:shd w:val="clear" w:color="auto" w:fill="auto"/>
            <w:vAlign w:val="center"/>
          </w:tcPr>
          <w:p w14:paraId="6E9E0C8F">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血流变</w:t>
            </w:r>
          </w:p>
        </w:tc>
        <w:tc>
          <w:tcPr>
            <w:tcW w:w="1516" w:type="dxa"/>
            <w:tcBorders>
              <w:top w:val="nil"/>
              <w:left w:val="nil"/>
              <w:bottom w:val="single" w:color="auto" w:sz="4" w:space="0"/>
              <w:right w:val="single" w:color="auto" w:sz="4" w:space="0"/>
            </w:tcBorders>
            <w:shd w:val="clear" w:color="auto" w:fill="auto"/>
            <w:vAlign w:val="center"/>
          </w:tcPr>
          <w:p w14:paraId="4054BB0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血流变15项</w:t>
            </w:r>
          </w:p>
        </w:tc>
        <w:tc>
          <w:tcPr>
            <w:tcW w:w="1020" w:type="dxa"/>
            <w:tcBorders>
              <w:top w:val="nil"/>
              <w:left w:val="nil"/>
              <w:bottom w:val="single" w:color="auto" w:sz="4" w:space="0"/>
              <w:right w:val="single" w:color="auto" w:sz="4" w:space="0"/>
            </w:tcBorders>
            <w:shd w:val="clear" w:color="000000" w:fill="FFFFFF"/>
            <w:vAlign w:val="center"/>
          </w:tcPr>
          <w:p w14:paraId="0D97660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4326275">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1BF7C74C">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0BA56935">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63C1CB60">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1CA419C3">
            <w:pPr>
              <w:widowControl/>
              <w:shd w:val="clear"/>
              <w:jc w:val="center"/>
              <w:rPr>
                <w:rFonts w:hint="eastAsia" w:ascii="宋体" w:hAnsi="宋体" w:cs="宋体"/>
                <w:kern w:val="0"/>
                <w:sz w:val="20"/>
                <w:highlight w:val="none"/>
              </w:rPr>
            </w:pPr>
          </w:p>
        </w:tc>
      </w:tr>
      <w:tr w14:paraId="450017AE">
        <w:tblPrEx>
          <w:tblCellMar>
            <w:top w:w="0" w:type="dxa"/>
            <w:left w:w="108" w:type="dxa"/>
            <w:bottom w:w="0" w:type="dxa"/>
            <w:right w:w="108" w:type="dxa"/>
          </w:tblCellMar>
        </w:tblPrEx>
        <w:trPr>
          <w:trHeight w:val="499" w:hRule="atLeast"/>
        </w:trPr>
        <w:tc>
          <w:tcPr>
            <w:tcW w:w="1020" w:type="dxa"/>
            <w:vMerge w:val="continue"/>
            <w:tcBorders>
              <w:top w:val="nil"/>
              <w:left w:val="single" w:color="auto" w:sz="4" w:space="0"/>
              <w:bottom w:val="single" w:color="000000" w:sz="4" w:space="0"/>
              <w:right w:val="single" w:color="auto" w:sz="4" w:space="0"/>
            </w:tcBorders>
            <w:shd w:val="clear" w:color="auto" w:fill="auto"/>
            <w:vAlign w:val="center"/>
          </w:tcPr>
          <w:p w14:paraId="004028B8">
            <w:pPr>
              <w:widowControl/>
              <w:shd w:val="clear"/>
              <w:jc w:val="left"/>
              <w:rPr>
                <w:rFonts w:hint="eastAsia" w:ascii="宋体" w:hAnsi="宋体" w:cs="宋体"/>
                <w:b/>
                <w:bCs/>
                <w:color w:val="000000"/>
                <w:kern w:val="0"/>
                <w:sz w:val="20"/>
                <w:highlight w:val="none"/>
              </w:rPr>
            </w:pPr>
          </w:p>
        </w:tc>
        <w:tc>
          <w:tcPr>
            <w:tcW w:w="1020" w:type="dxa"/>
            <w:tcBorders>
              <w:top w:val="nil"/>
              <w:left w:val="nil"/>
              <w:bottom w:val="single" w:color="auto" w:sz="4" w:space="0"/>
              <w:right w:val="single" w:color="auto" w:sz="4" w:space="0"/>
            </w:tcBorders>
            <w:shd w:val="clear" w:color="auto" w:fill="auto"/>
            <w:vAlign w:val="center"/>
          </w:tcPr>
          <w:p w14:paraId="3866BF7C">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彩超</w:t>
            </w:r>
          </w:p>
        </w:tc>
        <w:tc>
          <w:tcPr>
            <w:tcW w:w="1516" w:type="dxa"/>
            <w:tcBorders>
              <w:top w:val="nil"/>
              <w:left w:val="nil"/>
              <w:bottom w:val="single" w:color="auto" w:sz="4" w:space="0"/>
              <w:right w:val="single" w:color="auto" w:sz="4" w:space="0"/>
            </w:tcBorders>
            <w:shd w:val="clear" w:color="auto" w:fill="auto"/>
            <w:vAlign w:val="center"/>
          </w:tcPr>
          <w:p w14:paraId="58CCCB11">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心脏</w:t>
            </w:r>
          </w:p>
        </w:tc>
        <w:tc>
          <w:tcPr>
            <w:tcW w:w="1020" w:type="dxa"/>
            <w:tcBorders>
              <w:top w:val="nil"/>
              <w:left w:val="nil"/>
              <w:bottom w:val="single" w:color="auto" w:sz="4" w:space="0"/>
              <w:right w:val="single" w:color="auto" w:sz="4" w:space="0"/>
            </w:tcBorders>
            <w:shd w:val="clear" w:color="000000" w:fill="FFFFFF"/>
            <w:vAlign w:val="center"/>
          </w:tcPr>
          <w:p w14:paraId="43973D4B">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C17323A">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40EE959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1BED9661">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04AEB686">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3D9CD765">
            <w:pPr>
              <w:widowControl/>
              <w:shd w:val="clear"/>
              <w:jc w:val="center"/>
              <w:rPr>
                <w:rFonts w:hint="eastAsia" w:ascii="宋体" w:hAnsi="宋体" w:cs="宋体"/>
                <w:kern w:val="0"/>
                <w:sz w:val="20"/>
                <w:highlight w:val="none"/>
              </w:rPr>
            </w:pPr>
          </w:p>
        </w:tc>
      </w:tr>
      <w:tr w14:paraId="37C5AAA7">
        <w:tblPrEx>
          <w:tblCellMar>
            <w:top w:w="0" w:type="dxa"/>
            <w:left w:w="108" w:type="dxa"/>
            <w:bottom w:w="0" w:type="dxa"/>
            <w:right w:w="108" w:type="dxa"/>
          </w:tblCellMar>
        </w:tblPrEx>
        <w:trPr>
          <w:trHeight w:val="499" w:hRule="atLeast"/>
        </w:trPr>
        <w:tc>
          <w:tcPr>
            <w:tcW w:w="1020" w:type="dxa"/>
            <w:vMerge w:val="restart"/>
            <w:tcBorders>
              <w:top w:val="nil"/>
              <w:left w:val="single" w:color="auto" w:sz="4" w:space="0"/>
              <w:bottom w:val="single" w:color="000000" w:sz="4" w:space="0"/>
              <w:right w:val="single" w:color="auto" w:sz="4" w:space="0"/>
            </w:tcBorders>
            <w:shd w:val="clear" w:color="auto" w:fill="auto"/>
            <w:noWrap/>
            <w:vAlign w:val="center"/>
          </w:tcPr>
          <w:p w14:paraId="2F994DD2">
            <w:pPr>
              <w:widowControl/>
              <w:shd w:val="clear"/>
              <w:jc w:val="center"/>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胃部</w:t>
            </w:r>
          </w:p>
        </w:tc>
        <w:tc>
          <w:tcPr>
            <w:tcW w:w="1020" w:type="dxa"/>
            <w:tcBorders>
              <w:top w:val="nil"/>
              <w:left w:val="nil"/>
              <w:bottom w:val="single" w:color="auto" w:sz="4" w:space="0"/>
              <w:right w:val="single" w:color="auto" w:sz="4" w:space="0"/>
            </w:tcBorders>
            <w:shd w:val="clear" w:color="auto" w:fill="auto"/>
            <w:vAlign w:val="center"/>
          </w:tcPr>
          <w:p w14:paraId="274B4270">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胃泌素G17</w:t>
            </w:r>
          </w:p>
        </w:tc>
        <w:tc>
          <w:tcPr>
            <w:tcW w:w="1516" w:type="dxa"/>
            <w:tcBorders>
              <w:top w:val="nil"/>
              <w:left w:val="nil"/>
              <w:bottom w:val="single" w:color="auto" w:sz="4" w:space="0"/>
              <w:right w:val="single" w:color="auto" w:sz="4" w:space="0"/>
            </w:tcBorders>
            <w:shd w:val="clear" w:color="auto" w:fill="auto"/>
            <w:vAlign w:val="center"/>
          </w:tcPr>
          <w:p w14:paraId="0D4091AA">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胃泌素G17</w:t>
            </w:r>
          </w:p>
        </w:tc>
        <w:tc>
          <w:tcPr>
            <w:tcW w:w="1020" w:type="dxa"/>
            <w:tcBorders>
              <w:top w:val="nil"/>
              <w:left w:val="nil"/>
              <w:bottom w:val="single" w:color="auto" w:sz="4" w:space="0"/>
              <w:right w:val="single" w:color="auto" w:sz="4" w:space="0"/>
            </w:tcBorders>
            <w:shd w:val="clear" w:color="000000" w:fill="FFFFFF"/>
            <w:vAlign w:val="center"/>
          </w:tcPr>
          <w:p w14:paraId="0120EB7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66F623B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0BC554D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C5478E0">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3FADE8C4">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0DC7744F">
            <w:pPr>
              <w:widowControl/>
              <w:shd w:val="clear"/>
              <w:jc w:val="center"/>
              <w:rPr>
                <w:rFonts w:hint="eastAsia" w:ascii="宋体" w:hAnsi="宋体" w:cs="宋体"/>
                <w:kern w:val="0"/>
                <w:sz w:val="20"/>
                <w:highlight w:val="none"/>
              </w:rPr>
            </w:pPr>
          </w:p>
        </w:tc>
      </w:tr>
      <w:tr w14:paraId="32A064C4">
        <w:tblPrEx>
          <w:tblCellMar>
            <w:top w:w="0" w:type="dxa"/>
            <w:left w:w="108" w:type="dxa"/>
            <w:bottom w:w="0" w:type="dxa"/>
            <w:right w:w="108" w:type="dxa"/>
          </w:tblCellMar>
        </w:tblPrEx>
        <w:trPr>
          <w:trHeight w:val="499" w:hRule="atLeast"/>
        </w:trPr>
        <w:tc>
          <w:tcPr>
            <w:tcW w:w="1020" w:type="dxa"/>
            <w:vMerge w:val="continue"/>
            <w:tcBorders>
              <w:top w:val="nil"/>
              <w:left w:val="single" w:color="auto" w:sz="4" w:space="0"/>
              <w:bottom w:val="single" w:color="000000" w:sz="4" w:space="0"/>
              <w:right w:val="single" w:color="auto" w:sz="4" w:space="0"/>
            </w:tcBorders>
            <w:shd w:val="clear" w:color="auto" w:fill="auto"/>
            <w:vAlign w:val="center"/>
          </w:tcPr>
          <w:p w14:paraId="3530AC19">
            <w:pPr>
              <w:widowControl/>
              <w:shd w:val="clear"/>
              <w:jc w:val="left"/>
              <w:rPr>
                <w:rFonts w:hint="eastAsia" w:ascii="宋体" w:hAnsi="宋体" w:cs="宋体"/>
                <w:b/>
                <w:bCs/>
                <w:color w:val="000000"/>
                <w:kern w:val="0"/>
                <w:sz w:val="20"/>
                <w:highlight w:val="none"/>
              </w:rPr>
            </w:pPr>
          </w:p>
        </w:tc>
        <w:tc>
          <w:tcPr>
            <w:tcW w:w="1020" w:type="dxa"/>
            <w:vMerge w:val="restart"/>
            <w:tcBorders>
              <w:top w:val="nil"/>
              <w:left w:val="single" w:color="auto" w:sz="4" w:space="0"/>
              <w:bottom w:val="single" w:color="auto" w:sz="4" w:space="0"/>
              <w:right w:val="single" w:color="auto" w:sz="4" w:space="0"/>
            </w:tcBorders>
            <w:shd w:val="clear" w:color="auto" w:fill="auto"/>
            <w:vAlign w:val="center"/>
          </w:tcPr>
          <w:p w14:paraId="27471659">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胃镜</w:t>
            </w:r>
          </w:p>
        </w:tc>
        <w:tc>
          <w:tcPr>
            <w:tcW w:w="1516" w:type="dxa"/>
            <w:tcBorders>
              <w:top w:val="nil"/>
              <w:left w:val="nil"/>
              <w:bottom w:val="single" w:color="auto" w:sz="4" w:space="0"/>
              <w:right w:val="single" w:color="auto" w:sz="4" w:space="0"/>
            </w:tcBorders>
            <w:shd w:val="clear" w:color="auto" w:fill="auto"/>
            <w:vAlign w:val="center"/>
          </w:tcPr>
          <w:p w14:paraId="6D3110F2">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普通无痛胃镜</w:t>
            </w:r>
          </w:p>
        </w:tc>
        <w:tc>
          <w:tcPr>
            <w:tcW w:w="1020" w:type="dxa"/>
            <w:tcBorders>
              <w:top w:val="nil"/>
              <w:left w:val="nil"/>
              <w:bottom w:val="single" w:color="auto" w:sz="4" w:space="0"/>
              <w:right w:val="single" w:color="auto" w:sz="4" w:space="0"/>
            </w:tcBorders>
            <w:shd w:val="clear" w:color="000000" w:fill="FFFFFF"/>
            <w:vAlign w:val="center"/>
          </w:tcPr>
          <w:p w14:paraId="0E64121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3016F810">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7C375361">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71869AB5">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53EA164D">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56666E40">
            <w:pPr>
              <w:widowControl/>
              <w:shd w:val="clear"/>
              <w:jc w:val="center"/>
              <w:rPr>
                <w:rFonts w:hint="eastAsia" w:ascii="宋体" w:hAnsi="宋体" w:cs="宋体"/>
                <w:kern w:val="0"/>
                <w:sz w:val="20"/>
                <w:highlight w:val="none"/>
              </w:rPr>
            </w:pPr>
          </w:p>
        </w:tc>
      </w:tr>
      <w:tr w14:paraId="37FF0AF9">
        <w:tblPrEx>
          <w:tblCellMar>
            <w:top w:w="0" w:type="dxa"/>
            <w:left w:w="108" w:type="dxa"/>
            <w:bottom w:w="0" w:type="dxa"/>
            <w:right w:w="108" w:type="dxa"/>
          </w:tblCellMar>
        </w:tblPrEx>
        <w:trPr>
          <w:trHeight w:val="499" w:hRule="atLeast"/>
        </w:trPr>
        <w:tc>
          <w:tcPr>
            <w:tcW w:w="1020" w:type="dxa"/>
            <w:vMerge w:val="continue"/>
            <w:tcBorders>
              <w:top w:val="nil"/>
              <w:left w:val="single" w:color="auto" w:sz="4" w:space="0"/>
              <w:bottom w:val="single" w:color="000000" w:sz="4" w:space="0"/>
              <w:right w:val="single" w:color="auto" w:sz="4" w:space="0"/>
            </w:tcBorders>
            <w:shd w:val="clear" w:color="auto" w:fill="auto"/>
            <w:vAlign w:val="center"/>
          </w:tcPr>
          <w:p w14:paraId="4E469309">
            <w:pPr>
              <w:widowControl/>
              <w:shd w:val="clear"/>
              <w:jc w:val="left"/>
              <w:rPr>
                <w:rFonts w:hint="eastAsia" w:ascii="宋体" w:hAnsi="宋体" w:cs="宋体"/>
                <w:b/>
                <w:bCs/>
                <w:color w:val="000000"/>
                <w:kern w:val="0"/>
                <w:sz w:val="20"/>
                <w:highlight w:val="none"/>
              </w:rPr>
            </w:pPr>
          </w:p>
        </w:tc>
        <w:tc>
          <w:tcPr>
            <w:tcW w:w="1020" w:type="dxa"/>
            <w:vMerge w:val="continue"/>
            <w:tcBorders>
              <w:top w:val="nil"/>
              <w:left w:val="single" w:color="auto" w:sz="4" w:space="0"/>
              <w:bottom w:val="single" w:color="auto" w:sz="4" w:space="0"/>
              <w:right w:val="single" w:color="auto" w:sz="4" w:space="0"/>
            </w:tcBorders>
            <w:shd w:val="clear" w:color="auto" w:fill="auto"/>
            <w:vAlign w:val="center"/>
          </w:tcPr>
          <w:p w14:paraId="0483A653">
            <w:pPr>
              <w:widowControl/>
              <w:shd w:val="clear"/>
              <w:jc w:val="left"/>
              <w:rPr>
                <w:rFonts w:hint="eastAsia" w:ascii="宋体" w:hAnsi="宋体" w:cs="宋体"/>
                <w:kern w:val="0"/>
                <w:sz w:val="20"/>
                <w:highlight w:val="none"/>
              </w:rPr>
            </w:pPr>
          </w:p>
        </w:tc>
        <w:tc>
          <w:tcPr>
            <w:tcW w:w="1516" w:type="dxa"/>
            <w:tcBorders>
              <w:top w:val="nil"/>
              <w:left w:val="nil"/>
              <w:bottom w:val="single" w:color="auto" w:sz="4" w:space="0"/>
              <w:right w:val="single" w:color="auto" w:sz="4" w:space="0"/>
            </w:tcBorders>
            <w:shd w:val="clear" w:color="auto" w:fill="auto"/>
            <w:vAlign w:val="center"/>
          </w:tcPr>
          <w:p w14:paraId="499080C3">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胶囊胃镜</w:t>
            </w:r>
          </w:p>
        </w:tc>
        <w:tc>
          <w:tcPr>
            <w:tcW w:w="1020" w:type="dxa"/>
            <w:tcBorders>
              <w:top w:val="nil"/>
              <w:left w:val="nil"/>
              <w:bottom w:val="single" w:color="auto" w:sz="4" w:space="0"/>
              <w:right w:val="single" w:color="auto" w:sz="4" w:space="0"/>
            </w:tcBorders>
            <w:shd w:val="clear" w:color="000000" w:fill="FFFFFF"/>
            <w:vAlign w:val="center"/>
          </w:tcPr>
          <w:p w14:paraId="47A8A509">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BD02F3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6CAF84B3">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482CAAE">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48A62E3B">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2A48700A">
            <w:pPr>
              <w:widowControl/>
              <w:shd w:val="clear"/>
              <w:jc w:val="center"/>
              <w:rPr>
                <w:rFonts w:hint="eastAsia" w:ascii="宋体" w:hAnsi="宋体" w:cs="宋体"/>
                <w:kern w:val="0"/>
                <w:sz w:val="20"/>
                <w:highlight w:val="none"/>
              </w:rPr>
            </w:pPr>
          </w:p>
        </w:tc>
      </w:tr>
      <w:tr w14:paraId="1916FC97">
        <w:tblPrEx>
          <w:tblCellMar>
            <w:top w:w="0" w:type="dxa"/>
            <w:left w:w="108" w:type="dxa"/>
            <w:bottom w:w="0" w:type="dxa"/>
            <w:right w:w="108" w:type="dxa"/>
          </w:tblCellMar>
        </w:tblPrEx>
        <w:trPr>
          <w:trHeight w:val="499" w:hRule="atLeast"/>
        </w:trPr>
        <w:tc>
          <w:tcPr>
            <w:tcW w:w="1020" w:type="dxa"/>
            <w:tcBorders>
              <w:top w:val="nil"/>
              <w:left w:val="single" w:color="auto" w:sz="4" w:space="0"/>
              <w:bottom w:val="single" w:color="000000" w:sz="4" w:space="0"/>
              <w:right w:val="single" w:color="auto" w:sz="4" w:space="0"/>
            </w:tcBorders>
            <w:shd w:val="clear" w:color="auto" w:fill="auto"/>
            <w:vAlign w:val="center"/>
          </w:tcPr>
          <w:p w14:paraId="4E54B60B">
            <w:pPr>
              <w:widowControl/>
              <w:shd w:val="clear"/>
              <w:jc w:val="left"/>
              <w:rPr>
                <w:rFonts w:hint="eastAsia" w:ascii="宋体" w:hAnsi="宋体" w:cs="宋体"/>
                <w:b/>
                <w:bCs/>
                <w:color w:val="000000"/>
                <w:kern w:val="0"/>
                <w:sz w:val="20"/>
                <w:highlight w:val="none"/>
              </w:rPr>
            </w:pPr>
            <w:r>
              <w:rPr>
                <w:rFonts w:hint="eastAsia" w:ascii="宋体" w:hAnsi="宋体" w:cs="宋体"/>
                <w:b/>
                <w:bCs/>
                <w:color w:val="000000"/>
                <w:kern w:val="0"/>
                <w:sz w:val="20"/>
                <w:highlight w:val="none"/>
              </w:rPr>
              <w:t>肠道</w:t>
            </w:r>
          </w:p>
        </w:tc>
        <w:tc>
          <w:tcPr>
            <w:tcW w:w="1020" w:type="dxa"/>
            <w:tcBorders>
              <w:top w:val="nil"/>
              <w:left w:val="single" w:color="auto" w:sz="4" w:space="0"/>
              <w:bottom w:val="single" w:color="auto" w:sz="4" w:space="0"/>
              <w:right w:val="single" w:color="auto" w:sz="4" w:space="0"/>
            </w:tcBorders>
            <w:shd w:val="clear" w:color="auto" w:fill="auto"/>
            <w:vAlign w:val="center"/>
          </w:tcPr>
          <w:p w14:paraId="22D897B1">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肠镜</w:t>
            </w:r>
          </w:p>
        </w:tc>
        <w:tc>
          <w:tcPr>
            <w:tcW w:w="1516" w:type="dxa"/>
            <w:tcBorders>
              <w:top w:val="nil"/>
              <w:left w:val="nil"/>
              <w:bottom w:val="single" w:color="auto" w:sz="4" w:space="0"/>
              <w:right w:val="single" w:color="auto" w:sz="4" w:space="0"/>
            </w:tcBorders>
            <w:shd w:val="clear" w:color="auto" w:fill="auto"/>
            <w:vAlign w:val="center"/>
          </w:tcPr>
          <w:p w14:paraId="6A403704">
            <w:pPr>
              <w:widowControl/>
              <w:shd w:val="clear"/>
              <w:jc w:val="left"/>
              <w:rPr>
                <w:rFonts w:hint="eastAsia" w:ascii="宋体" w:hAnsi="宋体" w:cs="宋体"/>
                <w:kern w:val="0"/>
                <w:sz w:val="20"/>
                <w:highlight w:val="none"/>
              </w:rPr>
            </w:pPr>
            <w:r>
              <w:rPr>
                <w:rFonts w:hint="eastAsia" w:ascii="宋体" w:hAnsi="宋体" w:cs="宋体"/>
                <w:kern w:val="0"/>
                <w:sz w:val="20"/>
                <w:highlight w:val="none"/>
              </w:rPr>
              <w:t>普通无痛肠镜</w:t>
            </w:r>
          </w:p>
        </w:tc>
        <w:tc>
          <w:tcPr>
            <w:tcW w:w="1020" w:type="dxa"/>
            <w:tcBorders>
              <w:top w:val="nil"/>
              <w:left w:val="nil"/>
              <w:bottom w:val="single" w:color="auto" w:sz="4" w:space="0"/>
              <w:right w:val="single" w:color="auto" w:sz="4" w:space="0"/>
            </w:tcBorders>
            <w:shd w:val="clear" w:color="000000" w:fill="FFFFFF"/>
            <w:vAlign w:val="center"/>
          </w:tcPr>
          <w:p w14:paraId="3C8B8CDD">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50A7D02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1" w:type="dxa"/>
            <w:tcBorders>
              <w:top w:val="nil"/>
              <w:left w:val="nil"/>
              <w:bottom w:val="single" w:color="auto" w:sz="4" w:space="0"/>
              <w:right w:val="single" w:color="auto" w:sz="4" w:space="0"/>
            </w:tcBorders>
            <w:shd w:val="clear" w:color="000000" w:fill="FFFFFF"/>
            <w:vAlign w:val="center"/>
          </w:tcPr>
          <w:p w14:paraId="50E94827">
            <w:pPr>
              <w:widowControl/>
              <w:shd w:val="clear"/>
              <w:jc w:val="center"/>
              <w:rPr>
                <w:rFonts w:hint="eastAsia" w:ascii="宋体" w:hAnsi="宋体" w:cs="宋体"/>
                <w:kern w:val="0"/>
                <w:sz w:val="20"/>
                <w:highlight w:val="none"/>
              </w:rPr>
            </w:pPr>
            <w:r>
              <w:rPr>
                <w:rFonts w:hint="eastAsia" w:ascii="宋体" w:hAnsi="宋体" w:cs="宋体"/>
                <w:kern w:val="0"/>
                <w:sz w:val="20"/>
                <w:highlight w:val="none"/>
              </w:rPr>
              <w:t>/</w:t>
            </w:r>
          </w:p>
        </w:tc>
        <w:tc>
          <w:tcPr>
            <w:tcW w:w="1020" w:type="dxa"/>
            <w:tcBorders>
              <w:top w:val="nil"/>
              <w:left w:val="nil"/>
              <w:bottom w:val="single" w:color="auto" w:sz="4" w:space="0"/>
              <w:right w:val="single" w:color="auto" w:sz="4" w:space="0"/>
            </w:tcBorders>
            <w:shd w:val="clear" w:color="000000" w:fill="FFFFFF"/>
            <w:vAlign w:val="center"/>
          </w:tcPr>
          <w:p w14:paraId="2081CDCC">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2EC0C57B">
            <w:pPr>
              <w:widowControl/>
              <w:shd w:val="clear"/>
              <w:jc w:val="center"/>
              <w:rPr>
                <w:rFonts w:hint="eastAsia" w:ascii="宋体" w:hAnsi="宋体" w:cs="宋体"/>
                <w:kern w:val="0"/>
                <w:sz w:val="20"/>
                <w:highlight w:val="none"/>
              </w:rPr>
            </w:pPr>
          </w:p>
        </w:tc>
        <w:tc>
          <w:tcPr>
            <w:tcW w:w="1021" w:type="dxa"/>
            <w:tcBorders>
              <w:top w:val="nil"/>
              <w:left w:val="nil"/>
              <w:bottom w:val="single" w:color="auto" w:sz="4" w:space="0"/>
              <w:right w:val="single" w:color="auto" w:sz="4" w:space="0"/>
            </w:tcBorders>
            <w:shd w:val="clear" w:color="000000" w:fill="FFFFFF"/>
            <w:vAlign w:val="center"/>
          </w:tcPr>
          <w:p w14:paraId="3464C644">
            <w:pPr>
              <w:widowControl/>
              <w:shd w:val="clear"/>
              <w:jc w:val="center"/>
              <w:rPr>
                <w:rFonts w:hint="eastAsia" w:ascii="宋体" w:hAnsi="宋体" w:cs="宋体"/>
                <w:kern w:val="0"/>
                <w:sz w:val="20"/>
                <w:highlight w:val="none"/>
              </w:rPr>
            </w:pPr>
          </w:p>
        </w:tc>
      </w:tr>
    </w:tbl>
    <w:p w14:paraId="21E4F730">
      <w:pPr>
        <w:shd w:val="clear"/>
        <w:spacing w:line="360" w:lineRule="auto"/>
        <w:jc w:val="left"/>
        <w:rPr>
          <w:rFonts w:ascii="Times New Roman" w:hAnsi="Times New Roman" w:cs="宋体"/>
          <w:sz w:val="24"/>
          <w:szCs w:val="24"/>
          <w:highlight w:val="none"/>
        </w:rPr>
      </w:pPr>
    </w:p>
    <w:p w14:paraId="6FE36163">
      <w:pPr>
        <w:shd w:val="clear"/>
        <w:spacing w:line="360" w:lineRule="auto"/>
        <w:ind w:firstLine="480" w:firstLineChars="200"/>
        <w:jc w:val="left"/>
        <w:rPr>
          <w:rFonts w:ascii="微软雅黑" w:hAnsi="微软雅黑" w:eastAsia="宋体" w:cs="微软雅黑"/>
          <w:i w:val="0"/>
          <w:iCs w:val="0"/>
          <w:caps w:val="0"/>
          <w:color w:val="auto"/>
          <w:spacing w:val="0"/>
          <w:sz w:val="24"/>
          <w:szCs w:val="21"/>
          <w:highlight w:val="none"/>
          <w:shd w:val="clear"/>
        </w:rPr>
      </w:pPr>
      <w:r>
        <w:rPr>
          <w:rFonts w:ascii="微软雅黑" w:hAnsi="微软雅黑" w:eastAsia="宋体" w:cs="微软雅黑"/>
          <w:i w:val="0"/>
          <w:iCs w:val="0"/>
          <w:caps w:val="0"/>
          <w:color w:val="auto"/>
          <w:spacing w:val="0"/>
          <w:sz w:val="24"/>
          <w:szCs w:val="21"/>
          <w:highlight w:val="none"/>
          <w:shd w:val="clear"/>
        </w:rPr>
        <w:t>上述选检备选项目仅供供应商参考，供应商可以根据情况自行增加或减少，但需分类（包括但不限于骨质、肾脏、肿瘤、心血管、胃镜、肠镜等），并按每类中的细项进行报价，不可按类打包报价。</w:t>
      </w:r>
    </w:p>
    <w:p w14:paraId="56769943">
      <w:pPr>
        <w:shd w:val="clear"/>
        <w:spacing w:line="360" w:lineRule="auto"/>
        <w:jc w:val="left"/>
        <w:rPr>
          <w:rFonts w:ascii="Times New Roman" w:hAnsi="Times New Roman" w:cs="宋体"/>
          <w:b/>
          <w:sz w:val="24"/>
          <w:szCs w:val="24"/>
          <w:highlight w:val="none"/>
        </w:rPr>
      </w:pPr>
      <w:r>
        <w:rPr>
          <w:rFonts w:hint="eastAsia" w:ascii="Times New Roman" w:hAnsi="Times New Roman" w:cs="宋体"/>
          <w:b/>
          <w:sz w:val="24"/>
          <w:szCs w:val="24"/>
          <w:highlight w:val="none"/>
        </w:rPr>
        <w:t>附件2备注：</w:t>
      </w:r>
    </w:p>
    <w:p w14:paraId="1EE2931B">
      <w:pPr>
        <w:shd w:val="clear"/>
        <w:spacing w:line="360" w:lineRule="auto"/>
        <w:jc w:val="left"/>
        <w:rPr>
          <w:rFonts w:ascii="Times New Roman" w:hAnsi="Times New Roman" w:cs="宋体"/>
          <w:bCs/>
          <w:sz w:val="24"/>
          <w:szCs w:val="24"/>
          <w:highlight w:val="none"/>
        </w:rPr>
      </w:pPr>
      <w:r>
        <w:rPr>
          <w:rFonts w:hint="eastAsia" w:ascii="Times New Roman" w:hAnsi="Times New Roman" w:cs="宋体"/>
          <w:bCs/>
          <w:sz w:val="24"/>
          <w:szCs w:val="24"/>
          <w:highlight w:val="none"/>
        </w:rPr>
        <w:t>1.分类报价，如未报价则视为不提供选检备选项目的体检服务，请参选人自行评估可能产生的风险。</w:t>
      </w:r>
    </w:p>
    <w:p w14:paraId="75323EA2">
      <w:pPr>
        <w:shd w:val="clear"/>
        <w:spacing w:line="360" w:lineRule="auto"/>
        <w:jc w:val="left"/>
        <w:rPr>
          <w:rFonts w:hint="eastAsia" w:ascii="仿宋" w:hAnsi="仿宋" w:cs="仿宋"/>
          <w:sz w:val="24"/>
          <w:highlight w:val="none"/>
        </w:rPr>
      </w:pPr>
      <w:r>
        <w:rPr>
          <w:rFonts w:hint="eastAsia" w:ascii="Times New Roman" w:hAnsi="Times New Roman" w:cs="宋体"/>
          <w:bCs/>
          <w:sz w:val="24"/>
          <w:szCs w:val="24"/>
          <w:highlight w:val="none"/>
        </w:rPr>
        <w:t>2.如果某个检查项目不是在参选人所选体检中心做、或体检同一天无法同时检查，需备注（包括但不限于如胃镜等）。</w:t>
      </w:r>
      <w:bookmarkStart w:id="254" w:name="_Toc21803"/>
      <w:bookmarkEnd w:id="254"/>
    </w:p>
    <w:p w14:paraId="2399C62A">
      <w:pPr>
        <w:shd w:val="clear"/>
        <w:rPr>
          <w:rFonts w:cs="宋体"/>
          <w:bCs/>
          <w:sz w:val="24"/>
          <w:szCs w:val="24"/>
          <w:highlight w:val="none"/>
        </w:rPr>
      </w:pPr>
      <w:r>
        <w:rPr>
          <w:rFonts w:cs="宋体"/>
          <w:bCs/>
          <w:sz w:val="24"/>
          <w:szCs w:val="24"/>
          <w:highlight w:val="none"/>
        </w:rPr>
        <w:br w:type="page"/>
      </w:r>
    </w:p>
    <w:p w14:paraId="5D53EFBB">
      <w:pPr>
        <w:shd w:val="clear"/>
        <w:autoSpaceDE w:val="0"/>
        <w:autoSpaceDN w:val="0"/>
        <w:adjustRightInd w:val="0"/>
        <w:spacing w:line="360" w:lineRule="auto"/>
        <w:jc w:val="center"/>
        <w:outlineLvl w:val="0"/>
        <w:rPr>
          <w:rFonts w:hint="eastAsia" w:ascii="黑体" w:hAnsi="黑体" w:eastAsia="黑体" w:cs="黑体"/>
          <w:bCs/>
          <w:sz w:val="52"/>
          <w:szCs w:val="52"/>
          <w:highlight w:val="none"/>
        </w:rPr>
      </w:pPr>
      <w:r>
        <w:rPr>
          <w:rFonts w:hint="eastAsia" w:ascii="黑体" w:hAnsi="黑体" w:eastAsia="黑体" w:cs="黑体"/>
          <w:bCs/>
          <w:sz w:val="52"/>
          <w:szCs w:val="52"/>
          <w:highlight w:val="none"/>
        </w:rPr>
        <w:t>附件  安招采平台电子招标投标操作规程</w:t>
      </w:r>
    </w:p>
    <w:p w14:paraId="7820B4CB">
      <w:pPr>
        <w:shd w:val="clear"/>
        <w:spacing w:line="360" w:lineRule="auto"/>
        <w:jc w:val="center"/>
        <w:rPr>
          <w:rFonts w:hint="eastAsia" w:ascii="宋体" w:hAnsi="宋体"/>
          <w:b/>
          <w:sz w:val="40"/>
          <w:highlight w:val="none"/>
        </w:rPr>
      </w:pPr>
    </w:p>
    <w:p w14:paraId="19C4C41D">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第一条 制订依据</w:t>
      </w:r>
    </w:p>
    <w:p w14:paraId="2CA44376">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 为进一步规范招标投标行为，提高招标投标效率，充分利用信息网络技术，根据《中华人民共和国招标投标法》、《中华人民共和国政府采购法》、《中华人民共和国电子签名法》和《电子招标投标办法》等有关规定，并结合工作实际，制订本规程。</w:t>
      </w:r>
    </w:p>
    <w:p w14:paraId="34BCBED0">
      <w:pPr>
        <w:shd w:val="clear"/>
        <w:spacing w:line="500" w:lineRule="exact"/>
        <w:ind w:firstLine="480" w:firstLineChars="200"/>
        <w:rPr>
          <w:rFonts w:hint="eastAsia" w:ascii="宋体" w:hAnsi="宋体" w:cs="宋体"/>
          <w:sz w:val="24"/>
          <w:szCs w:val="24"/>
          <w:highlight w:val="none"/>
        </w:rPr>
      </w:pPr>
    </w:p>
    <w:p w14:paraId="47F10D33">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第二条 电子招标投标</w:t>
      </w:r>
    </w:p>
    <w:p w14:paraId="05943CFD">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本规程所指的电子招标投标，是指以数据电文形式，依托能工社—安招采电子招标采购交易系统（www.anzhaocai.com）（以下简称安招采平台）完成的全部或者部分招标投标交易活动。</w:t>
      </w:r>
    </w:p>
    <w:p w14:paraId="22F4791F">
      <w:pPr>
        <w:shd w:val="clear"/>
        <w:spacing w:line="500" w:lineRule="exact"/>
        <w:ind w:firstLine="480" w:firstLineChars="200"/>
        <w:rPr>
          <w:rFonts w:hint="eastAsia" w:ascii="宋体" w:hAnsi="宋体" w:cs="宋体"/>
          <w:sz w:val="24"/>
          <w:szCs w:val="24"/>
          <w:highlight w:val="none"/>
        </w:rPr>
      </w:pPr>
    </w:p>
    <w:p w14:paraId="17D7717B">
      <w:pPr>
        <w:shd w:val="clear"/>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第三条 适用范围</w:t>
      </w:r>
    </w:p>
    <w:p w14:paraId="3F293FA5">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本规程适用于在安招采平台实施的所有全流程电子化交易项目。</w:t>
      </w:r>
    </w:p>
    <w:p w14:paraId="2C7B6D1E">
      <w:pPr>
        <w:shd w:val="clear"/>
        <w:spacing w:line="500" w:lineRule="exact"/>
        <w:ind w:firstLine="480" w:firstLineChars="200"/>
        <w:rPr>
          <w:rFonts w:hint="eastAsia" w:ascii="宋体" w:hAnsi="宋体" w:cs="宋体"/>
          <w:sz w:val="24"/>
          <w:szCs w:val="24"/>
          <w:highlight w:val="none"/>
        </w:rPr>
      </w:pPr>
    </w:p>
    <w:p w14:paraId="1615D904">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第四条 职责分工</w:t>
      </w:r>
    </w:p>
    <w:p w14:paraId="5F331C02">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招标人或招标代理机构负责电子招标投标项目的组织实施，安徽本末数据科技有限公司负责安招采平台的运行及服务保障。</w:t>
      </w:r>
    </w:p>
    <w:p w14:paraId="46C66359">
      <w:pPr>
        <w:shd w:val="clear"/>
        <w:spacing w:line="500" w:lineRule="exact"/>
        <w:ind w:firstLine="480" w:firstLineChars="200"/>
        <w:rPr>
          <w:rFonts w:hint="eastAsia" w:ascii="宋体" w:hAnsi="宋体" w:cs="宋体"/>
          <w:sz w:val="24"/>
          <w:szCs w:val="24"/>
          <w:highlight w:val="none"/>
        </w:rPr>
      </w:pPr>
    </w:p>
    <w:p w14:paraId="43DE3961">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第五条 信息注册</w:t>
      </w:r>
    </w:p>
    <w:p w14:paraId="3F4C153B">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首次使用安招采平台的投标人，应登录www.anzhaocai.com网站，点击左上角“注册”按钮，进行注册并实名认证后方可参与项目交易。已有安招采平台账号的投标人，直接点击左上角“登录”按钮，登录后即可参与项目交易。因未及时办理注册手续影响参加项目交易活动的，责任自负。</w:t>
      </w:r>
    </w:p>
    <w:p w14:paraId="64D74DDA">
      <w:pPr>
        <w:shd w:val="clear"/>
        <w:wordWrap w:val="0"/>
        <w:topLinePunct/>
        <w:spacing w:line="500" w:lineRule="exact"/>
        <w:ind w:firstLine="482" w:firstLineChars="200"/>
        <w:rPr>
          <w:rFonts w:hint="eastAsia" w:ascii="宋体" w:hAnsi="宋体" w:cs="宋体"/>
          <w:b/>
          <w:bCs/>
          <w:sz w:val="24"/>
          <w:szCs w:val="24"/>
          <w:highlight w:val="none"/>
        </w:rPr>
      </w:pPr>
    </w:p>
    <w:p w14:paraId="32D280BC">
      <w:pPr>
        <w:shd w:val="clear"/>
        <w:wordWrap w:val="0"/>
        <w:topLinePunct/>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第六条 CA办理</w:t>
      </w:r>
    </w:p>
    <w:p w14:paraId="50A16C49">
      <w:pPr>
        <w:shd w:val="clear"/>
        <w:wordWrap w:val="0"/>
        <w:topLinePunct/>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潜在投标人须办理CA数字证书（以下简称CA），CA用于电子询比文件的签章、加密及解密。办理CA请访问http://online.aheca.cn/ocss/portal/self-service点击“在线新办”，选择“安招采”进入，并注册账号申请办理。CA办理咨询电话：400-880-4959或0551-63491661。</w:t>
      </w:r>
    </w:p>
    <w:p w14:paraId="5BC40B01">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招标代理机构应提前办理并妥善保管好CA锁，由于未办理CA锁或CA锁遗失、损坏、更换、续期等情况导致招标文件无法签章，由招标代理机构自行承担责任。</w:t>
      </w:r>
    </w:p>
    <w:p w14:paraId="0AE7011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潜在投标人应提前办理并妥善保管好CA锁，由于未办理CA锁或CA锁遗失、损坏、更换、续期等情况导致询比文件无法加密、签章或解密，由潜在投标人自行承担责任。</w:t>
      </w:r>
    </w:p>
    <w:p w14:paraId="5B211C54">
      <w:pPr>
        <w:shd w:val="clear"/>
        <w:spacing w:line="500" w:lineRule="exact"/>
        <w:ind w:firstLine="482" w:firstLineChars="200"/>
        <w:rPr>
          <w:rFonts w:hint="eastAsia" w:ascii="宋体" w:hAnsi="宋体" w:cs="宋体"/>
          <w:b/>
          <w:bCs/>
          <w:sz w:val="24"/>
          <w:szCs w:val="24"/>
          <w:highlight w:val="none"/>
        </w:rPr>
      </w:pPr>
    </w:p>
    <w:p w14:paraId="2048A7F9">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第七条 询比文件制作工具下载</w:t>
      </w:r>
    </w:p>
    <w:p w14:paraId="1E60ACB0">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电子询比文件须使用“询比文件制作工具”制作、生成并上传。潜在投标人必须登录安招采平台，点击左侧边栏“概要”，在左下角“订阅/资源”中下载“CA驱动”和“询比文件制作工具”。询比文件制作工具允许离线编制询比文件，并具备加密、签章等功能。</w:t>
      </w:r>
    </w:p>
    <w:p w14:paraId="7DCD9C5F">
      <w:pPr>
        <w:shd w:val="clear"/>
        <w:spacing w:line="500" w:lineRule="exact"/>
        <w:rPr>
          <w:rFonts w:hint="eastAsia" w:ascii="宋体" w:hAnsi="宋体" w:cs="宋体"/>
          <w:b/>
          <w:bCs/>
          <w:sz w:val="24"/>
          <w:szCs w:val="24"/>
          <w:highlight w:val="none"/>
        </w:rPr>
      </w:pPr>
    </w:p>
    <w:p w14:paraId="53F4F0CE">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第八条 招标文件获取</w:t>
      </w:r>
    </w:p>
    <w:p w14:paraId="76C6F842">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潜在投标人必须在获取招标文件时间内，登录安招采平台完成招标文件获取（包括参与项目和获取文件），否则评审时将被视为投标无效。文件获取过程中，如有任何疑问请咨询电话：400-800-6335。潜在投标人应合理安排招标文件获取时间，如果因获取延误、计算机及网络故障造成无法完成招标文件获取，责任自负。</w:t>
      </w:r>
    </w:p>
    <w:p w14:paraId="4A2EEB9F">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平台在线缴费需要潜在投标人提前开通企业账户，在安招采平台企业账户菜单中设置提现账户即可完成开通，开通企业账户不需要充值任何费用。</w:t>
      </w:r>
    </w:p>
    <w:p w14:paraId="0511FF1E">
      <w:pPr>
        <w:shd w:val="clear"/>
        <w:spacing w:line="500" w:lineRule="exact"/>
        <w:ind w:firstLine="480" w:firstLineChars="200"/>
        <w:rPr>
          <w:rFonts w:hint="eastAsia" w:ascii="宋体" w:hAnsi="宋体" w:cs="宋体"/>
          <w:sz w:val="24"/>
          <w:szCs w:val="24"/>
          <w:highlight w:val="none"/>
        </w:rPr>
      </w:pPr>
    </w:p>
    <w:p w14:paraId="1E74D8E6">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第九条 询比文件制作、上传</w:t>
      </w:r>
    </w:p>
    <w:p w14:paraId="03B1AF79">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投标人使用询比文件制作工具，按招标文件要求制作电子询比文件。询比文件制作完成后，生成加密和未加密文件各一份。</w:t>
      </w:r>
    </w:p>
    <w:p w14:paraId="52A5661C">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投标人需要在招标文件规定的投标截止时间前并在投标截止时间前，登录安招采平台，上传经过CA签章并加密的询比文件，方可视为成功参与投标。逾期系统将自动关闭上传功能，未完成上传的询比文件将被拒绝。</w:t>
      </w:r>
    </w:p>
    <w:p w14:paraId="2E4B2002">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投标人在投标截止时间前，可以对其所上传的询比文件进行修改并重新上传，但以投标截止时间前完成上传的询比文件为唯一有效询比文件。投标截止时间后，平台将不接受询比文件上传。</w:t>
      </w:r>
    </w:p>
    <w:p w14:paraId="1317AC6B">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不同投标人制作或上传询比文件电脑文件制作机器码一致的，视为投标人相互串通投标并对投标人依法进行相应的处理，其询比文件按无效投标处理。</w:t>
      </w:r>
    </w:p>
    <w:p w14:paraId="0E3E477C">
      <w:pPr>
        <w:shd w:val="clear"/>
        <w:spacing w:line="500" w:lineRule="exact"/>
        <w:ind w:firstLine="480" w:firstLineChars="200"/>
        <w:rPr>
          <w:rFonts w:hint="eastAsia" w:ascii="宋体" w:hAnsi="宋体" w:cs="宋体"/>
          <w:sz w:val="24"/>
          <w:szCs w:val="24"/>
          <w:highlight w:val="none"/>
        </w:rPr>
      </w:pPr>
    </w:p>
    <w:p w14:paraId="064925E2">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第十条 开标环节</w:t>
      </w:r>
    </w:p>
    <w:p w14:paraId="3F3F0DAB">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投标人须按照招标文件的要求，在询比文件递交截止时间（开标时间）前登录安招采平台并保持在线，直到项目评审结束。</w:t>
      </w:r>
    </w:p>
    <w:p w14:paraId="70FC264B">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投标人必须在开标后的规定时间内完成询比文件解密（加密和解密须用同一把CA证书）。投标人未在规定时间内完成解密的视为其放弃投标。（招标文件中规定允许使用补救措施的项目除外）</w:t>
      </w:r>
    </w:p>
    <w:p w14:paraId="14560EE6">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未能成功解密的投标人，如招标文件中允许以未加密文件作为补救的，投标人应及时与代理机构联系，导入未加密的询比文件。如果系统识别未加密文件与加密文件的识别码不一致，系统将拒绝导入。</w:t>
      </w:r>
    </w:p>
    <w:p w14:paraId="44864693">
      <w:pPr>
        <w:shd w:val="clear"/>
        <w:spacing w:line="500" w:lineRule="exact"/>
        <w:rPr>
          <w:rFonts w:hint="eastAsia" w:ascii="宋体" w:hAnsi="宋体" w:cs="宋体"/>
          <w:sz w:val="24"/>
          <w:szCs w:val="24"/>
          <w:highlight w:val="none"/>
        </w:rPr>
      </w:pPr>
    </w:p>
    <w:p w14:paraId="6E4E5801">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第十一条 评标环节</w:t>
      </w:r>
    </w:p>
    <w:p w14:paraId="4E932010">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招标人或代理机构组织评标，评标委员会依据招标文件规定的评标办法进行电子评标，并对评标结果签字或电子签名确认。</w:t>
      </w:r>
    </w:p>
    <w:p w14:paraId="7D41EFD5">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评标过程中，评标委员会通过安招采平台将需要澄清、说明或补正的内容以询标函的形式发送给投标人，投标人应登录安招采平台并保持在线状态，以便及时接收评标委员会可能发出的询标函，并在规定的时间内通过安招采平台进行回复，若投标人未及时回复，视为放弃澄清。</w:t>
      </w:r>
    </w:p>
    <w:p w14:paraId="659ABF67">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多轮报价应由投标人在安招采平台接收到评标委员会发出的报价指令后按要求进行报价。</w:t>
      </w:r>
    </w:p>
    <w:p w14:paraId="7CADCA86">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项目评审中，询比文件如出现下列情况的，应终止对询比文件做进一步的评审，并作投标无效处理：</w:t>
      </w:r>
    </w:p>
    <w:p w14:paraId="323F7D67">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（一）询比文件无法打开或不完整的；</w:t>
      </w:r>
    </w:p>
    <w:p w14:paraId="48BAA2AC">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（二）询比文件中携带病毒并造成后果的；</w:t>
      </w:r>
    </w:p>
    <w:p w14:paraId="3AFF7A8C">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（三）恶意递交询比文件，企图造成网络堵塞或瘫痪的；</w:t>
      </w:r>
    </w:p>
    <w:p w14:paraId="760D336F">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（四）评标委员会认定的其他投标无效的情形。</w:t>
      </w:r>
    </w:p>
    <w:p w14:paraId="737B1CB6">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项目评审中，澄清文件如出现下列情况的，应终止对澄清文件做进一步的评审，视同放弃澄清：</w:t>
      </w:r>
    </w:p>
    <w:p w14:paraId="550967D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（一）澄清文件无法打开或不完整的；</w:t>
      </w:r>
    </w:p>
    <w:p w14:paraId="64E117A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（二）澄清文件中携带病毒并造成后果的；</w:t>
      </w:r>
    </w:p>
    <w:p w14:paraId="2A54D070">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（三）恶意递交澄清文件，企图造成网络堵塞或瘫痪的；</w:t>
      </w:r>
    </w:p>
    <w:p w14:paraId="12CD14B5">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（四）评标委员会认定的其他不予评审情形的。</w:t>
      </w:r>
    </w:p>
    <w:p w14:paraId="60A02A2F">
      <w:pPr>
        <w:shd w:val="clear"/>
        <w:spacing w:line="500" w:lineRule="exact"/>
        <w:rPr>
          <w:rFonts w:hint="eastAsia" w:ascii="宋体" w:hAnsi="宋体" w:cs="宋体"/>
          <w:sz w:val="24"/>
          <w:szCs w:val="24"/>
          <w:highlight w:val="none"/>
        </w:rPr>
      </w:pPr>
      <w:r>
        <w:rPr>
          <w:rFonts w:hint="eastAsia" w:ascii="宋体" w:hAnsi="宋体" w:cs="宋体"/>
          <w:sz w:val="24"/>
          <w:szCs w:val="24"/>
          <w:highlight w:val="none"/>
        </w:rPr>
        <w:tab/>
      </w:r>
    </w:p>
    <w:p w14:paraId="7B7F4362">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第十二条 文件费开票</w:t>
      </w:r>
    </w:p>
    <w:p w14:paraId="5C48FF89">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针对需要缴纳文件费的项目或标段，投标人缴费后，等到项目开标后，由招标代理机构通过安招采平台向投标人开具文件费电子发票，投标人在安招采平台电子发票菜单中查看并下载电子发票。电子发票功能需要招标代理机构单独开通，如果招标代理机构未开通电子发票功能，投标人应按照招标文件中描述的方法获取发票。</w:t>
      </w:r>
    </w:p>
    <w:p w14:paraId="77800B33">
      <w:pPr>
        <w:shd w:val="clear"/>
        <w:spacing w:line="500" w:lineRule="exact"/>
        <w:ind w:firstLine="480" w:firstLineChars="200"/>
        <w:rPr>
          <w:rFonts w:hint="eastAsia" w:ascii="宋体" w:hAnsi="宋体" w:cs="宋体"/>
          <w:sz w:val="24"/>
          <w:szCs w:val="24"/>
          <w:highlight w:val="none"/>
        </w:rPr>
      </w:pPr>
    </w:p>
    <w:p w14:paraId="063A9AF8">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第十三条 意外情况</w:t>
      </w:r>
    </w:p>
    <w:p w14:paraId="1157BDE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出现下列情形导致安招采平台无法正常运行，影响招投标过程的公平、公正和信息安全，各方当事人免责：</w:t>
      </w:r>
    </w:p>
    <w:p w14:paraId="6E1C843B">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（一）网络、服务器、数据库发生故障造成无法访问或使用的；</w:t>
      </w:r>
    </w:p>
    <w:p w14:paraId="5709B24F">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（二）电力系统或云服务器供应商发生故障导致安招采平台无法运行；</w:t>
      </w:r>
    </w:p>
    <w:p w14:paraId="2A0A69AD">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（三）出现网络攻击、病毒入侵以及安招采平台安全漏洞导致无法正常提供服务的；</w:t>
      </w:r>
    </w:p>
    <w:p w14:paraId="6C84D7AE">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（四）其他无法保证招投标过程公平、公正和信息安全的情形。</w:t>
      </w:r>
    </w:p>
    <w:p w14:paraId="3F53132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出现上述情形，安徽本末数据科技有限公司应及时组织相关方查明原因，排除故障。若能保证在开标前或在原开标时间后1小时内恢复系统运行的，招投标程序继续进行；若在原开标时间后1小时内无法恢复系统运行，导致开评标程序无法按时开展的，按以下程序操作：</w:t>
      </w:r>
    </w:p>
    <w:p w14:paraId="71121954">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项目中止，中止期限由招标人或招标代理机构根据项目具体情况确定。中止期限届满后中止情形尚未消除的，招标人或代理机构可以根据实际情况决定延长中止期限。决定延长中止期限的，应向投标人发出延长中止期限通知，并在安招采平台及安招采门户网站进行公布。</w:t>
      </w:r>
    </w:p>
    <w:p w14:paraId="5E628FC5">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（二）项目恢复，导致项目中止的情形消除后，招标人或代理机构应当尽快恢复招投标程序，向投标人发出恢复交易通知，并在安招采平台及安招采门户网站进行公布；已发出延长中止期限通知的，按通知执行。</w:t>
      </w:r>
    </w:p>
    <w:p w14:paraId="063253E8">
      <w:pPr>
        <w:shd w:val="clear"/>
        <w:spacing w:line="500" w:lineRule="exact"/>
        <w:ind w:firstLine="480" w:firstLineChars="200"/>
        <w:rPr>
          <w:rFonts w:hint="eastAsia" w:ascii="宋体" w:hAnsi="宋体" w:cs="宋体"/>
          <w:sz w:val="24"/>
          <w:szCs w:val="24"/>
          <w:highlight w:val="none"/>
        </w:rPr>
      </w:pPr>
    </w:p>
    <w:p w14:paraId="53C9AEDE">
      <w:pPr>
        <w:shd w:val="clea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第十四条 其他说明</w:t>
      </w:r>
    </w:p>
    <w:p w14:paraId="7B464E57">
      <w:pPr>
        <w:shd w:val="clea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本操作规程中，非招标方式的采购项目，“招标人”按“采购人”理解，“招标文件”按“采购文件”理解；“投标人”按“供应商”理解，“询比文件”按“响应文件”理解；“开标”按“开启”理解，“投标无效”按“响应无效”理解，“评标委员会”按“评审小组/谈判小组/磋商小组/询价小组/协商小组/询比小组”等理解，“中标”按“成交”理解。</w:t>
      </w:r>
    </w:p>
    <w:p w14:paraId="53385BB0">
      <w:pPr>
        <w:shd w:val="clear"/>
        <w:wordWrap w:val="0"/>
        <w:spacing w:line="360" w:lineRule="auto"/>
        <w:rPr>
          <w:highlight w:val="none"/>
        </w:rPr>
      </w:pPr>
    </w:p>
    <w:p w14:paraId="342240FC">
      <w:pPr>
        <w:shd w:val="clear"/>
        <w:spacing w:before="100" w:beforeAutospacing="1" w:after="100" w:afterAutospacing="1"/>
        <w:jc w:val="left"/>
        <w:outlineLvl w:val="2"/>
        <w:rPr>
          <w:rFonts w:hint="eastAsia" w:ascii="宋体" w:hAnsi="宋体"/>
          <w:b/>
          <w:kern w:val="0"/>
          <w:sz w:val="27"/>
          <w:szCs w:val="27"/>
          <w:highlight w:val="none"/>
        </w:rPr>
      </w:pPr>
    </w:p>
    <w:p w14:paraId="2123D96B">
      <w:pPr>
        <w:shd w:val="clear"/>
        <w:rPr>
          <w:highlight w:val="none"/>
        </w:rPr>
      </w:pPr>
    </w:p>
    <w:sectPr>
      <w:footnotePr>
        <w:numFmt w:val="decimalEnclosedCircleChinese"/>
      </w:footnotePr>
      <w:pgSz w:w="11906" w:h="16838"/>
      <w:pgMar w:top="1417" w:right="1020" w:bottom="1417" w:left="10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8F532">
    <w:pPr>
      <w:snapToGrid w:val="0"/>
      <w:jc w:val="center"/>
      <w:rPr>
        <w:rFonts w:ascii="Arial" w:hAnsi="Arial" w:cs="Arial"/>
        <w:b/>
        <w:bCs/>
        <w:szCs w:val="21"/>
      </w:rPr>
    </w:pPr>
    <w:r>
      <w:rPr>
        <w:rFonts w:ascii="Arial" w:hAnsi="Arial" w:cs="Arial"/>
        <w:sz w:val="22"/>
      </w:rPr>
      <w:t xml:space="preserve">第 </w:t>
    </w:r>
    <w:r>
      <w:rPr>
        <w:rFonts w:ascii="Arial" w:hAnsi="Arial" w:cs="Arial"/>
        <w:sz w:val="22"/>
      </w:rPr>
      <w:fldChar w:fldCharType="begin"/>
    </w:r>
    <w:r>
      <w:rPr>
        <w:rFonts w:ascii="Arial" w:hAnsi="Arial" w:cs="Arial"/>
        <w:sz w:val="22"/>
      </w:rPr>
      <w:instrText xml:space="preserve"> PAGE  \* MERGEFORMAT </w:instrText>
    </w:r>
    <w:r>
      <w:rPr>
        <w:rFonts w:ascii="Arial" w:hAnsi="Arial" w:cs="Arial"/>
        <w:sz w:val="22"/>
      </w:rPr>
      <w:fldChar w:fldCharType="separate"/>
    </w:r>
    <w:r>
      <w:rPr>
        <w:rFonts w:ascii="Arial" w:hAnsi="Arial" w:cs="Arial"/>
        <w:sz w:val="22"/>
      </w:rPr>
      <w:t>2</w:t>
    </w:r>
    <w:r>
      <w:rPr>
        <w:rFonts w:ascii="Arial" w:hAnsi="Arial" w:cs="Arial"/>
        <w:sz w:val="22"/>
      </w:rPr>
      <w:fldChar w:fldCharType="end"/>
    </w:r>
    <w:r>
      <w:rPr>
        <w:rFonts w:ascii="Arial" w:hAnsi="Arial" w:cs="Arial"/>
        <w:sz w:val="22"/>
      </w:rPr>
      <w:t xml:space="preserve"> 页 共 </w:t>
    </w:r>
    <w:r>
      <w:rPr>
        <w:rFonts w:hint="eastAsia" w:ascii="Arial" w:hAnsi="Arial" w:cs="Arial"/>
        <w:sz w:val="22"/>
      </w:rPr>
      <w:t>56</w:t>
    </w:r>
    <w:r>
      <w:rPr>
        <w:rFonts w:ascii="Arial" w:hAnsi="Arial" w:cs="Arial"/>
        <w:sz w:val="22"/>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45C32">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BD79346">
                          <w:pPr>
                            <w:pStyle w:val="16"/>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410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Lx49fjRAQAAqwMAAA4AAAAAAAAAAQAgAAAAHgEAAGRy&#10;cy9lMm9Eb2MueG1sUEsFBgAAAAAGAAYAWQEAAGEFAAAAAA==&#10;">
              <v:fill on="f" focussize="0,0"/>
              <v:stroke on="f"/>
              <v:imagedata o:title=""/>
              <o:lock v:ext="edit" aspectratio="f"/>
              <v:textbox inset="0mm,0mm,0mm,0mm" style="mso-fit-shape-to-text:t;">
                <w:txbxContent>
                  <w:p w14:paraId="2BD79346">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13B73">
    <w:pPr>
      <w:pStyle w:val="17"/>
      <w:jc w:val="both"/>
    </w:pPr>
    <w:r>
      <w:rPr>
        <w:rFonts w:hint="eastAsia"/>
      </w:rPr>
      <w:t>企业自愿采购文件示范文本（电子）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hideSpellingErrors/>
  <w:revisionView w:markup="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OWY3M2UxOWJkZDcwOGNmNDUyYTBhYTk4NmRhN2QifQ=="/>
  </w:docVars>
  <w:rsids>
    <w:rsidRoot w:val="00FA6138"/>
    <w:rsid w:val="00002A90"/>
    <w:rsid w:val="000061C9"/>
    <w:rsid w:val="000126D7"/>
    <w:rsid w:val="00023084"/>
    <w:rsid w:val="000240A0"/>
    <w:rsid w:val="00024675"/>
    <w:rsid w:val="00035657"/>
    <w:rsid w:val="0003610A"/>
    <w:rsid w:val="00046577"/>
    <w:rsid w:val="0004781D"/>
    <w:rsid w:val="00051644"/>
    <w:rsid w:val="00054820"/>
    <w:rsid w:val="00060EE2"/>
    <w:rsid w:val="00064EE7"/>
    <w:rsid w:val="00066A3A"/>
    <w:rsid w:val="000713DF"/>
    <w:rsid w:val="00074461"/>
    <w:rsid w:val="00074D1F"/>
    <w:rsid w:val="00077736"/>
    <w:rsid w:val="000803C3"/>
    <w:rsid w:val="00081461"/>
    <w:rsid w:val="000818D2"/>
    <w:rsid w:val="00084A77"/>
    <w:rsid w:val="00085FD2"/>
    <w:rsid w:val="0009081D"/>
    <w:rsid w:val="00092DA4"/>
    <w:rsid w:val="00096DE6"/>
    <w:rsid w:val="000A7D8C"/>
    <w:rsid w:val="000B0EA9"/>
    <w:rsid w:val="000B1295"/>
    <w:rsid w:val="000B1749"/>
    <w:rsid w:val="000B6B7B"/>
    <w:rsid w:val="000C0CA3"/>
    <w:rsid w:val="000C1B9F"/>
    <w:rsid w:val="000C382B"/>
    <w:rsid w:val="000E1279"/>
    <w:rsid w:val="000E283F"/>
    <w:rsid w:val="000E4D18"/>
    <w:rsid w:val="000F0915"/>
    <w:rsid w:val="000F0DF7"/>
    <w:rsid w:val="000F40D2"/>
    <w:rsid w:val="001000A0"/>
    <w:rsid w:val="001019FB"/>
    <w:rsid w:val="00110052"/>
    <w:rsid w:val="001113CF"/>
    <w:rsid w:val="001132DA"/>
    <w:rsid w:val="001178DF"/>
    <w:rsid w:val="00130991"/>
    <w:rsid w:val="001315CB"/>
    <w:rsid w:val="0013521B"/>
    <w:rsid w:val="0014208D"/>
    <w:rsid w:val="00143095"/>
    <w:rsid w:val="00144A00"/>
    <w:rsid w:val="001456A4"/>
    <w:rsid w:val="001473C5"/>
    <w:rsid w:val="00147915"/>
    <w:rsid w:val="00160C0E"/>
    <w:rsid w:val="00164A9D"/>
    <w:rsid w:val="00164E07"/>
    <w:rsid w:val="00165775"/>
    <w:rsid w:val="00171F69"/>
    <w:rsid w:val="00177C8B"/>
    <w:rsid w:val="0018263F"/>
    <w:rsid w:val="0018377B"/>
    <w:rsid w:val="00185909"/>
    <w:rsid w:val="00193940"/>
    <w:rsid w:val="00195000"/>
    <w:rsid w:val="00197B3F"/>
    <w:rsid w:val="001A1671"/>
    <w:rsid w:val="001A25B6"/>
    <w:rsid w:val="001A2D44"/>
    <w:rsid w:val="001A47F4"/>
    <w:rsid w:val="001A4EA7"/>
    <w:rsid w:val="001B0CCD"/>
    <w:rsid w:val="001B1022"/>
    <w:rsid w:val="001B259E"/>
    <w:rsid w:val="001B2D7C"/>
    <w:rsid w:val="001C587A"/>
    <w:rsid w:val="001C7FB4"/>
    <w:rsid w:val="001D38E4"/>
    <w:rsid w:val="001D40C3"/>
    <w:rsid w:val="001D5A93"/>
    <w:rsid w:val="001D670C"/>
    <w:rsid w:val="001D7525"/>
    <w:rsid w:val="001E157B"/>
    <w:rsid w:val="001E2B8A"/>
    <w:rsid w:val="001E6CD2"/>
    <w:rsid w:val="001E7053"/>
    <w:rsid w:val="001F365B"/>
    <w:rsid w:val="001F39DD"/>
    <w:rsid w:val="001F5481"/>
    <w:rsid w:val="001F5C1E"/>
    <w:rsid w:val="002021E7"/>
    <w:rsid w:val="002030CC"/>
    <w:rsid w:val="00204B69"/>
    <w:rsid w:val="002057C7"/>
    <w:rsid w:val="00205D79"/>
    <w:rsid w:val="00210314"/>
    <w:rsid w:val="002105C6"/>
    <w:rsid w:val="00211F58"/>
    <w:rsid w:val="00217D5D"/>
    <w:rsid w:val="00217D9B"/>
    <w:rsid w:val="0022229C"/>
    <w:rsid w:val="00224C63"/>
    <w:rsid w:val="00225608"/>
    <w:rsid w:val="00230539"/>
    <w:rsid w:val="00235AD5"/>
    <w:rsid w:val="00240AA3"/>
    <w:rsid w:val="00244379"/>
    <w:rsid w:val="00253679"/>
    <w:rsid w:val="002551B3"/>
    <w:rsid w:val="00264602"/>
    <w:rsid w:val="00264DC8"/>
    <w:rsid w:val="00265514"/>
    <w:rsid w:val="00271310"/>
    <w:rsid w:val="0027217F"/>
    <w:rsid w:val="0027319E"/>
    <w:rsid w:val="00273A33"/>
    <w:rsid w:val="00274DD8"/>
    <w:rsid w:val="0028480D"/>
    <w:rsid w:val="002858FA"/>
    <w:rsid w:val="00286C46"/>
    <w:rsid w:val="0028737D"/>
    <w:rsid w:val="00293BCF"/>
    <w:rsid w:val="002A008E"/>
    <w:rsid w:val="002A00CD"/>
    <w:rsid w:val="002A1498"/>
    <w:rsid w:val="002A2F65"/>
    <w:rsid w:val="002A4A97"/>
    <w:rsid w:val="002A7C2E"/>
    <w:rsid w:val="002B08AC"/>
    <w:rsid w:val="002B787A"/>
    <w:rsid w:val="002C4345"/>
    <w:rsid w:val="002C62FA"/>
    <w:rsid w:val="002C731F"/>
    <w:rsid w:val="002D2CCD"/>
    <w:rsid w:val="002D34DD"/>
    <w:rsid w:val="002E0633"/>
    <w:rsid w:val="002E0ADF"/>
    <w:rsid w:val="002E3400"/>
    <w:rsid w:val="002E6105"/>
    <w:rsid w:val="002E651A"/>
    <w:rsid w:val="00300740"/>
    <w:rsid w:val="00302091"/>
    <w:rsid w:val="00306C13"/>
    <w:rsid w:val="00310BC4"/>
    <w:rsid w:val="003200E8"/>
    <w:rsid w:val="00326CE9"/>
    <w:rsid w:val="00327DFB"/>
    <w:rsid w:val="00341DBF"/>
    <w:rsid w:val="00344779"/>
    <w:rsid w:val="0034557E"/>
    <w:rsid w:val="003522F2"/>
    <w:rsid w:val="0035654C"/>
    <w:rsid w:val="003567EF"/>
    <w:rsid w:val="00357415"/>
    <w:rsid w:val="00364940"/>
    <w:rsid w:val="003720E5"/>
    <w:rsid w:val="00372979"/>
    <w:rsid w:val="003743EA"/>
    <w:rsid w:val="00374466"/>
    <w:rsid w:val="00380A26"/>
    <w:rsid w:val="00381A5E"/>
    <w:rsid w:val="00384191"/>
    <w:rsid w:val="00386D67"/>
    <w:rsid w:val="00390DBB"/>
    <w:rsid w:val="00396FB6"/>
    <w:rsid w:val="003970F4"/>
    <w:rsid w:val="003A1468"/>
    <w:rsid w:val="003A7D7B"/>
    <w:rsid w:val="003B0344"/>
    <w:rsid w:val="003B0539"/>
    <w:rsid w:val="003C42E2"/>
    <w:rsid w:val="003C63D9"/>
    <w:rsid w:val="003D2BBE"/>
    <w:rsid w:val="003D615F"/>
    <w:rsid w:val="003E4C2F"/>
    <w:rsid w:val="003E58D4"/>
    <w:rsid w:val="003E7C25"/>
    <w:rsid w:val="003F4AAB"/>
    <w:rsid w:val="003F6EF2"/>
    <w:rsid w:val="003F76E1"/>
    <w:rsid w:val="003F7814"/>
    <w:rsid w:val="00403E42"/>
    <w:rsid w:val="00404FBE"/>
    <w:rsid w:val="00412E43"/>
    <w:rsid w:val="004131C7"/>
    <w:rsid w:val="00420621"/>
    <w:rsid w:val="004238EE"/>
    <w:rsid w:val="00426252"/>
    <w:rsid w:val="004301DC"/>
    <w:rsid w:val="0043406D"/>
    <w:rsid w:val="00442ABF"/>
    <w:rsid w:val="00442F22"/>
    <w:rsid w:val="004430B6"/>
    <w:rsid w:val="00444CBB"/>
    <w:rsid w:val="00450142"/>
    <w:rsid w:val="0046364B"/>
    <w:rsid w:val="00467E06"/>
    <w:rsid w:val="0047527E"/>
    <w:rsid w:val="00476783"/>
    <w:rsid w:val="00477F9B"/>
    <w:rsid w:val="00485431"/>
    <w:rsid w:val="004A1777"/>
    <w:rsid w:val="004A34AA"/>
    <w:rsid w:val="004A45F5"/>
    <w:rsid w:val="004B5182"/>
    <w:rsid w:val="004C06F1"/>
    <w:rsid w:val="004C3C7E"/>
    <w:rsid w:val="004C526C"/>
    <w:rsid w:val="004D03F2"/>
    <w:rsid w:val="004E0376"/>
    <w:rsid w:val="004E6193"/>
    <w:rsid w:val="004E6DD1"/>
    <w:rsid w:val="004F4AAF"/>
    <w:rsid w:val="004F6C97"/>
    <w:rsid w:val="004F73D8"/>
    <w:rsid w:val="005079F0"/>
    <w:rsid w:val="0051220D"/>
    <w:rsid w:val="00523610"/>
    <w:rsid w:val="00526B07"/>
    <w:rsid w:val="00531458"/>
    <w:rsid w:val="00531C46"/>
    <w:rsid w:val="00534000"/>
    <w:rsid w:val="00537D8E"/>
    <w:rsid w:val="00541267"/>
    <w:rsid w:val="00541526"/>
    <w:rsid w:val="00546902"/>
    <w:rsid w:val="00551522"/>
    <w:rsid w:val="00557551"/>
    <w:rsid w:val="005610B9"/>
    <w:rsid w:val="00561231"/>
    <w:rsid w:val="00562619"/>
    <w:rsid w:val="005662DA"/>
    <w:rsid w:val="00571401"/>
    <w:rsid w:val="005726BD"/>
    <w:rsid w:val="005733FF"/>
    <w:rsid w:val="00573C1B"/>
    <w:rsid w:val="00576D29"/>
    <w:rsid w:val="0058061B"/>
    <w:rsid w:val="00582F90"/>
    <w:rsid w:val="00582FCA"/>
    <w:rsid w:val="00583889"/>
    <w:rsid w:val="00585ED9"/>
    <w:rsid w:val="00586A6B"/>
    <w:rsid w:val="005876CD"/>
    <w:rsid w:val="0059087F"/>
    <w:rsid w:val="00591C43"/>
    <w:rsid w:val="00593723"/>
    <w:rsid w:val="00595CE7"/>
    <w:rsid w:val="005A3C61"/>
    <w:rsid w:val="005A6AC1"/>
    <w:rsid w:val="005A6F50"/>
    <w:rsid w:val="005B0D1D"/>
    <w:rsid w:val="005B0F85"/>
    <w:rsid w:val="005B4C6D"/>
    <w:rsid w:val="005B7C3F"/>
    <w:rsid w:val="005C1DC2"/>
    <w:rsid w:val="005C54A7"/>
    <w:rsid w:val="005C64CA"/>
    <w:rsid w:val="005E2828"/>
    <w:rsid w:val="005E679B"/>
    <w:rsid w:val="005F3FE6"/>
    <w:rsid w:val="00604956"/>
    <w:rsid w:val="00607C4C"/>
    <w:rsid w:val="0061008C"/>
    <w:rsid w:val="00614377"/>
    <w:rsid w:val="0061459E"/>
    <w:rsid w:val="006177E7"/>
    <w:rsid w:val="00621CAB"/>
    <w:rsid w:val="00622478"/>
    <w:rsid w:val="00627592"/>
    <w:rsid w:val="00630DDF"/>
    <w:rsid w:val="00634039"/>
    <w:rsid w:val="0063744D"/>
    <w:rsid w:val="006446CA"/>
    <w:rsid w:val="00646A31"/>
    <w:rsid w:val="00646D22"/>
    <w:rsid w:val="00647A51"/>
    <w:rsid w:val="0065033B"/>
    <w:rsid w:val="0066076C"/>
    <w:rsid w:val="006728A0"/>
    <w:rsid w:val="006733A9"/>
    <w:rsid w:val="0067618B"/>
    <w:rsid w:val="006777A6"/>
    <w:rsid w:val="00680836"/>
    <w:rsid w:val="00682008"/>
    <w:rsid w:val="0068345C"/>
    <w:rsid w:val="006834F6"/>
    <w:rsid w:val="006857AA"/>
    <w:rsid w:val="00694DCD"/>
    <w:rsid w:val="006A2F42"/>
    <w:rsid w:val="006A406B"/>
    <w:rsid w:val="006A4819"/>
    <w:rsid w:val="006B0316"/>
    <w:rsid w:val="006B20A0"/>
    <w:rsid w:val="006B3F10"/>
    <w:rsid w:val="006B6FDD"/>
    <w:rsid w:val="006C480E"/>
    <w:rsid w:val="006C6714"/>
    <w:rsid w:val="006D01E5"/>
    <w:rsid w:val="006D1A55"/>
    <w:rsid w:val="006D1C82"/>
    <w:rsid w:val="006E1C6C"/>
    <w:rsid w:val="006F237B"/>
    <w:rsid w:val="006F2CCF"/>
    <w:rsid w:val="006F42DF"/>
    <w:rsid w:val="006F4FAD"/>
    <w:rsid w:val="006F5549"/>
    <w:rsid w:val="007068AC"/>
    <w:rsid w:val="00711F2C"/>
    <w:rsid w:val="007208FD"/>
    <w:rsid w:val="007215C7"/>
    <w:rsid w:val="00726667"/>
    <w:rsid w:val="0073182F"/>
    <w:rsid w:val="007337D4"/>
    <w:rsid w:val="00741856"/>
    <w:rsid w:val="00745267"/>
    <w:rsid w:val="007458A6"/>
    <w:rsid w:val="0074662D"/>
    <w:rsid w:val="00750576"/>
    <w:rsid w:val="00751A0C"/>
    <w:rsid w:val="00756D9F"/>
    <w:rsid w:val="00757790"/>
    <w:rsid w:val="00770F30"/>
    <w:rsid w:val="00784C44"/>
    <w:rsid w:val="00784E42"/>
    <w:rsid w:val="00791243"/>
    <w:rsid w:val="00795BD8"/>
    <w:rsid w:val="007A16ED"/>
    <w:rsid w:val="007A2C79"/>
    <w:rsid w:val="007A3D2E"/>
    <w:rsid w:val="007B1AEF"/>
    <w:rsid w:val="007C50C0"/>
    <w:rsid w:val="007C5814"/>
    <w:rsid w:val="007D10EF"/>
    <w:rsid w:val="007D4D88"/>
    <w:rsid w:val="007D7D1C"/>
    <w:rsid w:val="007E1905"/>
    <w:rsid w:val="007E7177"/>
    <w:rsid w:val="007F0450"/>
    <w:rsid w:val="007F4F1F"/>
    <w:rsid w:val="007F5BD0"/>
    <w:rsid w:val="007F6ED8"/>
    <w:rsid w:val="00812B37"/>
    <w:rsid w:val="008175BC"/>
    <w:rsid w:val="00820888"/>
    <w:rsid w:val="0082477E"/>
    <w:rsid w:val="008377F1"/>
    <w:rsid w:val="00847711"/>
    <w:rsid w:val="00847E92"/>
    <w:rsid w:val="00852F87"/>
    <w:rsid w:val="00855952"/>
    <w:rsid w:val="0085622D"/>
    <w:rsid w:val="00860D68"/>
    <w:rsid w:val="008615CF"/>
    <w:rsid w:val="0086607B"/>
    <w:rsid w:val="00867A32"/>
    <w:rsid w:val="00870C44"/>
    <w:rsid w:val="00880A04"/>
    <w:rsid w:val="0088285A"/>
    <w:rsid w:val="00882C4D"/>
    <w:rsid w:val="008839BD"/>
    <w:rsid w:val="0088481E"/>
    <w:rsid w:val="0088697C"/>
    <w:rsid w:val="00890879"/>
    <w:rsid w:val="00894917"/>
    <w:rsid w:val="008A58B6"/>
    <w:rsid w:val="008A7999"/>
    <w:rsid w:val="008B2A80"/>
    <w:rsid w:val="008B51C9"/>
    <w:rsid w:val="008C0C2B"/>
    <w:rsid w:val="008C1891"/>
    <w:rsid w:val="008C61E8"/>
    <w:rsid w:val="008D04BD"/>
    <w:rsid w:val="008D267B"/>
    <w:rsid w:val="008D286D"/>
    <w:rsid w:val="008D36FA"/>
    <w:rsid w:val="008D402C"/>
    <w:rsid w:val="008D6CA5"/>
    <w:rsid w:val="008E0FDA"/>
    <w:rsid w:val="008E1032"/>
    <w:rsid w:val="008E3602"/>
    <w:rsid w:val="008E3B55"/>
    <w:rsid w:val="008F0EC7"/>
    <w:rsid w:val="008F5929"/>
    <w:rsid w:val="009176B4"/>
    <w:rsid w:val="00925E00"/>
    <w:rsid w:val="009307EE"/>
    <w:rsid w:val="0093141D"/>
    <w:rsid w:val="0093216C"/>
    <w:rsid w:val="00933E8B"/>
    <w:rsid w:val="009377E7"/>
    <w:rsid w:val="0094044A"/>
    <w:rsid w:val="00946642"/>
    <w:rsid w:val="00952BB8"/>
    <w:rsid w:val="00952EEE"/>
    <w:rsid w:val="00952FC8"/>
    <w:rsid w:val="00955516"/>
    <w:rsid w:val="00961B4B"/>
    <w:rsid w:val="00966682"/>
    <w:rsid w:val="00967BDB"/>
    <w:rsid w:val="00974D10"/>
    <w:rsid w:val="00984A43"/>
    <w:rsid w:val="00990BB3"/>
    <w:rsid w:val="009914D9"/>
    <w:rsid w:val="00993316"/>
    <w:rsid w:val="00995228"/>
    <w:rsid w:val="009A2AFA"/>
    <w:rsid w:val="009A797E"/>
    <w:rsid w:val="009D00BC"/>
    <w:rsid w:val="009D1E91"/>
    <w:rsid w:val="009D2D8F"/>
    <w:rsid w:val="009D4396"/>
    <w:rsid w:val="009D5C45"/>
    <w:rsid w:val="009E10F5"/>
    <w:rsid w:val="009E5F8D"/>
    <w:rsid w:val="009E7053"/>
    <w:rsid w:val="009E7EA6"/>
    <w:rsid w:val="009F1BDC"/>
    <w:rsid w:val="009F4972"/>
    <w:rsid w:val="009F687E"/>
    <w:rsid w:val="009F7BAA"/>
    <w:rsid w:val="00A021C0"/>
    <w:rsid w:val="00A1137C"/>
    <w:rsid w:val="00A12539"/>
    <w:rsid w:val="00A26E2B"/>
    <w:rsid w:val="00A36A4B"/>
    <w:rsid w:val="00A42694"/>
    <w:rsid w:val="00A44B98"/>
    <w:rsid w:val="00A57EE4"/>
    <w:rsid w:val="00A71747"/>
    <w:rsid w:val="00A74758"/>
    <w:rsid w:val="00A868D1"/>
    <w:rsid w:val="00A96EC8"/>
    <w:rsid w:val="00AA0BFC"/>
    <w:rsid w:val="00AA3030"/>
    <w:rsid w:val="00AA641A"/>
    <w:rsid w:val="00AB69E4"/>
    <w:rsid w:val="00AB7054"/>
    <w:rsid w:val="00AC003B"/>
    <w:rsid w:val="00AC668C"/>
    <w:rsid w:val="00AD2086"/>
    <w:rsid w:val="00AD658B"/>
    <w:rsid w:val="00AD7806"/>
    <w:rsid w:val="00AE1494"/>
    <w:rsid w:val="00AF7B02"/>
    <w:rsid w:val="00B00899"/>
    <w:rsid w:val="00B03D86"/>
    <w:rsid w:val="00B0689D"/>
    <w:rsid w:val="00B12F7D"/>
    <w:rsid w:val="00B13856"/>
    <w:rsid w:val="00B24614"/>
    <w:rsid w:val="00B3260A"/>
    <w:rsid w:val="00B32BF1"/>
    <w:rsid w:val="00B337E9"/>
    <w:rsid w:val="00B339E0"/>
    <w:rsid w:val="00B34395"/>
    <w:rsid w:val="00B36C63"/>
    <w:rsid w:val="00B4193E"/>
    <w:rsid w:val="00B54FBB"/>
    <w:rsid w:val="00B60D21"/>
    <w:rsid w:val="00B6490F"/>
    <w:rsid w:val="00B66B6C"/>
    <w:rsid w:val="00B735A9"/>
    <w:rsid w:val="00B81470"/>
    <w:rsid w:val="00B87F45"/>
    <w:rsid w:val="00B90BB6"/>
    <w:rsid w:val="00B94759"/>
    <w:rsid w:val="00BA2A9B"/>
    <w:rsid w:val="00BB152E"/>
    <w:rsid w:val="00BB28A0"/>
    <w:rsid w:val="00BB6C9F"/>
    <w:rsid w:val="00BB6FE9"/>
    <w:rsid w:val="00BB7324"/>
    <w:rsid w:val="00BC1238"/>
    <w:rsid w:val="00BD167A"/>
    <w:rsid w:val="00BD6C4A"/>
    <w:rsid w:val="00BE354E"/>
    <w:rsid w:val="00BE6CA5"/>
    <w:rsid w:val="00BE6EB3"/>
    <w:rsid w:val="00BF3515"/>
    <w:rsid w:val="00C0521F"/>
    <w:rsid w:val="00C075E4"/>
    <w:rsid w:val="00C12156"/>
    <w:rsid w:val="00C133F2"/>
    <w:rsid w:val="00C138A9"/>
    <w:rsid w:val="00C155E6"/>
    <w:rsid w:val="00C231FD"/>
    <w:rsid w:val="00C2796E"/>
    <w:rsid w:val="00C343B5"/>
    <w:rsid w:val="00C34F38"/>
    <w:rsid w:val="00C44026"/>
    <w:rsid w:val="00C4583F"/>
    <w:rsid w:val="00C53A89"/>
    <w:rsid w:val="00C53D51"/>
    <w:rsid w:val="00C53D55"/>
    <w:rsid w:val="00C57142"/>
    <w:rsid w:val="00C61B5B"/>
    <w:rsid w:val="00C6393C"/>
    <w:rsid w:val="00C66433"/>
    <w:rsid w:val="00C743BB"/>
    <w:rsid w:val="00C773A8"/>
    <w:rsid w:val="00C829B1"/>
    <w:rsid w:val="00C82E31"/>
    <w:rsid w:val="00C91159"/>
    <w:rsid w:val="00C91E57"/>
    <w:rsid w:val="00C965F0"/>
    <w:rsid w:val="00C9675D"/>
    <w:rsid w:val="00C96E39"/>
    <w:rsid w:val="00CA194A"/>
    <w:rsid w:val="00CA1B48"/>
    <w:rsid w:val="00CA21AC"/>
    <w:rsid w:val="00CA368B"/>
    <w:rsid w:val="00CB2706"/>
    <w:rsid w:val="00CB2F3C"/>
    <w:rsid w:val="00CB5185"/>
    <w:rsid w:val="00CB5AFF"/>
    <w:rsid w:val="00CB77B2"/>
    <w:rsid w:val="00CC7D64"/>
    <w:rsid w:val="00CD2B90"/>
    <w:rsid w:val="00CD384F"/>
    <w:rsid w:val="00CD3F84"/>
    <w:rsid w:val="00CE03DF"/>
    <w:rsid w:val="00CE374F"/>
    <w:rsid w:val="00CE3CCC"/>
    <w:rsid w:val="00CE4661"/>
    <w:rsid w:val="00CE71A3"/>
    <w:rsid w:val="00CF057B"/>
    <w:rsid w:val="00CF060C"/>
    <w:rsid w:val="00CF0AF9"/>
    <w:rsid w:val="00CF507B"/>
    <w:rsid w:val="00CF555C"/>
    <w:rsid w:val="00D03801"/>
    <w:rsid w:val="00D0651E"/>
    <w:rsid w:val="00D12984"/>
    <w:rsid w:val="00D21FA1"/>
    <w:rsid w:val="00D24048"/>
    <w:rsid w:val="00D24182"/>
    <w:rsid w:val="00D25675"/>
    <w:rsid w:val="00D2784E"/>
    <w:rsid w:val="00D27FDC"/>
    <w:rsid w:val="00D31789"/>
    <w:rsid w:val="00D326ED"/>
    <w:rsid w:val="00D32E31"/>
    <w:rsid w:val="00D34A81"/>
    <w:rsid w:val="00D35D91"/>
    <w:rsid w:val="00D370EB"/>
    <w:rsid w:val="00D45466"/>
    <w:rsid w:val="00D51FD2"/>
    <w:rsid w:val="00D5342A"/>
    <w:rsid w:val="00D5645E"/>
    <w:rsid w:val="00D60663"/>
    <w:rsid w:val="00D615C2"/>
    <w:rsid w:val="00D63E2F"/>
    <w:rsid w:val="00D64735"/>
    <w:rsid w:val="00D64ACD"/>
    <w:rsid w:val="00D65AEC"/>
    <w:rsid w:val="00D66287"/>
    <w:rsid w:val="00D66AFD"/>
    <w:rsid w:val="00D66D65"/>
    <w:rsid w:val="00D72D0C"/>
    <w:rsid w:val="00D74FD0"/>
    <w:rsid w:val="00D75EB2"/>
    <w:rsid w:val="00D9111F"/>
    <w:rsid w:val="00D92488"/>
    <w:rsid w:val="00D92B06"/>
    <w:rsid w:val="00D92B6D"/>
    <w:rsid w:val="00DA367D"/>
    <w:rsid w:val="00DA522B"/>
    <w:rsid w:val="00DB2D55"/>
    <w:rsid w:val="00DB31E6"/>
    <w:rsid w:val="00DB32FD"/>
    <w:rsid w:val="00DB34A1"/>
    <w:rsid w:val="00DB6A79"/>
    <w:rsid w:val="00DD3119"/>
    <w:rsid w:val="00DF0088"/>
    <w:rsid w:val="00DF24FF"/>
    <w:rsid w:val="00DF3C0A"/>
    <w:rsid w:val="00DF585F"/>
    <w:rsid w:val="00DF6B7D"/>
    <w:rsid w:val="00E01A25"/>
    <w:rsid w:val="00E03659"/>
    <w:rsid w:val="00E138C6"/>
    <w:rsid w:val="00E2010C"/>
    <w:rsid w:val="00E252DF"/>
    <w:rsid w:val="00E2671F"/>
    <w:rsid w:val="00E31669"/>
    <w:rsid w:val="00E32D22"/>
    <w:rsid w:val="00E3406C"/>
    <w:rsid w:val="00E42286"/>
    <w:rsid w:val="00E46F4E"/>
    <w:rsid w:val="00E47B2E"/>
    <w:rsid w:val="00E5263E"/>
    <w:rsid w:val="00E556F7"/>
    <w:rsid w:val="00E57DCF"/>
    <w:rsid w:val="00E627E2"/>
    <w:rsid w:val="00E64730"/>
    <w:rsid w:val="00E648A5"/>
    <w:rsid w:val="00E66216"/>
    <w:rsid w:val="00E767EE"/>
    <w:rsid w:val="00E81135"/>
    <w:rsid w:val="00E91601"/>
    <w:rsid w:val="00EA18B3"/>
    <w:rsid w:val="00EA2330"/>
    <w:rsid w:val="00EA36F8"/>
    <w:rsid w:val="00EA5935"/>
    <w:rsid w:val="00EA5C35"/>
    <w:rsid w:val="00EA62EA"/>
    <w:rsid w:val="00EB4D78"/>
    <w:rsid w:val="00EB5AE4"/>
    <w:rsid w:val="00EC1592"/>
    <w:rsid w:val="00EC3EF6"/>
    <w:rsid w:val="00ED02D1"/>
    <w:rsid w:val="00ED20E4"/>
    <w:rsid w:val="00EE1A05"/>
    <w:rsid w:val="00EE67BC"/>
    <w:rsid w:val="00EE6AD6"/>
    <w:rsid w:val="00EE738C"/>
    <w:rsid w:val="00EF2932"/>
    <w:rsid w:val="00EF2AC2"/>
    <w:rsid w:val="00EF5B64"/>
    <w:rsid w:val="00F03B21"/>
    <w:rsid w:val="00F03DDE"/>
    <w:rsid w:val="00F06E60"/>
    <w:rsid w:val="00F07E03"/>
    <w:rsid w:val="00F10354"/>
    <w:rsid w:val="00F10DEF"/>
    <w:rsid w:val="00F10F26"/>
    <w:rsid w:val="00F13BB7"/>
    <w:rsid w:val="00F142D9"/>
    <w:rsid w:val="00F16246"/>
    <w:rsid w:val="00F263F4"/>
    <w:rsid w:val="00F3002B"/>
    <w:rsid w:val="00F343C1"/>
    <w:rsid w:val="00F35883"/>
    <w:rsid w:val="00F35B6A"/>
    <w:rsid w:val="00F44939"/>
    <w:rsid w:val="00F56CD4"/>
    <w:rsid w:val="00F71E2D"/>
    <w:rsid w:val="00F728E5"/>
    <w:rsid w:val="00F74C03"/>
    <w:rsid w:val="00F752FE"/>
    <w:rsid w:val="00F81F5D"/>
    <w:rsid w:val="00F9061F"/>
    <w:rsid w:val="00FA6031"/>
    <w:rsid w:val="00FA6138"/>
    <w:rsid w:val="00FB3B3A"/>
    <w:rsid w:val="00FB498C"/>
    <w:rsid w:val="00FB61DB"/>
    <w:rsid w:val="00FC1468"/>
    <w:rsid w:val="00FD43D9"/>
    <w:rsid w:val="00FE19F0"/>
    <w:rsid w:val="00FE5769"/>
    <w:rsid w:val="00FE753B"/>
    <w:rsid w:val="00FF1BA2"/>
    <w:rsid w:val="00FF2145"/>
    <w:rsid w:val="00FF5CE8"/>
    <w:rsid w:val="012C407E"/>
    <w:rsid w:val="01594A42"/>
    <w:rsid w:val="016129B8"/>
    <w:rsid w:val="018C73C1"/>
    <w:rsid w:val="01C85BCC"/>
    <w:rsid w:val="01E82C5E"/>
    <w:rsid w:val="022F052C"/>
    <w:rsid w:val="023A54C9"/>
    <w:rsid w:val="0247377C"/>
    <w:rsid w:val="02500CF6"/>
    <w:rsid w:val="0278386E"/>
    <w:rsid w:val="02966281"/>
    <w:rsid w:val="03861846"/>
    <w:rsid w:val="038C4980"/>
    <w:rsid w:val="03C25D9A"/>
    <w:rsid w:val="03F371E5"/>
    <w:rsid w:val="04505505"/>
    <w:rsid w:val="048A17D6"/>
    <w:rsid w:val="04F3007E"/>
    <w:rsid w:val="04FC088E"/>
    <w:rsid w:val="0519683B"/>
    <w:rsid w:val="055C6D34"/>
    <w:rsid w:val="055E2C6B"/>
    <w:rsid w:val="056D6879"/>
    <w:rsid w:val="05D16173"/>
    <w:rsid w:val="060859AD"/>
    <w:rsid w:val="060B1B38"/>
    <w:rsid w:val="061B273E"/>
    <w:rsid w:val="0628207F"/>
    <w:rsid w:val="062A786A"/>
    <w:rsid w:val="06501852"/>
    <w:rsid w:val="067F3E70"/>
    <w:rsid w:val="06802C42"/>
    <w:rsid w:val="06873BD5"/>
    <w:rsid w:val="06B92F42"/>
    <w:rsid w:val="06F836DA"/>
    <w:rsid w:val="070C1155"/>
    <w:rsid w:val="07137F04"/>
    <w:rsid w:val="07144D04"/>
    <w:rsid w:val="073101C1"/>
    <w:rsid w:val="073A72DF"/>
    <w:rsid w:val="07581E07"/>
    <w:rsid w:val="077B708A"/>
    <w:rsid w:val="0799125C"/>
    <w:rsid w:val="079B62D2"/>
    <w:rsid w:val="07AC1028"/>
    <w:rsid w:val="07D75621"/>
    <w:rsid w:val="08061D1C"/>
    <w:rsid w:val="08117A83"/>
    <w:rsid w:val="086D5E85"/>
    <w:rsid w:val="08D24DC7"/>
    <w:rsid w:val="08DC01AC"/>
    <w:rsid w:val="08FB6680"/>
    <w:rsid w:val="09023DD7"/>
    <w:rsid w:val="094E2720"/>
    <w:rsid w:val="09683D97"/>
    <w:rsid w:val="09714B6D"/>
    <w:rsid w:val="097B190D"/>
    <w:rsid w:val="09D656CD"/>
    <w:rsid w:val="09DE6F3E"/>
    <w:rsid w:val="09ED2561"/>
    <w:rsid w:val="09F0615A"/>
    <w:rsid w:val="0A197CD4"/>
    <w:rsid w:val="0A1C5F27"/>
    <w:rsid w:val="0A2A5EDA"/>
    <w:rsid w:val="0A2D0EFD"/>
    <w:rsid w:val="0A9065C2"/>
    <w:rsid w:val="0AA413B6"/>
    <w:rsid w:val="0AE24188"/>
    <w:rsid w:val="0B0B5B4F"/>
    <w:rsid w:val="0B3C423C"/>
    <w:rsid w:val="0B5A1E08"/>
    <w:rsid w:val="0B7C4146"/>
    <w:rsid w:val="0B7E6A13"/>
    <w:rsid w:val="0B8E7275"/>
    <w:rsid w:val="0C0500FF"/>
    <w:rsid w:val="0C0B3B32"/>
    <w:rsid w:val="0C1D2D8F"/>
    <w:rsid w:val="0C855ECA"/>
    <w:rsid w:val="0CBC2F33"/>
    <w:rsid w:val="0CD14DDE"/>
    <w:rsid w:val="0CDA3224"/>
    <w:rsid w:val="0D135D0D"/>
    <w:rsid w:val="0D3A4D4C"/>
    <w:rsid w:val="0D4A39EC"/>
    <w:rsid w:val="0D7D66D2"/>
    <w:rsid w:val="0D884FFE"/>
    <w:rsid w:val="0DB20D2A"/>
    <w:rsid w:val="0DD93CD0"/>
    <w:rsid w:val="0E1E3A72"/>
    <w:rsid w:val="0E2C70EF"/>
    <w:rsid w:val="0E7F22CD"/>
    <w:rsid w:val="0ED62D83"/>
    <w:rsid w:val="0EE67F55"/>
    <w:rsid w:val="0F1224F8"/>
    <w:rsid w:val="0F1E248B"/>
    <w:rsid w:val="0F3155D8"/>
    <w:rsid w:val="0F4F224E"/>
    <w:rsid w:val="0F595892"/>
    <w:rsid w:val="0F5A5196"/>
    <w:rsid w:val="0FAF24CC"/>
    <w:rsid w:val="0FB53FF3"/>
    <w:rsid w:val="0FC46F1F"/>
    <w:rsid w:val="100A166A"/>
    <w:rsid w:val="100A471B"/>
    <w:rsid w:val="10225E81"/>
    <w:rsid w:val="102B7805"/>
    <w:rsid w:val="102C7CAA"/>
    <w:rsid w:val="104904B3"/>
    <w:rsid w:val="10A20A01"/>
    <w:rsid w:val="10A91D11"/>
    <w:rsid w:val="10B27B77"/>
    <w:rsid w:val="110D13C7"/>
    <w:rsid w:val="112A7520"/>
    <w:rsid w:val="112D4C25"/>
    <w:rsid w:val="115365EF"/>
    <w:rsid w:val="11562ABE"/>
    <w:rsid w:val="11F36235"/>
    <w:rsid w:val="12082E30"/>
    <w:rsid w:val="120B2FE4"/>
    <w:rsid w:val="12163622"/>
    <w:rsid w:val="122C0791"/>
    <w:rsid w:val="125F3052"/>
    <w:rsid w:val="12624A5F"/>
    <w:rsid w:val="1274600F"/>
    <w:rsid w:val="128C14A3"/>
    <w:rsid w:val="1322196E"/>
    <w:rsid w:val="138521C3"/>
    <w:rsid w:val="13880F8A"/>
    <w:rsid w:val="13D94193"/>
    <w:rsid w:val="14290AB6"/>
    <w:rsid w:val="1436004B"/>
    <w:rsid w:val="14B55664"/>
    <w:rsid w:val="159C0F57"/>
    <w:rsid w:val="15A7440A"/>
    <w:rsid w:val="15BC57C8"/>
    <w:rsid w:val="15D227C3"/>
    <w:rsid w:val="15E54C83"/>
    <w:rsid w:val="161438A2"/>
    <w:rsid w:val="161B256A"/>
    <w:rsid w:val="16635333"/>
    <w:rsid w:val="167A177D"/>
    <w:rsid w:val="168B1DC9"/>
    <w:rsid w:val="16B03C02"/>
    <w:rsid w:val="16D17F22"/>
    <w:rsid w:val="1782724E"/>
    <w:rsid w:val="17A84708"/>
    <w:rsid w:val="17B06D6A"/>
    <w:rsid w:val="18083BB6"/>
    <w:rsid w:val="18190B1B"/>
    <w:rsid w:val="182061EA"/>
    <w:rsid w:val="185B39D8"/>
    <w:rsid w:val="1881328E"/>
    <w:rsid w:val="18826397"/>
    <w:rsid w:val="18E173E1"/>
    <w:rsid w:val="18E772C9"/>
    <w:rsid w:val="18F06E9C"/>
    <w:rsid w:val="18FF55FF"/>
    <w:rsid w:val="19031B49"/>
    <w:rsid w:val="193E2F3B"/>
    <w:rsid w:val="194C2FB5"/>
    <w:rsid w:val="19992A0C"/>
    <w:rsid w:val="19C122CF"/>
    <w:rsid w:val="19D319DD"/>
    <w:rsid w:val="19D63004"/>
    <w:rsid w:val="19D95988"/>
    <w:rsid w:val="1A0A3BAA"/>
    <w:rsid w:val="1A787C26"/>
    <w:rsid w:val="1AC01487"/>
    <w:rsid w:val="1B1427D3"/>
    <w:rsid w:val="1B23680C"/>
    <w:rsid w:val="1B780BA5"/>
    <w:rsid w:val="1B815B96"/>
    <w:rsid w:val="1B8509AF"/>
    <w:rsid w:val="1B914D7D"/>
    <w:rsid w:val="1BAE6ACC"/>
    <w:rsid w:val="1C144F02"/>
    <w:rsid w:val="1C4010CE"/>
    <w:rsid w:val="1CAC24B3"/>
    <w:rsid w:val="1CB47039"/>
    <w:rsid w:val="1CCA0230"/>
    <w:rsid w:val="1D0360E9"/>
    <w:rsid w:val="1D716E2D"/>
    <w:rsid w:val="1D752371"/>
    <w:rsid w:val="1E0F07C3"/>
    <w:rsid w:val="1E10003B"/>
    <w:rsid w:val="1E664481"/>
    <w:rsid w:val="1ED16693"/>
    <w:rsid w:val="1EE14B82"/>
    <w:rsid w:val="1EF8724F"/>
    <w:rsid w:val="1F076AC0"/>
    <w:rsid w:val="1F2308E4"/>
    <w:rsid w:val="1F88497A"/>
    <w:rsid w:val="1FD52F66"/>
    <w:rsid w:val="1FD87923"/>
    <w:rsid w:val="1FFC35D1"/>
    <w:rsid w:val="20816906"/>
    <w:rsid w:val="210402B4"/>
    <w:rsid w:val="210B6694"/>
    <w:rsid w:val="213B1923"/>
    <w:rsid w:val="215948D7"/>
    <w:rsid w:val="21877D9F"/>
    <w:rsid w:val="21CE0E9D"/>
    <w:rsid w:val="21DD182E"/>
    <w:rsid w:val="221D763D"/>
    <w:rsid w:val="22281C58"/>
    <w:rsid w:val="22335669"/>
    <w:rsid w:val="2246653B"/>
    <w:rsid w:val="22484E0F"/>
    <w:rsid w:val="225E7C8C"/>
    <w:rsid w:val="226B2CBC"/>
    <w:rsid w:val="22D771C1"/>
    <w:rsid w:val="22F41E52"/>
    <w:rsid w:val="23000DE9"/>
    <w:rsid w:val="23543C7E"/>
    <w:rsid w:val="235C0E70"/>
    <w:rsid w:val="23A01EB8"/>
    <w:rsid w:val="241954B8"/>
    <w:rsid w:val="24657112"/>
    <w:rsid w:val="248003DB"/>
    <w:rsid w:val="248812B1"/>
    <w:rsid w:val="24994B69"/>
    <w:rsid w:val="249A3AEA"/>
    <w:rsid w:val="24FE6053"/>
    <w:rsid w:val="253473ED"/>
    <w:rsid w:val="256F31E1"/>
    <w:rsid w:val="25E8244A"/>
    <w:rsid w:val="26067CDD"/>
    <w:rsid w:val="262D2B80"/>
    <w:rsid w:val="263B4BBB"/>
    <w:rsid w:val="26584393"/>
    <w:rsid w:val="26595E66"/>
    <w:rsid w:val="265F315F"/>
    <w:rsid w:val="26900F76"/>
    <w:rsid w:val="26B56E04"/>
    <w:rsid w:val="26BB16FF"/>
    <w:rsid w:val="27080447"/>
    <w:rsid w:val="272D4163"/>
    <w:rsid w:val="272E155D"/>
    <w:rsid w:val="27485145"/>
    <w:rsid w:val="27616AF6"/>
    <w:rsid w:val="277001A4"/>
    <w:rsid w:val="277D5593"/>
    <w:rsid w:val="278A316C"/>
    <w:rsid w:val="27A04F3D"/>
    <w:rsid w:val="27FC4DA5"/>
    <w:rsid w:val="28670A3A"/>
    <w:rsid w:val="28694B16"/>
    <w:rsid w:val="287F5552"/>
    <w:rsid w:val="288A047E"/>
    <w:rsid w:val="28A2478C"/>
    <w:rsid w:val="28AE6D8A"/>
    <w:rsid w:val="28F374E8"/>
    <w:rsid w:val="29070622"/>
    <w:rsid w:val="29084323"/>
    <w:rsid w:val="29375F1E"/>
    <w:rsid w:val="295C7BEB"/>
    <w:rsid w:val="296C559F"/>
    <w:rsid w:val="299557BE"/>
    <w:rsid w:val="299A650B"/>
    <w:rsid w:val="29B10FBB"/>
    <w:rsid w:val="29B42099"/>
    <w:rsid w:val="29CD02B1"/>
    <w:rsid w:val="2A710BE8"/>
    <w:rsid w:val="2ABE7291"/>
    <w:rsid w:val="2B087DAB"/>
    <w:rsid w:val="2B0F51CD"/>
    <w:rsid w:val="2B336658"/>
    <w:rsid w:val="2B4D7652"/>
    <w:rsid w:val="2B592A95"/>
    <w:rsid w:val="2B7760EE"/>
    <w:rsid w:val="2B7B4FC0"/>
    <w:rsid w:val="2B7F5F89"/>
    <w:rsid w:val="2BC43604"/>
    <w:rsid w:val="2BD80E5D"/>
    <w:rsid w:val="2BDC7798"/>
    <w:rsid w:val="2C0C6A7D"/>
    <w:rsid w:val="2C1B1FA2"/>
    <w:rsid w:val="2C2165EC"/>
    <w:rsid w:val="2C2B6BA8"/>
    <w:rsid w:val="2C5373CC"/>
    <w:rsid w:val="2CB00ED0"/>
    <w:rsid w:val="2CC70888"/>
    <w:rsid w:val="2CD5068D"/>
    <w:rsid w:val="2CEF2ED7"/>
    <w:rsid w:val="2CF73D85"/>
    <w:rsid w:val="2CFC2792"/>
    <w:rsid w:val="2D273989"/>
    <w:rsid w:val="2D40089F"/>
    <w:rsid w:val="2D7D3117"/>
    <w:rsid w:val="2D8017AD"/>
    <w:rsid w:val="2D9F6428"/>
    <w:rsid w:val="2DBF1CEE"/>
    <w:rsid w:val="2DC43165"/>
    <w:rsid w:val="2DC71118"/>
    <w:rsid w:val="2DEA7F85"/>
    <w:rsid w:val="2E027D38"/>
    <w:rsid w:val="2E6B0E34"/>
    <w:rsid w:val="2E711E27"/>
    <w:rsid w:val="2F1A14AE"/>
    <w:rsid w:val="2FB0525D"/>
    <w:rsid w:val="2FE20BD3"/>
    <w:rsid w:val="301D3F9E"/>
    <w:rsid w:val="30324922"/>
    <w:rsid w:val="30495CFA"/>
    <w:rsid w:val="3055613B"/>
    <w:rsid w:val="30702D79"/>
    <w:rsid w:val="30A02B01"/>
    <w:rsid w:val="30AF6CD7"/>
    <w:rsid w:val="30B74573"/>
    <w:rsid w:val="310449A5"/>
    <w:rsid w:val="31112664"/>
    <w:rsid w:val="31207F70"/>
    <w:rsid w:val="312268E8"/>
    <w:rsid w:val="31436DF5"/>
    <w:rsid w:val="318E34D5"/>
    <w:rsid w:val="319F2C1E"/>
    <w:rsid w:val="32103E32"/>
    <w:rsid w:val="323415E0"/>
    <w:rsid w:val="32A27B0E"/>
    <w:rsid w:val="33487F58"/>
    <w:rsid w:val="338B5DCD"/>
    <w:rsid w:val="339557DC"/>
    <w:rsid w:val="339A08B1"/>
    <w:rsid w:val="33A20E63"/>
    <w:rsid w:val="33B508BD"/>
    <w:rsid w:val="34296C1B"/>
    <w:rsid w:val="34B023B9"/>
    <w:rsid w:val="34CF4536"/>
    <w:rsid w:val="34DE7744"/>
    <w:rsid w:val="34F04F61"/>
    <w:rsid w:val="3527362A"/>
    <w:rsid w:val="353F7331"/>
    <w:rsid w:val="358A1C39"/>
    <w:rsid w:val="360F199F"/>
    <w:rsid w:val="363B1F93"/>
    <w:rsid w:val="36681E80"/>
    <w:rsid w:val="367529AD"/>
    <w:rsid w:val="368559DA"/>
    <w:rsid w:val="36881F11"/>
    <w:rsid w:val="36FD45E4"/>
    <w:rsid w:val="36FF43AB"/>
    <w:rsid w:val="370664D0"/>
    <w:rsid w:val="37333944"/>
    <w:rsid w:val="37705A46"/>
    <w:rsid w:val="3773363A"/>
    <w:rsid w:val="37AB78D9"/>
    <w:rsid w:val="37C9023B"/>
    <w:rsid w:val="380A5ADC"/>
    <w:rsid w:val="384358B1"/>
    <w:rsid w:val="389404BB"/>
    <w:rsid w:val="389E1F01"/>
    <w:rsid w:val="38C328FD"/>
    <w:rsid w:val="38D56003"/>
    <w:rsid w:val="38E46E18"/>
    <w:rsid w:val="38F41A34"/>
    <w:rsid w:val="392C1D8F"/>
    <w:rsid w:val="392E15D4"/>
    <w:rsid w:val="396B7EE6"/>
    <w:rsid w:val="397F479B"/>
    <w:rsid w:val="39997EA6"/>
    <w:rsid w:val="39B7532B"/>
    <w:rsid w:val="39C801E8"/>
    <w:rsid w:val="39D87DDE"/>
    <w:rsid w:val="3A461679"/>
    <w:rsid w:val="3A501D0D"/>
    <w:rsid w:val="3A8A67E8"/>
    <w:rsid w:val="3AB93F67"/>
    <w:rsid w:val="3B296CED"/>
    <w:rsid w:val="3B2F7F07"/>
    <w:rsid w:val="3B727824"/>
    <w:rsid w:val="3B9137E0"/>
    <w:rsid w:val="3BCC7CC5"/>
    <w:rsid w:val="3BD13BAB"/>
    <w:rsid w:val="3BE04A04"/>
    <w:rsid w:val="3C037E94"/>
    <w:rsid w:val="3C274C82"/>
    <w:rsid w:val="3C2D5D5F"/>
    <w:rsid w:val="3C357980"/>
    <w:rsid w:val="3C52734F"/>
    <w:rsid w:val="3C564B0E"/>
    <w:rsid w:val="3C566D75"/>
    <w:rsid w:val="3C751259"/>
    <w:rsid w:val="3C917255"/>
    <w:rsid w:val="3CC36DCD"/>
    <w:rsid w:val="3CCE3495"/>
    <w:rsid w:val="3CE46D58"/>
    <w:rsid w:val="3D190765"/>
    <w:rsid w:val="3D2E10C9"/>
    <w:rsid w:val="3DAC0BC2"/>
    <w:rsid w:val="3DAE2975"/>
    <w:rsid w:val="3DF61C45"/>
    <w:rsid w:val="3E0971BC"/>
    <w:rsid w:val="3E0E7021"/>
    <w:rsid w:val="3E8D3F3C"/>
    <w:rsid w:val="3EBC44BF"/>
    <w:rsid w:val="3F861693"/>
    <w:rsid w:val="400A505D"/>
    <w:rsid w:val="401E30E9"/>
    <w:rsid w:val="404F0E81"/>
    <w:rsid w:val="40554138"/>
    <w:rsid w:val="407A54C6"/>
    <w:rsid w:val="4099795C"/>
    <w:rsid w:val="40AB3211"/>
    <w:rsid w:val="40CC5CDD"/>
    <w:rsid w:val="40D877B1"/>
    <w:rsid w:val="41203654"/>
    <w:rsid w:val="415330BF"/>
    <w:rsid w:val="41D76311"/>
    <w:rsid w:val="41E41DD9"/>
    <w:rsid w:val="41FF4979"/>
    <w:rsid w:val="428435C5"/>
    <w:rsid w:val="429728AE"/>
    <w:rsid w:val="42B20F3E"/>
    <w:rsid w:val="42BC7B9E"/>
    <w:rsid w:val="42D93530"/>
    <w:rsid w:val="42E02A11"/>
    <w:rsid w:val="42E246DD"/>
    <w:rsid w:val="42FA3395"/>
    <w:rsid w:val="430D0922"/>
    <w:rsid w:val="43520481"/>
    <w:rsid w:val="43A86831"/>
    <w:rsid w:val="43B44460"/>
    <w:rsid w:val="43FE3A0D"/>
    <w:rsid w:val="440C6C9E"/>
    <w:rsid w:val="44154392"/>
    <w:rsid w:val="44260D42"/>
    <w:rsid w:val="443F3A5F"/>
    <w:rsid w:val="4460432D"/>
    <w:rsid w:val="449375B3"/>
    <w:rsid w:val="44BF5B2E"/>
    <w:rsid w:val="44DB1E85"/>
    <w:rsid w:val="45241A3A"/>
    <w:rsid w:val="4530540F"/>
    <w:rsid w:val="46017F16"/>
    <w:rsid w:val="462572DB"/>
    <w:rsid w:val="462C7DAD"/>
    <w:rsid w:val="463E2CE6"/>
    <w:rsid w:val="4654344E"/>
    <w:rsid w:val="46827EEC"/>
    <w:rsid w:val="46AA2F9F"/>
    <w:rsid w:val="46FC3AA9"/>
    <w:rsid w:val="47150E11"/>
    <w:rsid w:val="47254F53"/>
    <w:rsid w:val="47305318"/>
    <w:rsid w:val="474428EF"/>
    <w:rsid w:val="476B2830"/>
    <w:rsid w:val="47956A8F"/>
    <w:rsid w:val="482C41ED"/>
    <w:rsid w:val="482D7A0F"/>
    <w:rsid w:val="482E2844"/>
    <w:rsid w:val="48607476"/>
    <w:rsid w:val="48A03985"/>
    <w:rsid w:val="48AA1309"/>
    <w:rsid w:val="48E41A0A"/>
    <w:rsid w:val="49504BB9"/>
    <w:rsid w:val="495D7B3A"/>
    <w:rsid w:val="49D25AD0"/>
    <w:rsid w:val="49DE62B7"/>
    <w:rsid w:val="49F8714F"/>
    <w:rsid w:val="4A140EE8"/>
    <w:rsid w:val="4A5C3DE3"/>
    <w:rsid w:val="4A6531EC"/>
    <w:rsid w:val="4A821B16"/>
    <w:rsid w:val="4A89000C"/>
    <w:rsid w:val="4A90160C"/>
    <w:rsid w:val="4ADA16ED"/>
    <w:rsid w:val="4AF66A24"/>
    <w:rsid w:val="4B1A342B"/>
    <w:rsid w:val="4B2E37F6"/>
    <w:rsid w:val="4B8142CC"/>
    <w:rsid w:val="4B8E0F3C"/>
    <w:rsid w:val="4BA81FD8"/>
    <w:rsid w:val="4C162EE4"/>
    <w:rsid w:val="4C2120E7"/>
    <w:rsid w:val="4C250F31"/>
    <w:rsid w:val="4C2702B1"/>
    <w:rsid w:val="4C3903BB"/>
    <w:rsid w:val="4C8E3961"/>
    <w:rsid w:val="4CB207E9"/>
    <w:rsid w:val="4CB85CD2"/>
    <w:rsid w:val="4CE4584B"/>
    <w:rsid w:val="4D1948EA"/>
    <w:rsid w:val="4D457231"/>
    <w:rsid w:val="4D7E0F97"/>
    <w:rsid w:val="4D864F4E"/>
    <w:rsid w:val="4D9C2168"/>
    <w:rsid w:val="4DC91E53"/>
    <w:rsid w:val="4DD97888"/>
    <w:rsid w:val="4E263312"/>
    <w:rsid w:val="4E273ECF"/>
    <w:rsid w:val="4E402C02"/>
    <w:rsid w:val="4E5B1750"/>
    <w:rsid w:val="4E724DE6"/>
    <w:rsid w:val="4E8A235E"/>
    <w:rsid w:val="4EDE1561"/>
    <w:rsid w:val="4EE7360E"/>
    <w:rsid w:val="4EF11D74"/>
    <w:rsid w:val="4F0A456B"/>
    <w:rsid w:val="4F2510DA"/>
    <w:rsid w:val="4F38015D"/>
    <w:rsid w:val="4F394E24"/>
    <w:rsid w:val="4F503BB2"/>
    <w:rsid w:val="4F741AAC"/>
    <w:rsid w:val="4F826FBD"/>
    <w:rsid w:val="50150196"/>
    <w:rsid w:val="50282BA4"/>
    <w:rsid w:val="5060506F"/>
    <w:rsid w:val="50965ECD"/>
    <w:rsid w:val="509C56BF"/>
    <w:rsid w:val="50B30927"/>
    <w:rsid w:val="50B74787"/>
    <w:rsid w:val="50D53033"/>
    <w:rsid w:val="50F82465"/>
    <w:rsid w:val="51064178"/>
    <w:rsid w:val="514E2411"/>
    <w:rsid w:val="514F7FE5"/>
    <w:rsid w:val="51623390"/>
    <w:rsid w:val="517B19B6"/>
    <w:rsid w:val="519F729A"/>
    <w:rsid w:val="51B75C9E"/>
    <w:rsid w:val="51E52C23"/>
    <w:rsid w:val="520E1161"/>
    <w:rsid w:val="52202B16"/>
    <w:rsid w:val="52BC0EF0"/>
    <w:rsid w:val="52FB2DD7"/>
    <w:rsid w:val="53026A89"/>
    <w:rsid w:val="531C19CC"/>
    <w:rsid w:val="53393806"/>
    <w:rsid w:val="53531CF7"/>
    <w:rsid w:val="535B08E7"/>
    <w:rsid w:val="53651596"/>
    <w:rsid w:val="539F2DC1"/>
    <w:rsid w:val="53BD07B5"/>
    <w:rsid w:val="53D774C1"/>
    <w:rsid w:val="53DB148F"/>
    <w:rsid w:val="53FA213E"/>
    <w:rsid w:val="53FA45D2"/>
    <w:rsid w:val="549453D9"/>
    <w:rsid w:val="54CB1589"/>
    <w:rsid w:val="55170FD1"/>
    <w:rsid w:val="555D31C1"/>
    <w:rsid w:val="55762E37"/>
    <w:rsid w:val="55805831"/>
    <w:rsid w:val="5591622F"/>
    <w:rsid w:val="55A60D6B"/>
    <w:rsid w:val="55D02E78"/>
    <w:rsid w:val="55D4182E"/>
    <w:rsid w:val="55F97B88"/>
    <w:rsid w:val="5653042B"/>
    <w:rsid w:val="56923DEA"/>
    <w:rsid w:val="569B0898"/>
    <w:rsid w:val="56BC1C8B"/>
    <w:rsid w:val="57123648"/>
    <w:rsid w:val="57707502"/>
    <w:rsid w:val="57723665"/>
    <w:rsid w:val="57E4268A"/>
    <w:rsid w:val="57E9319C"/>
    <w:rsid w:val="581625E3"/>
    <w:rsid w:val="582C0CE7"/>
    <w:rsid w:val="584661D0"/>
    <w:rsid w:val="588F59F8"/>
    <w:rsid w:val="58BE6C2C"/>
    <w:rsid w:val="58C04FF3"/>
    <w:rsid w:val="593D5EF5"/>
    <w:rsid w:val="59524CAE"/>
    <w:rsid w:val="59A85431"/>
    <w:rsid w:val="59D835E2"/>
    <w:rsid w:val="59F15CA2"/>
    <w:rsid w:val="5A232180"/>
    <w:rsid w:val="5A790754"/>
    <w:rsid w:val="5AB947DA"/>
    <w:rsid w:val="5AB977F4"/>
    <w:rsid w:val="5AE914C9"/>
    <w:rsid w:val="5AFE0F02"/>
    <w:rsid w:val="5B0502EB"/>
    <w:rsid w:val="5B075AFA"/>
    <w:rsid w:val="5B08282F"/>
    <w:rsid w:val="5B417F78"/>
    <w:rsid w:val="5B6B726E"/>
    <w:rsid w:val="5B727557"/>
    <w:rsid w:val="5B811979"/>
    <w:rsid w:val="5BA82024"/>
    <w:rsid w:val="5BF51127"/>
    <w:rsid w:val="5BFD5CFF"/>
    <w:rsid w:val="5C0D04E8"/>
    <w:rsid w:val="5C2A7E3B"/>
    <w:rsid w:val="5C8C756D"/>
    <w:rsid w:val="5CDE2333"/>
    <w:rsid w:val="5CFD4377"/>
    <w:rsid w:val="5D0731A0"/>
    <w:rsid w:val="5D0A4F23"/>
    <w:rsid w:val="5D3C4985"/>
    <w:rsid w:val="5D4E7DE9"/>
    <w:rsid w:val="5D6C035C"/>
    <w:rsid w:val="5D982F94"/>
    <w:rsid w:val="5DAD2D86"/>
    <w:rsid w:val="5DC919D1"/>
    <w:rsid w:val="5DE83C50"/>
    <w:rsid w:val="5E176749"/>
    <w:rsid w:val="5E1B6E75"/>
    <w:rsid w:val="5E531DDF"/>
    <w:rsid w:val="5E7F3F79"/>
    <w:rsid w:val="5E8A7335"/>
    <w:rsid w:val="5EB62463"/>
    <w:rsid w:val="5EC534E1"/>
    <w:rsid w:val="5EF26523"/>
    <w:rsid w:val="5FA6721E"/>
    <w:rsid w:val="5FAA11FC"/>
    <w:rsid w:val="5FBC7A3B"/>
    <w:rsid w:val="5FDC7045"/>
    <w:rsid w:val="602A40D7"/>
    <w:rsid w:val="6062405C"/>
    <w:rsid w:val="60665094"/>
    <w:rsid w:val="60717003"/>
    <w:rsid w:val="60986118"/>
    <w:rsid w:val="60A53FEF"/>
    <w:rsid w:val="61115274"/>
    <w:rsid w:val="613D26C3"/>
    <w:rsid w:val="61512E77"/>
    <w:rsid w:val="61605070"/>
    <w:rsid w:val="617851AA"/>
    <w:rsid w:val="61853EC4"/>
    <w:rsid w:val="61AB01C3"/>
    <w:rsid w:val="61B80069"/>
    <w:rsid w:val="61EE6A60"/>
    <w:rsid w:val="62453638"/>
    <w:rsid w:val="62674592"/>
    <w:rsid w:val="62A80944"/>
    <w:rsid w:val="62C766F5"/>
    <w:rsid w:val="62DD1F01"/>
    <w:rsid w:val="62EA2873"/>
    <w:rsid w:val="62EE1B64"/>
    <w:rsid w:val="63213ED3"/>
    <w:rsid w:val="639B4115"/>
    <w:rsid w:val="63DF7B0C"/>
    <w:rsid w:val="64045FB6"/>
    <w:rsid w:val="640B141B"/>
    <w:rsid w:val="641F42DA"/>
    <w:rsid w:val="64200096"/>
    <w:rsid w:val="64336B41"/>
    <w:rsid w:val="64406F75"/>
    <w:rsid w:val="64641C92"/>
    <w:rsid w:val="64BC4513"/>
    <w:rsid w:val="64C6406F"/>
    <w:rsid w:val="64CF6435"/>
    <w:rsid w:val="64E97B00"/>
    <w:rsid w:val="65296305"/>
    <w:rsid w:val="65322B6E"/>
    <w:rsid w:val="65493656"/>
    <w:rsid w:val="65707521"/>
    <w:rsid w:val="657F719A"/>
    <w:rsid w:val="658F1CE7"/>
    <w:rsid w:val="659A1AF9"/>
    <w:rsid w:val="65C07C91"/>
    <w:rsid w:val="65C2137B"/>
    <w:rsid w:val="65DA5860"/>
    <w:rsid w:val="66054B51"/>
    <w:rsid w:val="661A6187"/>
    <w:rsid w:val="66AE1530"/>
    <w:rsid w:val="66B27214"/>
    <w:rsid w:val="66C956BC"/>
    <w:rsid w:val="6713397D"/>
    <w:rsid w:val="678B2932"/>
    <w:rsid w:val="67CE08CA"/>
    <w:rsid w:val="67DA760A"/>
    <w:rsid w:val="67DD7B3C"/>
    <w:rsid w:val="68207C35"/>
    <w:rsid w:val="68CB6BD9"/>
    <w:rsid w:val="691D2B30"/>
    <w:rsid w:val="69774B9C"/>
    <w:rsid w:val="69794278"/>
    <w:rsid w:val="69856A28"/>
    <w:rsid w:val="6999164D"/>
    <w:rsid w:val="6A396B1D"/>
    <w:rsid w:val="6A3D5E3F"/>
    <w:rsid w:val="6A70233C"/>
    <w:rsid w:val="6A790940"/>
    <w:rsid w:val="6AAB632E"/>
    <w:rsid w:val="6AAF146F"/>
    <w:rsid w:val="6ADA2573"/>
    <w:rsid w:val="6AFD53C4"/>
    <w:rsid w:val="6B1B6FAB"/>
    <w:rsid w:val="6B2D53D8"/>
    <w:rsid w:val="6B4C5481"/>
    <w:rsid w:val="6BB513B4"/>
    <w:rsid w:val="6BFD187A"/>
    <w:rsid w:val="6C1109F8"/>
    <w:rsid w:val="6C6E48EB"/>
    <w:rsid w:val="6CC03288"/>
    <w:rsid w:val="6CDD2277"/>
    <w:rsid w:val="6D335927"/>
    <w:rsid w:val="6D395EF4"/>
    <w:rsid w:val="6D631231"/>
    <w:rsid w:val="6D757776"/>
    <w:rsid w:val="6E4469D7"/>
    <w:rsid w:val="6E483484"/>
    <w:rsid w:val="6E4A449C"/>
    <w:rsid w:val="6E6F2340"/>
    <w:rsid w:val="6E87328F"/>
    <w:rsid w:val="6EE862B3"/>
    <w:rsid w:val="6F2D2175"/>
    <w:rsid w:val="6F480A32"/>
    <w:rsid w:val="6F8A5583"/>
    <w:rsid w:val="701A3B93"/>
    <w:rsid w:val="70307DC0"/>
    <w:rsid w:val="70567F4F"/>
    <w:rsid w:val="70610F9A"/>
    <w:rsid w:val="706C426A"/>
    <w:rsid w:val="70901A04"/>
    <w:rsid w:val="70AC6ACA"/>
    <w:rsid w:val="70BF6AE1"/>
    <w:rsid w:val="70D51888"/>
    <w:rsid w:val="70D668E7"/>
    <w:rsid w:val="70D951E5"/>
    <w:rsid w:val="71672CE3"/>
    <w:rsid w:val="717B6BE5"/>
    <w:rsid w:val="7196481D"/>
    <w:rsid w:val="72057144"/>
    <w:rsid w:val="72481A75"/>
    <w:rsid w:val="72645DF5"/>
    <w:rsid w:val="728F45C7"/>
    <w:rsid w:val="72B30FC5"/>
    <w:rsid w:val="73267263"/>
    <w:rsid w:val="7386677F"/>
    <w:rsid w:val="738D77BD"/>
    <w:rsid w:val="74270CC7"/>
    <w:rsid w:val="74552142"/>
    <w:rsid w:val="745F6334"/>
    <w:rsid w:val="749E2498"/>
    <w:rsid w:val="74F9599A"/>
    <w:rsid w:val="74FC4BAA"/>
    <w:rsid w:val="75472B10"/>
    <w:rsid w:val="754C3EB1"/>
    <w:rsid w:val="75542CF4"/>
    <w:rsid w:val="75FA54E0"/>
    <w:rsid w:val="763B2299"/>
    <w:rsid w:val="763C7F11"/>
    <w:rsid w:val="764D650B"/>
    <w:rsid w:val="76811423"/>
    <w:rsid w:val="768764E8"/>
    <w:rsid w:val="76CD0D93"/>
    <w:rsid w:val="76F8559F"/>
    <w:rsid w:val="770E0A97"/>
    <w:rsid w:val="773C42D0"/>
    <w:rsid w:val="77607075"/>
    <w:rsid w:val="77C37B29"/>
    <w:rsid w:val="77E92F2F"/>
    <w:rsid w:val="77FF5376"/>
    <w:rsid w:val="78450706"/>
    <w:rsid w:val="78465873"/>
    <w:rsid w:val="784E4279"/>
    <w:rsid w:val="789120FA"/>
    <w:rsid w:val="78C01F0C"/>
    <w:rsid w:val="78C25163"/>
    <w:rsid w:val="78E43781"/>
    <w:rsid w:val="790476EC"/>
    <w:rsid w:val="7913673A"/>
    <w:rsid w:val="792D39DE"/>
    <w:rsid w:val="79442F14"/>
    <w:rsid w:val="795808CC"/>
    <w:rsid w:val="798E6C46"/>
    <w:rsid w:val="7A191785"/>
    <w:rsid w:val="7A1C3FB1"/>
    <w:rsid w:val="7A391701"/>
    <w:rsid w:val="7A4F66B5"/>
    <w:rsid w:val="7AD55988"/>
    <w:rsid w:val="7AD81762"/>
    <w:rsid w:val="7AE66C18"/>
    <w:rsid w:val="7AED4204"/>
    <w:rsid w:val="7B0A1820"/>
    <w:rsid w:val="7B113E3D"/>
    <w:rsid w:val="7B435D40"/>
    <w:rsid w:val="7B65745C"/>
    <w:rsid w:val="7C023794"/>
    <w:rsid w:val="7C0712E0"/>
    <w:rsid w:val="7C525B49"/>
    <w:rsid w:val="7C56426E"/>
    <w:rsid w:val="7C6A2688"/>
    <w:rsid w:val="7C8953B4"/>
    <w:rsid w:val="7C9C467D"/>
    <w:rsid w:val="7CC77858"/>
    <w:rsid w:val="7CD974F7"/>
    <w:rsid w:val="7D29048E"/>
    <w:rsid w:val="7D513B99"/>
    <w:rsid w:val="7D5859D1"/>
    <w:rsid w:val="7D7C4D68"/>
    <w:rsid w:val="7DDC1130"/>
    <w:rsid w:val="7E250A8D"/>
    <w:rsid w:val="7E655C8B"/>
    <w:rsid w:val="7E776D78"/>
    <w:rsid w:val="7EAB4D89"/>
    <w:rsid w:val="7F3710A5"/>
    <w:rsid w:val="7F6814EC"/>
    <w:rsid w:val="7F90273A"/>
    <w:rsid w:val="7FB546A1"/>
    <w:rsid w:val="7FD334D5"/>
    <w:rsid w:val="7FFB3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3"/>
    <w:link w:val="53"/>
    <w:autoRedefine/>
    <w:qFormat/>
    <w:uiPriority w:val="0"/>
    <w:pPr>
      <w:spacing w:before="340" w:after="331"/>
      <w:jc w:val="center"/>
      <w:outlineLvl w:val="0"/>
    </w:pPr>
    <w:rPr>
      <w:rFonts w:eastAsia="宋体"/>
      <w:b/>
      <w:sz w:val="44"/>
      <w:szCs w:val="24"/>
    </w:rPr>
  </w:style>
  <w:style w:type="paragraph" w:styleId="4">
    <w:name w:val="heading 2"/>
    <w:basedOn w:val="1"/>
    <w:next w:val="1"/>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5">
    <w:name w:val="heading 3"/>
    <w:basedOn w:val="1"/>
    <w:next w:val="1"/>
    <w:autoRedefine/>
    <w:qFormat/>
    <w:uiPriority w:val="0"/>
    <w:pPr>
      <w:spacing w:before="100" w:beforeAutospacing="1" w:after="100" w:afterAutospacing="1"/>
      <w:jc w:val="left"/>
      <w:outlineLvl w:val="2"/>
    </w:pPr>
    <w:rPr>
      <w:rFonts w:hint="eastAsia" w:ascii="宋体" w:hAnsi="宋体"/>
      <w:b/>
      <w:kern w:val="0"/>
      <w:sz w:val="27"/>
      <w:szCs w:val="27"/>
    </w:rPr>
  </w:style>
  <w:style w:type="paragraph" w:styleId="6">
    <w:name w:val="heading 4"/>
    <w:basedOn w:val="1"/>
    <w:next w:val="1"/>
    <w:autoRedefine/>
    <w:qFormat/>
    <w:uiPriority w:val="0"/>
    <w:pPr>
      <w:keepNext/>
      <w:keepLines/>
      <w:spacing w:line="360" w:lineRule="auto"/>
      <w:outlineLvl w:val="3"/>
    </w:pPr>
    <w:rPr>
      <w:rFonts w:ascii="Arial" w:hAnsi="Arial"/>
      <w:b/>
      <w:bCs/>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3">
    <w:name w:val="Default"/>
    <w:autoRedefine/>
    <w:qFormat/>
    <w:uiPriority w:val="0"/>
    <w:pPr>
      <w:widowControl w:val="0"/>
      <w:autoSpaceDE w:val="0"/>
      <w:autoSpaceDN w:val="0"/>
      <w:adjustRightInd w:val="0"/>
    </w:pPr>
    <w:rPr>
      <w:rFonts w:ascii="黑体" w:hAnsi="Calibri" w:eastAsia="黑体" w:cs="Times New Roman"/>
      <w:lang w:val="en-US" w:eastAsia="zh-CN" w:bidi="ar-SA"/>
    </w:rPr>
  </w:style>
  <w:style w:type="paragraph" w:styleId="7">
    <w:name w:val="toc 7"/>
    <w:basedOn w:val="1"/>
    <w:next w:val="1"/>
    <w:autoRedefine/>
    <w:unhideWhenUsed/>
    <w:qFormat/>
    <w:uiPriority w:val="39"/>
    <w:pPr>
      <w:ind w:left="1260"/>
      <w:jc w:val="left"/>
    </w:pPr>
    <w:rPr>
      <w:sz w:val="18"/>
      <w:szCs w:val="18"/>
    </w:rPr>
  </w:style>
  <w:style w:type="paragraph" w:styleId="8">
    <w:name w:val="annotation text"/>
    <w:basedOn w:val="1"/>
    <w:link w:val="36"/>
    <w:autoRedefine/>
    <w:qFormat/>
    <w:uiPriority w:val="99"/>
    <w:pPr>
      <w:jc w:val="left"/>
    </w:pPr>
  </w:style>
  <w:style w:type="paragraph" w:styleId="9">
    <w:name w:val="Body Text"/>
    <w:basedOn w:val="1"/>
    <w:next w:val="10"/>
    <w:autoRedefine/>
    <w:qFormat/>
    <w:uiPriority w:val="0"/>
    <w:rPr>
      <w:rFonts w:ascii="宋体" w:hAnsi="宋体" w:cs="宋体"/>
      <w:szCs w:val="21"/>
      <w:lang w:eastAsia="en-US" w:bidi="en-US"/>
    </w:rPr>
  </w:style>
  <w:style w:type="paragraph" w:customStyle="1" w:styleId="10">
    <w:name w:val="正文文本首行缩进1"/>
    <w:basedOn w:val="9"/>
    <w:qFormat/>
    <w:uiPriority w:val="0"/>
    <w:pPr>
      <w:spacing w:before="312" w:beforeLines="100" w:line="360" w:lineRule="auto"/>
      <w:ind w:firstLine="420" w:firstLineChars="100"/>
    </w:pPr>
    <w:rPr>
      <w:bCs/>
      <w:color w:val="0000FF"/>
      <w:szCs w:val="24"/>
    </w:rPr>
  </w:style>
  <w:style w:type="paragraph" w:styleId="11">
    <w:name w:val="Body Text Indent"/>
    <w:basedOn w:val="1"/>
    <w:next w:val="12"/>
    <w:autoRedefine/>
    <w:qFormat/>
    <w:uiPriority w:val="0"/>
    <w:pPr>
      <w:spacing w:after="120"/>
      <w:ind w:left="420" w:leftChars="200"/>
    </w:pPr>
  </w:style>
  <w:style w:type="paragraph" w:styleId="12">
    <w:name w:val="envelope return"/>
    <w:basedOn w:val="1"/>
    <w:autoRedefine/>
    <w:qFormat/>
    <w:uiPriority w:val="99"/>
    <w:pPr>
      <w:snapToGrid w:val="0"/>
    </w:pPr>
    <w:rPr>
      <w:rFonts w:ascii="Arial" w:hAnsi="Arial" w:cs="Arial"/>
    </w:rPr>
  </w:style>
  <w:style w:type="paragraph" w:styleId="13">
    <w:name w:val="Plain Text"/>
    <w:basedOn w:val="1"/>
    <w:autoRedefine/>
    <w:qFormat/>
    <w:uiPriority w:val="0"/>
    <w:rPr>
      <w:rFonts w:ascii="宋体" w:hAnsi="Courier New"/>
      <w:szCs w:val="20"/>
    </w:rPr>
  </w:style>
  <w:style w:type="paragraph" w:styleId="14">
    <w:name w:val="Date"/>
    <w:basedOn w:val="1"/>
    <w:next w:val="1"/>
    <w:link w:val="37"/>
    <w:autoRedefine/>
    <w:qFormat/>
    <w:uiPriority w:val="0"/>
    <w:pPr>
      <w:ind w:left="100" w:leftChars="2500"/>
    </w:pPr>
  </w:style>
  <w:style w:type="paragraph" w:styleId="15">
    <w:name w:val="Balloon Text"/>
    <w:basedOn w:val="1"/>
    <w:link w:val="39"/>
    <w:autoRedefine/>
    <w:qFormat/>
    <w:uiPriority w:val="0"/>
    <w:rPr>
      <w:sz w:val="18"/>
      <w:szCs w:val="18"/>
    </w:rPr>
  </w:style>
  <w:style w:type="paragraph" w:styleId="16">
    <w:name w:val="footer"/>
    <w:basedOn w:val="1"/>
    <w:link w:val="41"/>
    <w:autoRedefine/>
    <w:qFormat/>
    <w:uiPriority w:val="0"/>
    <w:pPr>
      <w:tabs>
        <w:tab w:val="center" w:pos="4153"/>
        <w:tab w:val="right" w:pos="8306"/>
      </w:tabs>
      <w:snapToGrid w:val="0"/>
      <w:jc w:val="left"/>
    </w:pPr>
    <w:rPr>
      <w:sz w:val="18"/>
      <w:szCs w:val="18"/>
    </w:rPr>
  </w:style>
  <w:style w:type="paragraph" w:styleId="17">
    <w:name w:val="header"/>
    <w:basedOn w:val="1"/>
    <w:link w:val="38"/>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0"/>
  </w:style>
  <w:style w:type="paragraph" w:styleId="19">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20">
    <w:name w:val="footnote text"/>
    <w:basedOn w:val="1"/>
    <w:autoRedefine/>
    <w:qFormat/>
    <w:uiPriority w:val="0"/>
    <w:pPr>
      <w:snapToGrid w:val="0"/>
      <w:jc w:val="left"/>
    </w:pPr>
    <w:rPr>
      <w:sz w:val="18"/>
    </w:rPr>
  </w:style>
  <w:style w:type="paragraph" w:styleId="21">
    <w:name w:val="toc 2"/>
    <w:basedOn w:val="1"/>
    <w:next w:val="1"/>
    <w:autoRedefine/>
    <w:qFormat/>
    <w:uiPriority w:val="0"/>
    <w:pPr>
      <w:ind w:left="420" w:leftChars="200"/>
    </w:pPr>
  </w:style>
  <w:style w:type="paragraph" w:styleId="22">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23">
    <w:name w:val="index 1"/>
    <w:basedOn w:val="1"/>
    <w:next w:val="1"/>
    <w:autoRedefine/>
    <w:qFormat/>
    <w:uiPriority w:val="0"/>
    <w:rPr>
      <w:szCs w:val="20"/>
    </w:rPr>
  </w:style>
  <w:style w:type="paragraph" w:styleId="24">
    <w:name w:val="annotation subject"/>
    <w:basedOn w:val="8"/>
    <w:next w:val="8"/>
    <w:link w:val="35"/>
    <w:autoRedefine/>
    <w:qFormat/>
    <w:uiPriority w:val="0"/>
    <w:rPr>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next w:val="19"/>
    <w:autoRedefine/>
    <w:qFormat/>
    <w:uiPriority w:val="99"/>
    <w:pPr>
      <w:ind w:firstLine="420" w:firstLineChars="200"/>
    </w:pPr>
    <w:rPr>
      <w:szCs w:val="24"/>
    </w:rPr>
  </w:style>
  <w:style w:type="table" w:styleId="28">
    <w:name w:val="Table Grid"/>
    <w:basedOn w:val="27"/>
    <w:autoRedefine/>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Hyperlink"/>
    <w:autoRedefine/>
    <w:qFormat/>
    <w:uiPriority w:val="99"/>
    <w:rPr>
      <w:color w:val="0000FF"/>
      <w:u w:val="single"/>
    </w:rPr>
  </w:style>
  <w:style w:type="character" w:styleId="32">
    <w:name w:val="annotation reference"/>
    <w:autoRedefine/>
    <w:qFormat/>
    <w:uiPriority w:val="99"/>
    <w:rPr>
      <w:sz w:val="21"/>
      <w:szCs w:val="21"/>
    </w:rPr>
  </w:style>
  <w:style w:type="character" w:styleId="33">
    <w:name w:val="footnote reference"/>
    <w:basedOn w:val="29"/>
    <w:autoRedefine/>
    <w:qFormat/>
    <w:uiPriority w:val="0"/>
    <w:rPr>
      <w:vertAlign w:val="superscript"/>
    </w:rPr>
  </w:style>
  <w:style w:type="paragraph" w:customStyle="1" w:styleId="34">
    <w:name w:val="正文+缩进"/>
    <w:basedOn w:val="1"/>
    <w:autoRedefine/>
    <w:qFormat/>
    <w:uiPriority w:val="0"/>
    <w:pPr>
      <w:ind w:firstLine="200" w:firstLineChars="200"/>
    </w:pPr>
  </w:style>
  <w:style w:type="character" w:customStyle="1" w:styleId="35">
    <w:name w:val="批注主题 字符"/>
    <w:basedOn w:val="36"/>
    <w:link w:val="24"/>
    <w:autoRedefine/>
    <w:qFormat/>
    <w:uiPriority w:val="0"/>
    <w:rPr>
      <w:kern w:val="2"/>
      <w:sz w:val="21"/>
      <w:szCs w:val="22"/>
    </w:rPr>
  </w:style>
  <w:style w:type="character" w:customStyle="1" w:styleId="36">
    <w:name w:val="批注文字 字符"/>
    <w:basedOn w:val="29"/>
    <w:link w:val="8"/>
    <w:autoRedefine/>
    <w:qFormat/>
    <w:uiPriority w:val="99"/>
    <w:rPr>
      <w:kern w:val="2"/>
      <w:sz w:val="21"/>
      <w:szCs w:val="22"/>
    </w:rPr>
  </w:style>
  <w:style w:type="character" w:customStyle="1" w:styleId="37">
    <w:name w:val="日期 字符"/>
    <w:basedOn w:val="29"/>
    <w:link w:val="14"/>
    <w:autoRedefine/>
    <w:qFormat/>
    <w:uiPriority w:val="0"/>
    <w:rPr>
      <w:kern w:val="2"/>
      <w:sz w:val="21"/>
      <w:szCs w:val="22"/>
    </w:rPr>
  </w:style>
  <w:style w:type="character" w:customStyle="1" w:styleId="38">
    <w:name w:val="页眉 字符"/>
    <w:basedOn w:val="29"/>
    <w:link w:val="17"/>
    <w:autoRedefine/>
    <w:qFormat/>
    <w:uiPriority w:val="0"/>
    <w:rPr>
      <w:kern w:val="2"/>
      <w:sz w:val="18"/>
      <w:szCs w:val="18"/>
    </w:rPr>
  </w:style>
  <w:style w:type="character" w:customStyle="1" w:styleId="39">
    <w:name w:val="批注框文本 字符"/>
    <w:basedOn w:val="29"/>
    <w:link w:val="15"/>
    <w:autoRedefine/>
    <w:qFormat/>
    <w:uiPriority w:val="0"/>
    <w:rPr>
      <w:kern w:val="2"/>
      <w:sz w:val="18"/>
      <w:szCs w:val="18"/>
    </w:rPr>
  </w:style>
  <w:style w:type="character" w:customStyle="1" w:styleId="40">
    <w:name w:val="标题 1 Char"/>
    <w:autoRedefine/>
    <w:qFormat/>
    <w:uiPriority w:val="0"/>
    <w:rPr>
      <w:rFonts w:ascii="宋体" w:hAnsi="Times New Roman" w:eastAsia="宋体" w:cs="Times New Roman"/>
      <w:sz w:val="28"/>
      <w:szCs w:val="24"/>
    </w:rPr>
  </w:style>
  <w:style w:type="character" w:customStyle="1" w:styleId="41">
    <w:name w:val="页脚 字符"/>
    <w:basedOn w:val="29"/>
    <w:link w:val="16"/>
    <w:autoRedefine/>
    <w:qFormat/>
    <w:uiPriority w:val="0"/>
    <w:rPr>
      <w:kern w:val="2"/>
      <w:sz w:val="18"/>
      <w:szCs w:val="18"/>
    </w:rPr>
  </w:style>
  <w:style w:type="character" w:customStyle="1" w:styleId="42">
    <w:name w:val="bjh-p"/>
    <w:basedOn w:val="29"/>
    <w:autoRedefine/>
    <w:qFormat/>
    <w:uiPriority w:val="0"/>
  </w:style>
  <w:style w:type="paragraph" w:customStyle="1" w:styleId="43">
    <w:name w:val="WPSOffice手动目录 2"/>
    <w:autoRedefine/>
    <w:qFormat/>
    <w:uiPriority w:val="0"/>
    <w:pPr>
      <w:ind w:left="200" w:leftChars="200"/>
    </w:pPr>
    <w:rPr>
      <w:rFonts w:ascii="Calibri" w:hAnsi="Calibri" w:eastAsia="宋体" w:cs="Times New Roman"/>
      <w:lang w:val="en-US" w:eastAsia="zh-CN" w:bidi="ar-SA"/>
    </w:rPr>
  </w:style>
  <w:style w:type="paragraph" w:customStyle="1" w:styleId="44">
    <w:name w:val="Char Char Char Char Char Char Char1 Char"/>
    <w:basedOn w:val="1"/>
    <w:autoRedefine/>
    <w:qFormat/>
    <w:uiPriority w:val="0"/>
    <w:rPr>
      <w:rFonts w:ascii="Tahoma" w:hAnsi="Tahoma"/>
      <w:sz w:val="24"/>
      <w:szCs w:val="20"/>
    </w:rPr>
  </w:style>
  <w:style w:type="paragraph" w:customStyle="1" w:styleId="45">
    <w:name w:val="Table Paragraph"/>
    <w:basedOn w:val="1"/>
    <w:autoRedefine/>
    <w:qFormat/>
    <w:uiPriority w:val="1"/>
    <w:rPr>
      <w:rFonts w:ascii="宋体" w:hAnsi="宋体" w:cs="宋体"/>
      <w:lang w:eastAsia="en-US" w:bidi="en-US"/>
    </w:rPr>
  </w:style>
  <w:style w:type="paragraph" w:customStyle="1" w:styleId="46">
    <w:name w:val="样式 标题 2 + 宋体 五号 行距: 单倍行距"/>
    <w:basedOn w:val="4"/>
    <w:autoRedefine/>
    <w:qFormat/>
    <w:uiPriority w:val="0"/>
    <w:pPr>
      <w:spacing w:line="240" w:lineRule="auto"/>
    </w:pPr>
    <w:rPr>
      <w:rFonts w:ascii="宋体" w:hAnsi="宋体" w:eastAsia="宋体"/>
      <w:sz w:val="21"/>
    </w:rPr>
  </w:style>
  <w:style w:type="paragraph" w:customStyle="1" w:styleId="47">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48">
    <w:name w:val="Char2"/>
    <w:basedOn w:val="1"/>
    <w:autoRedefine/>
    <w:qFormat/>
    <w:uiPriority w:val="0"/>
  </w:style>
  <w:style w:type="paragraph" w:customStyle="1" w:styleId="49">
    <w:name w:val="WPSOffice手动目录 1"/>
    <w:autoRedefine/>
    <w:qFormat/>
    <w:uiPriority w:val="0"/>
    <w:rPr>
      <w:rFonts w:ascii="Calibri" w:hAnsi="Calibri" w:eastAsia="宋体" w:cs="Times New Roman"/>
      <w:lang w:val="en-US" w:eastAsia="zh-CN" w:bidi="ar-SA"/>
    </w:rPr>
  </w:style>
  <w:style w:type="paragraph" w:customStyle="1" w:styleId="50">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51">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styleId="52">
    <w:name w:val="List Paragraph"/>
    <w:basedOn w:val="1"/>
    <w:autoRedefine/>
    <w:qFormat/>
    <w:uiPriority w:val="34"/>
    <w:pPr>
      <w:ind w:firstLine="420" w:firstLineChars="200"/>
    </w:pPr>
  </w:style>
  <w:style w:type="character" w:customStyle="1" w:styleId="53">
    <w:name w:val="标题 1 字符"/>
    <w:link w:val="2"/>
    <w:autoRedefine/>
    <w:qFormat/>
    <w:uiPriority w:val="0"/>
    <w:rPr>
      <w:rFonts w:eastAsia="宋体"/>
      <w:b/>
      <w:sz w:val="44"/>
      <w:szCs w:val="24"/>
    </w:rPr>
  </w:style>
  <w:style w:type="paragraph" w:customStyle="1" w:styleId="54">
    <w:name w:val="纯文本1"/>
    <w:basedOn w:val="1"/>
    <w:autoRedefine/>
    <w:qFormat/>
    <w:uiPriority w:val="0"/>
    <w:rPr>
      <w:rFonts w:ascii="Arial" w:hAnsi="Arial" w:eastAsia="Arial"/>
    </w:rPr>
  </w:style>
  <w:style w:type="character" w:customStyle="1" w:styleId="55">
    <w:name w:val="font41"/>
    <w:basedOn w:val="29"/>
    <w:autoRedefine/>
    <w:qFormat/>
    <w:uiPriority w:val="0"/>
    <w:rPr>
      <w:rFonts w:hint="eastAsia" w:ascii="微软雅黑" w:hAnsi="微软雅黑" w:eastAsia="微软雅黑" w:cs="微软雅黑"/>
      <w:b/>
      <w:bCs/>
      <w:color w:val="000000"/>
      <w:sz w:val="20"/>
      <w:szCs w:val="20"/>
      <w:u w:val="none"/>
    </w:rPr>
  </w:style>
  <w:style w:type="character" w:customStyle="1" w:styleId="56">
    <w:name w:val="font51"/>
    <w:basedOn w:val="29"/>
    <w:autoRedefine/>
    <w:qFormat/>
    <w:uiPriority w:val="0"/>
    <w:rPr>
      <w:rFonts w:hint="eastAsia" w:ascii="微软雅黑" w:hAnsi="微软雅黑" w:eastAsia="微软雅黑" w:cs="微软雅黑"/>
      <w:b/>
      <w:bCs/>
      <w:color w:val="FF0000"/>
      <w:sz w:val="20"/>
      <w:szCs w:val="20"/>
      <w:u w:val="none"/>
    </w:rPr>
  </w:style>
  <w:style w:type="paragraph" w:customStyle="1" w:styleId="57">
    <w:name w:val="BodyText"/>
    <w:basedOn w:val="1"/>
    <w:qFormat/>
    <w:uiPriority w:val="0"/>
    <w:pPr>
      <w:widowControl/>
      <w:spacing w:after="120"/>
    </w:pPr>
  </w:style>
  <w:style w:type="paragraph" w:customStyle="1" w:styleId="58">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60</Words>
  <Characters>84</Characters>
  <Lines>205</Lines>
  <Paragraphs>57</Paragraphs>
  <TotalTime>0</TotalTime>
  <ScaleCrop>false</ScaleCrop>
  <LinksUpToDate>false</LinksUpToDate>
  <CharactersWithSpaces>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2020-11-23T02:22:00Z</dcterms:created>
  <dc:creator>花艳</dc:creator>
  <cp:lastModifiedBy>鼎信</cp:lastModifiedBy>
  <dcterms:modified xsi:type="dcterms:W3CDTF">2026-10-20T01:35:49Z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6FA28101689E41EA92B21D341E627F7A_13</vt:lpwstr>
  </property>
  <property fmtid="{D5CDD505-2E9C-101B-9397-08002B2CF9AE}" pid="4" name="KSOTemplateDocerSaveRecord">
    <vt:lpwstr>eyJoZGlkIjoiYTM1ZDFmZTFlYWZhNThlMWI4ODlmNzExYzY3NDE5ZmMiLCJ1c2VySWQiOiIyNDQzNzczNjUifQ==</vt:lpwstr>
  </property>
</Properties>
</file>