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91808">
      <w:pPr>
        <w:wordWrap w:val="0"/>
        <w:spacing w:line="360" w:lineRule="auto"/>
        <w:jc w:val="center"/>
        <w:outlineLvl w:val="1"/>
        <w:rPr>
          <w:rFonts w:hint="eastAsia" w:ascii="仿宋" w:hAnsi="仿宋" w:eastAsia="仿宋" w:cs="仿宋"/>
          <w:b/>
          <w:bCs/>
          <w:kern w:val="44"/>
          <w:sz w:val="44"/>
          <w:szCs w:val="44"/>
        </w:rPr>
      </w:pPr>
      <w:bookmarkStart w:id="1" w:name="_GoBack"/>
      <w:bookmarkEnd w:id="1"/>
      <w:bookmarkStart w:id="0" w:name="_Toc1940"/>
      <w:r>
        <w:rPr>
          <w:rFonts w:hint="eastAsia" w:ascii="仿宋" w:hAnsi="仿宋" w:eastAsia="仿宋" w:cs="仿宋"/>
          <w:b/>
          <w:bCs/>
          <w:kern w:val="44"/>
          <w:sz w:val="44"/>
          <w:szCs w:val="44"/>
        </w:rPr>
        <w:t>采购需求</w:t>
      </w:r>
      <w:bookmarkEnd w:id="0"/>
    </w:p>
    <w:p w14:paraId="6A669E7C">
      <w:pPr>
        <w:wordWrap w:val="0"/>
        <w:spacing w:line="360" w:lineRule="auto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前注：</w:t>
      </w:r>
    </w:p>
    <w:p w14:paraId="66E160B7">
      <w:pPr>
        <w:wordWrap w:val="0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18"/>
        </w:rPr>
      </w:pPr>
      <w:r>
        <w:rPr>
          <w:rFonts w:hint="eastAsia" w:ascii="仿宋" w:hAnsi="仿宋" w:eastAsia="仿宋" w:cs="仿宋"/>
          <w:sz w:val="24"/>
          <w:szCs w:val="18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18"/>
        </w:rPr>
        <w:t>本说明中提出的技术方案、品牌仅为参考，如无明确限制，供应商可以进行优化，提供满足用户实际需要的更优（或者性能实质上不低于的）技术方案、品牌，且此方案、品牌须经谈判小组评审认可。</w:t>
      </w:r>
    </w:p>
    <w:p w14:paraId="7CDB3DD6">
      <w:pPr>
        <w:wordWrap w:val="0"/>
        <w:spacing w:line="360" w:lineRule="auto"/>
        <w:ind w:firstLine="482" w:firstLineChars="200"/>
        <w:jc w:val="left"/>
        <w:rPr>
          <w:rFonts w:hint="eastAsia" w:ascii="仿宋" w:hAnsi="仿宋" w:eastAsia="仿宋" w:cs="仿宋"/>
          <w:b/>
          <w:bCs/>
          <w:color w:val="FF0000"/>
          <w:sz w:val="24"/>
          <w:szCs w:val="18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18"/>
          <w:lang w:val="en-US" w:eastAsia="zh-CN"/>
        </w:rPr>
        <w:t>2.采购需求不允许负偏离，负偏离或未响应视为不响应，作无效响应处理。</w:t>
      </w:r>
    </w:p>
    <w:p w14:paraId="59EDDA45">
      <w:pPr>
        <w:wordWrap w:val="0"/>
        <w:spacing w:line="360" w:lineRule="auto"/>
        <w:ind w:firstLine="437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一、采购需求前附表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2054"/>
        <w:gridCol w:w="5544"/>
      </w:tblGrid>
      <w:tr w14:paraId="041D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18" w:type="dxa"/>
            <w:noWrap w:val="0"/>
            <w:vAlign w:val="center"/>
          </w:tcPr>
          <w:p w14:paraId="20E403AF">
            <w:pPr>
              <w:pStyle w:val="8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wordWrap w:val="0"/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kern w:val="2"/>
              </w:rPr>
            </w:pPr>
            <w:r>
              <w:rPr>
                <w:rFonts w:hint="eastAsia" w:ascii="仿宋" w:hAnsi="仿宋" w:eastAsia="仿宋" w:cs="仿宋"/>
                <w:b/>
                <w:kern w:val="2"/>
              </w:rPr>
              <w:t>序号</w:t>
            </w:r>
          </w:p>
        </w:tc>
        <w:tc>
          <w:tcPr>
            <w:tcW w:w="2054" w:type="dxa"/>
            <w:noWrap w:val="0"/>
            <w:vAlign w:val="center"/>
          </w:tcPr>
          <w:p w14:paraId="6C2512C5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sz w:val="24"/>
              </w:rPr>
              <w:t>条款名称</w:t>
            </w:r>
          </w:p>
        </w:tc>
        <w:tc>
          <w:tcPr>
            <w:tcW w:w="5544" w:type="dxa"/>
            <w:noWrap w:val="0"/>
            <w:vAlign w:val="center"/>
          </w:tcPr>
          <w:p w14:paraId="18F3077E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sz w:val="24"/>
              </w:rPr>
              <w:t>内容、说明与要求</w:t>
            </w:r>
          </w:p>
        </w:tc>
      </w:tr>
      <w:tr w14:paraId="60C6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18" w:type="dxa"/>
            <w:noWrap w:val="0"/>
            <w:vAlign w:val="center"/>
          </w:tcPr>
          <w:p w14:paraId="2C274EBF">
            <w:pPr>
              <w:pStyle w:val="8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wordWrap w:val="0"/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kern w:val="2"/>
              </w:rPr>
              <w:t>1</w:t>
            </w:r>
          </w:p>
        </w:tc>
        <w:tc>
          <w:tcPr>
            <w:tcW w:w="2054" w:type="dxa"/>
            <w:noWrap w:val="0"/>
            <w:vAlign w:val="center"/>
          </w:tcPr>
          <w:p w14:paraId="05E243AD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</w:rPr>
              <w:t>付款方式</w:t>
            </w:r>
          </w:p>
        </w:tc>
        <w:tc>
          <w:tcPr>
            <w:tcW w:w="5544" w:type="dxa"/>
            <w:noWrap w:val="0"/>
            <w:vAlign w:val="center"/>
          </w:tcPr>
          <w:p w14:paraId="2D5038A5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验收合格后，供应商提供发票，一个月内交付成交金额的</w:t>
            </w:r>
            <w:r>
              <w:rPr>
                <w:rFonts w:ascii="仿宋" w:hAnsi="仿宋" w:eastAsia="仿宋" w:cs="仿宋"/>
                <w:b w:val="0"/>
                <w:bCs w:val="0"/>
                <w:sz w:val="24"/>
              </w:rPr>
              <w:t>100%。</w:t>
            </w:r>
          </w:p>
        </w:tc>
      </w:tr>
      <w:tr w14:paraId="233E8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18" w:type="dxa"/>
            <w:noWrap w:val="0"/>
            <w:vAlign w:val="center"/>
          </w:tcPr>
          <w:p w14:paraId="4921D3D4">
            <w:pPr>
              <w:pStyle w:val="8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wordWrap w:val="0"/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kern w:val="2"/>
              </w:rPr>
              <w:t>2</w:t>
            </w:r>
          </w:p>
        </w:tc>
        <w:tc>
          <w:tcPr>
            <w:tcW w:w="2054" w:type="dxa"/>
            <w:noWrap w:val="0"/>
            <w:vAlign w:val="center"/>
          </w:tcPr>
          <w:p w14:paraId="6CF432D0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</w:rPr>
              <w:t>供货及安装地点</w:t>
            </w:r>
          </w:p>
        </w:tc>
        <w:tc>
          <w:tcPr>
            <w:tcW w:w="5544" w:type="dxa"/>
            <w:noWrap w:val="0"/>
            <w:vAlign w:val="center"/>
          </w:tcPr>
          <w:p w14:paraId="290BDA7B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安徽理工大学，采购人指定地点。</w:t>
            </w:r>
          </w:p>
        </w:tc>
      </w:tr>
      <w:tr w14:paraId="4760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18" w:type="dxa"/>
            <w:noWrap w:val="0"/>
            <w:vAlign w:val="center"/>
          </w:tcPr>
          <w:p w14:paraId="1CD21246">
            <w:pPr>
              <w:pStyle w:val="8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wordWrap w:val="0"/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kern w:val="2"/>
              </w:rPr>
              <w:t>3</w:t>
            </w:r>
          </w:p>
        </w:tc>
        <w:tc>
          <w:tcPr>
            <w:tcW w:w="2054" w:type="dxa"/>
            <w:noWrap w:val="0"/>
            <w:vAlign w:val="center"/>
          </w:tcPr>
          <w:p w14:paraId="3B8B18E1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</w:rPr>
              <w:t>供货及安装期限</w:t>
            </w:r>
          </w:p>
        </w:tc>
        <w:tc>
          <w:tcPr>
            <w:tcW w:w="5544" w:type="dxa"/>
            <w:noWrap w:val="0"/>
            <w:vAlign w:val="center"/>
          </w:tcPr>
          <w:p w14:paraId="1C3385DC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合同签订之日起</w:t>
            </w:r>
            <w:r>
              <w:rPr>
                <w:rFonts w:ascii="仿宋" w:hAnsi="仿宋" w:eastAsia="仿宋" w:cs="仿宋"/>
                <w:b w:val="0"/>
                <w:bCs w:val="0"/>
                <w:sz w:val="24"/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日历天内完成供货安装工作。</w:t>
            </w:r>
          </w:p>
        </w:tc>
      </w:tr>
      <w:tr w14:paraId="36AA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18" w:type="dxa"/>
            <w:noWrap w:val="0"/>
            <w:vAlign w:val="center"/>
          </w:tcPr>
          <w:p w14:paraId="1AFE6D39">
            <w:pPr>
              <w:pStyle w:val="8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kern w:val="2"/>
              </w:rPr>
              <w:t>4</w:t>
            </w:r>
          </w:p>
        </w:tc>
        <w:tc>
          <w:tcPr>
            <w:tcW w:w="2054" w:type="dxa"/>
            <w:noWrap w:val="0"/>
            <w:vAlign w:val="center"/>
          </w:tcPr>
          <w:p w14:paraId="154BA74B">
            <w:pPr>
              <w:pStyle w:val="9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</w:rPr>
              <w:t>免费质保期</w:t>
            </w:r>
          </w:p>
        </w:tc>
        <w:tc>
          <w:tcPr>
            <w:tcW w:w="5544" w:type="dxa"/>
            <w:noWrap w:val="0"/>
            <w:vAlign w:val="center"/>
          </w:tcPr>
          <w:p w14:paraId="03100102">
            <w:pPr>
              <w:pStyle w:val="9"/>
              <w:widowControl w:val="0"/>
              <w:wordWrap w:val="0"/>
              <w:spacing w:before="0" w:beforeAutospacing="0" w:after="0" w:afterAutospacing="0"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自验收合格之日起不少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于</w:t>
            </w:r>
            <w:r>
              <w:rPr>
                <w:rFonts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货物需求表另有规定的，以货物需求表为准。</w:t>
            </w:r>
          </w:p>
        </w:tc>
      </w:tr>
    </w:tbl>
    <w:p w14:paraId="483DA37F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二、货物需求</w:t>
      </w:r>
    </w:p>
    <w:tbl>
      <w:tblPr>
        <w:tblStyle w:val="6"/>
        <w:tblW w:w="93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102"/>
        <w:gridCol w:w="5216"/>
        <w:gridCol w:w="1212"/>
        <w:gridCol w:w="833"/>
      </w:tblGrid>
      <w:tr w14:paraId="10F4B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A344D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D95E4B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货物</w:t>
            </w:r>
          </w:p>
          <w:p w14:paraId="119BB18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5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4EE25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技术参数及要求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5C932E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数量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9B7B7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</w:t>
            </w:r>
          </w:p>
        </w:tc>
      </w:tr>
      <w:tr w14:paraId="6ECE6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1BF7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29C82B">
            <w:pPr>
              <w:pStyle w:val="5"/>
              <w:ind w:left="0" w:firstLine="0" w:firstLineChars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智能驾驶计算平台/域控制器（学生实验型）</w:t>
            </w:r>
          </w:p>
        </w:tc>
        <w:tc>
          <w:tcPr>
            <w:tcW w:w="5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D14FD8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（1）AI计算性能</w:t>
            </w:r>
          </w:p>
          <w:p w14:paraId="1E8995AB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采用嵌入式异构AI计算架构，集成CPU、GPU及AI推理加速单元，INT8 AI综合算力不低于150 TOPS；支持GPU并行计算、深度学习推理加速、计算机视觉等应用。</w:t>
            </w:r>
          </w:p>
          <w:p w14:paraId="2763BCC3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（2）处理器及内存</w:t>
            </w:r>
          </w:p>
          <w:p w14:paraId="0BE3D947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采用64位多核处理器，CPU核心数不少于8核；系统内存不少于16GB LPDDR5。</w:t>
            </w:r>
          </w:p>
          <w:p w14:paraId="19A1183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（3）GPU及AI加速能力</w:t>
            </w:r>
          </w:p>
          <w:p w14:paraId="0C1EB330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集成高性能GPU及独立AI加速单元，支持FP32、FP16、INT8等计算精度；GPU并行计算核心不少于1000个或提供整体性能不低于本项要求的等效架构；支持CUDA、TensorRT等AI加速框架。</w:t>
            </w:r>
          </w:p>
          <w:p w14:paraId="01E63C7B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（4）存储能力</w:t>
            </w:r>
          </w:p>
          <w:p w14:paraId="0D4DC692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配置不少于500GB NVMe固态硬盘，支持固态存储扩展，能够满足操作系统、算法环境、数据集及实验程序本地存储需求。</w:t>
            </w:r>
          </w:p>
          <w:p w14:paraId="762A0A5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（5）摄像头及视频处理能力</w:t>
            </w:r>
          </w:p>
          <w:p w14:paraId="010CC882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具备不少于2路MIPI CSI-2摄像头接入接口，支持多路高清摄像头接入；具备硬件视频编解码能力，至少支持H.264/H.265格式，视频解码能力不低于1路8K@30fps或2路4K@60fps，满足智能驾驶视觉感知实验要求。</w:t>
            </w:r>
          </w:p>
          <w:p w14:paraId="662D958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（6）通信及外设接口</w:t>
            </w:r>
          </w:p>
          <w:p w14:paraId="0FB2649B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至少具备以下接口或功能：</w:t>
            </w:r>
          </w:p>
          <w:p w14:paraId="5DDCD08D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USB 3.x接口不少于4个，其中至少包含1个USB Type-C接口； </w:t>
            </w:r>
          </w:p>
          <w:p w14:paraId="6FC8DBC3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1路及以上RJ45以太网接口； </w:t>
            </w:r>
          </w:p>
          <w:p w14:paraId="2201C03F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支持CAN总线设备接入，CAN功能可采用板载接口或配套扩展模块实现； </w:t>
            </w:r>
          </w:p>
          <w:p w14:paraId="1ABCEBCD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具备UART、SPI、I²C、GPIO等通用扩展接口； </w:t>
            </w:r>
          </w:p>
          <w:p w14:paraId="78873360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（7）扩展能力</w:t>
            </w:r>
          </w:p>
          <w:p w14:paraId="383FC33E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具备M.2等高速扩展接口，能够扩展NVMe存储及无线通信模块；支持无线局域网及蓝牙通信。</w:t>
            </w:r>
          </w:p>
          <w:p w14:paraId="0C0ECEEF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（8）显示输出</w:t>
            </w:r>
          </w:p>
          <w:p w14:paraId="5E9B02E2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具备DP、HDMI或性能不低于上述标准的数字视频输出接口，支持分辨率不低于2560×1440的视频输出。</w:t>
            </w:r>
          </w:p>
          <w:p w14:paraId="4ED9FF9B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（9）尺寸、功耗及散热</w:t>
            </w:r>
          </w:p>
          <w:p w14:paraId="67236F55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计算平台本体尺寸 ≤150 mm × 150 mm × 120 mm；最大工作功率≤30 W；配备与计算平台匹配的主动散热装置，能够满足长时间连续满负荷实验运行要求。</w:t>
            </w:r>
          </w:p>
          <w:p w14:paraId="4D90EBC4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（10）软件及开发环境</w:t>
            </w:r>
          </w:p>
          <w:p w14:paraId="720F5AEF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支持64位Linux操作系统；支持C/C++、Python开发；兼容主流深度学习框架及机器人操作系统ROS/ROS2。</w:t>
            </w:r>
          </w:p>
          <w:p w14:paraId="1EA29AAD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（11）配套附件</w:t>
            </w:r>
          </w:p>
          <w:p w14:paraId="0A98623F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每套至少包含：嵌入式AI计算模块、配套开发载板、电源适配器、主动散热模块、防护外壳、无线网络及蓝牙模块、USB无线键盘鼠标以及1台27英寸及以上显示器。显示器分辨率不低于2560×1440，具备与计算平台匹配的数字视频输入接口。所需线缆、连接件及安装附件应配套齐全，到货后能够直接开展实验。</w:t>
            </w:r>
          </w:p>
          <w:p w14:paraId="4D19A0FA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650240</wp:posOffset>
                  </wp:positionV>
                  <wp:extent cx="1820545" cy="1330960"/>
                  <wp:effectExtent l="0" t="0" r="8255" b="2540"/>
                  <wp:wrapTopAndBottom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14" t="13466" r="-214" b="13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参考图片：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4084B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10套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E6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1B6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864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FF9ED1">
            <w:pPr>
              <w:pStyle w:val="5"/>
              <w:ind w:left="0" w:firstLine="0" w:firstLineChars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智能驾驶计算平台/域控制器（教师教学用）</w:t>
            </w:r>
          </w:p>
        </w:tc>
        <w:tc>
          <w:tcPr>
            <w:tcW w:w="5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DAE2D4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（1）AI计算性能</w:t>
            </w:r>
          </w:p>
          <w:p w14:paraId="0083CC97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采用高性能嵌入式异构AI计算架构，集成CPU、GPU、深度学习加速单元及视觉加速单元，INT8 AI综合算力不低于250 TOPS，支持GPU并行计算、深度学习推理、计算机视觉、多传感器融合及智能驾驶算法部署。</w:t>
            </w:r>
          </w:p>
          <w:p w14:paraId="0134310A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（2）处理器及内存</w:t>
            </w:r>
          </w:p>
          <w:p w14:paraId="6AE77E3C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采用64位多核处理器，CPU核心数不少于12核；系统内存不少于64GB LPDDR5。</w:t>
            </w:r>
          </w:p>
          <w:p w14:paraId="3AA78D2E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（3）GPU及AI加速能力</w:t>
            </w:r>
          </w:p>
          <w:p w14:paraId="6986E2DD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集成高性能GPU及独立AI计算加速单元，支持FP32、FP16、INT8等多种计算精度；GPU并行计算核心不少于2000个或提供整体性能不低于本项要求的等效架构；支持CUDA、TensorRT等AI加速框架。</w:t>
            </w:r>
          </w:p>
          <w:p w14:paraId="194AAA4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（4）存储能力</w:t>
            </w:r>
          </w:p>
          <w:p w14:paraId="33715359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配置不少于2TB NVMe固态硬盘；具备板载存储或独立系统存储空间，支持NVMe高速存储扩展，满足大规模数据集、深度学习模型、智能驾驶数据及教学软件本地存储需求。</w:t>
            </w:r>
          </w:p>
          <w:p w14:paraId="7FC25763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（5）摄像头及视频处理能力</w:t>
            </w:r>
          </w:p>
          <w:p w14:paraId="6EBC0D7E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支持多路摄像头同时接入，MIPI CSI-2摄像头接入能力不少于16通道；具备硬件H.264/H.265视频编解码能力，视频解码性能至少达到：</w:t>
            </w:r>
          </w:p>
          <w:p w14:paraId="7B4CAB8C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1路8K@30fps，或 </w:t>
            </w:r>
          </w:p>
          <w:p w14:paraId="67E39E50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3路4K@60fps，或 </w:t>
            </w:r>
          </w:p>
          <w:p w14:paraId="08DFB63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多路1080P高清视频并行解码的等效能力。 </w:t>
            </w:r>
          </w:p>
          <w:p w14:paraId="7605317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（6）通信及外设接口</w:t>
            </w:r>
          </w:p>
          <w:p w14:paraId="786F062B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至少具备以下接口或功能：</w:t>
            </w:r>
          </w:p>
          <w:p w14:paraId="1B2DF5A2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USB 3.x接口不少于4个，其中至少包含1个USB Type-C接口； </w:t>
            </w:r>
          </w:p>
          <w:p w14:paraId="0ACE34C2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1路及以上RJ45以太网接口； </w:t>
            </w:r>
          </w:p>
          <w:p w14:paraId="2B8A6FF7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支持CAN总线设备接入，CAN功能可采用板载接口或配套扩展模块实现； </w:t>
            </w:r>
          </w:p>
          <w:p w14:paraId="64BAEADE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具备UART、SPI、I²C、GPIO等通用扩展接口； </w:t>
            </w:r>
          </w:p>
          <w:p w14:paraId="06C837D4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（7）扩展能力</w:t>
            </w:r>
          </w:p>
          <w:p w14:paraId="6FE08AAC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具备M.2等高速扩展接口，能够扩展NVMe存储及无线通信模块；支持无线局域网及蓝牙通信。</w:t>
            </w:r>
          </w:p>
          <w:p w14:paraId="19D3D309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（8）显示输出能力</w:t>
            </w:r>
          </w:p>
          <w:p w14:paraId="0DF6838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具备DP、HDMI或性能不低于上述标准的数字视频输出接口，支持2560×1440及以上显示分辨率，能够满足教学演示及开发调试使用需求。</w:t>
            </w:r>
          </w:p>
          <w:p w14:paraId="59FB428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（9）尺寸、功耗及散热</w:t>
            </w:r>
          </w:p>
          <w:p w14:paraId="42FDB431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计算平台本体尺寸 ≤150 mm × 150 mm × 120 mm；最大工作功率≤70 W；配备与计算平台匹配的主动散热装置，能够满足长时间连续满负荷实验运行要求。</w:t>
            </w:r>
          </w:p>
          <w:p w14:paraId="6C9B34D8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（10）软件及开发环境</w:t>
            </w:r>
          </w:p>
          <w:p w14:paraId="0C6D2CD6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支持64位Linux操作系统；提供完整的GPU并行计算、深度学习、AI推理及计算机视觉开发环境；支持C/C++及Python开发；兼容主流深度学习框架和ROS/ROS2；</w:t>
            </w:r>
          </w:p>
          <w:p w14:paraId="036FE6F9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（11）配套附件</w:t>
            </w:r>
          </w:p>
          <w:p w14:paraId="7D24359C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每套至少包含：嵌入式AI计算模块及配套开发平台、电源适配器、主动散热模块、防护外壳、无线网络及蓝牙模块、USB无线键盘鼠标以及1台27英寸及以上显示器。显示器分辨率不低于2560×1440，具备与计算平台相匹配的数字视频接口。设备正常运行及开展教学实验所需线缆、连接件、转接件等应配套齐全。</w:t>
            </w:r>
          </w:p>
          <w:p w14:paraId="19F33F96">
            <w:pPr>
              <w:widowControl/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890270</wp:posOffset>
                  </wp:positionH>
                  <wp:positionV relativeFrom="paragraph">
                    <wp:posOffset>364490</wp:posOffset>
                  </wp:positionV>
                  <wp:extent cx="1678940" cy="1542415"/>
                  <wp:effectExtent l="0" t="0" r="6985" b="635"/>
                  <wp:wrapTopAndBottom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940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参考图片：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A762B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5903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19D17E58">
      <w:pPr>
        <w:wordWrap w:val="0"/>
        <w:spacing w:line="360" w:lineRule="auto"/>
        <w:ind w:firstLine="437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三、报价要求</w:t>
      </w:r>
    </w:p>
    <w:p w14:paraId="2EEA9DBE">
      <w:pPr>
        <w:wordWrap w:val="0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sz w:val="24"/>
          <w:szCs w:val="18"/>
        </w:rPr>
        <w:t>本项目报总价，报价即完成本项目所需内容的所有费用，成交后采购人不再另行支付任何费用</w:t>
      </w:r>
      <w:r>
        <w:rPr>
          <w:rFonts w:hint="eastAsia" w:ascii="仿宋" w:hAnsi="仿宋" w:eastAsia="仿宋" w:cs="仿宋"/>
          <w:bCs/>
          <w:sz w:val="24"/>
          <w:szCs w:val="18"/>
        </w:rPr>
        <w:t>。</w:t>
      </w:r>
    </w:p>
    <w:p w14:paraId="609372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933B0"/>
    <w:rsid w:val="4E89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99" w:semiHidden="0" w:name="annotation text"/>
    <w:lsdException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uiPriority w:val="99"/>
    <w:pPr>
      <w:jc w:val="left"/>
    </w:pPr>
    <w:rPr>
      <w:rFonts w:ascii="@仿宋_GB2312" w:hAnsi="@仿宋_GB2312" w:eastAsia="宋体"/>
    </w:rPr>
  </w:style>
  <w:style w:type="paragraph" w:styleId="3">
    <w:name w:val="Body Text Indent"/>
    <w:basedOn w:val="1"/>
    <w:unhideWhenUsed/>
    <w:uiPriority w:val="99"/>
    <w:pPr>
      <w:ind w:firstLine="645"/>
    </w:pPr>
    <w:rPr>
      <w:rFonts w:ascii="楷体_GB2312" w:eastAsia="楷体_GB2312"/>
      <w:sz w:val="32"/>
      <w:szCs w:val="20"/>
    </w:rPr>
  </w:style>
  <w:style w:type="paragraph" w:styleId="4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3"/>
    <w:unhideWhenUsed/>
    <w:qFormat/>
    <w:uiPriority w:val="99"/>
    <w:pPr>
      <w:ind w:left="420" w:firstLine="420" w:firstLineChars="200"/>
    </w:pPr>
    <w:rPr>
      <w:rFonts w:ascii="Times New Roman" w:cs="Times New Roman"/>
    </w:rPr>
  </w:style>
  <w:style w:type="paragraph" w:customStyle="1" w:styleId="8">
    <w:name w:val="D&amp;L"/>
    <w:basedOn w:val="4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9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2026-10-16T07:25:00Z</dcterms:created>
  <dc:creator>Xuzhenwen</dc:creator>
  <cp:lastModifiedBy>Xuzhenwen</cp:lastModifiedBy>
  <dcterms:modified xsi:type="dcterms:W3CDTF">2026-10-16T07:26:18Z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822222C0FEC94B77BFA4E88FFACEFA86_11</vt:lpwstr>
  </property>
  <property fmtid="{D5CDD505-2E9C-101B-9397-08002B2CF9AE}" pid="4" name="KSOTemplateDocerSaveRecord">
    <vt:lpwstr>eyJoZGlkIjoiN2YzNjBkOTgyNWQ1YTMxYzM3MzMwNWFiODNmOWIzYWMiLCJ1c2VySWQiOiIzMDY4OTk3NTIifQ==</vt:lpwstr>
  </property>
</Properties>
</file>