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7159B6">
      <w:pPr>
        <w:pageBreakBefore w:val="0"/>
        <w:widowControl/>
        <w:kinsoku/>
        <w:wordWrap w:val="0"/>
        <w:overflowPunct/>
        <w:topLinePunct w:val="0"/>
        <w:bidi w:val="0"/>
        <w:jc w:val="center"/>
        <w:textAlignment w:val="auto"/>
        <w:rPr>
          <w:rFonts w:hint="default" w:ascii="华文中宋" w:hAnsi="华文中宋" w:eastAsia="华文中宋" w:cs="Times New Roman"/>
          <w:b/>
          <w:bCs/>
          <w:kern w:val="44"/>
          <w:sz w:val="44"/>
          <w:szCs w:val="44"/>
          <w:highlight w:val="none"/>
          <w:lang w:val="en-US" w:eastAsia="zh-CN" w:bidi="ar-SA"/>
        </w:rPr>
      </w:pPr>
      <w:bookmarkStart w:id="0" w:name="_Toc17676"/>
      <w:bookmarkStart w:id="1" w:name="_Toc15718"/>
      <w:r>
        <w:rPr>
          <w:rFonts w:hint="eastAsia" w:ascii="华文中宋" w:hAnsi="华文中宋" w:eastAsia="华文中宋" w:cs="Times New Roman"/>
          <w:b/>
          <w:bCs/>
          <w:kern w:val="44"/>
          <w:sz w:val="44"/>
          <w:szCs w:val="44"/>
          <w:highlight w:val="none"/>
          <w:lang w:val="en-US" w:eastAsia="zh-CN" w:bidi="ar-SA"/>
        </w:rPr>
        <w:t>第三章  招标需求</w:t>
      </w:r>
      <w:bookmarkEnd w:id="0"/>
      <w:bookmarkEnd w:id="1"/>
    </w:p>
    <w:p w14:paraId="3BC51D8C">
      <w:pPr>
        <w:pageBreakBefore w:val="0"/>
        <w:kinsoku/>
        <w:wordWrap w:val="0"/>
        <w:overflowPunct/>
        <w:topLinePunct w:val="0"/>
        <w:bidi w:val="0"/>
        <w:spacing w:line="360" w:lineRule="auto"/>
        <w:textAlignment w:val="auto"/>
        <w:rPr>
          <w:rFonts w:ascii="宋体" w:hAnsi="宋体" w:eastAsia="宋体"/>
          <w:b/>
          <w:sz w:val="24"/>
        </w:rPr>
      </w:pPr>
      <w:r>
        <w:rPr>
          <w:rFonts w:hint="eastAsia" w:ascii="宋体" w:hAnsi="宋体" w:eastAsia="宋体"/>
          <w:b/>
          <w:sz w:val="24"/>
        </w:rPr>
        <w:t>前注：</w:t>
      </w:r>
    </w:p>
    <w:p w14:paraId="0BAB0B56">
      <w:pPr>
        <w:pageBreakBefore w:val="0"/>
        <w:kinsoku/>
        <w:wordWrap w:val="0"/>
        <w:overflowPunct/>
        <w:topLinePunct w:val="0"/>
        <w:bidi w:val="0"/>
        <w:spacing w:line="360" w:lineRule="auto"/>
        <w:ind w:firstLine="437"/>
        <w:textAlignment w:val="auto"/>
        <w:rPr>
          <w:rFonts w:hint="eastAsia" w:ascii="宋体" w:hAnsi="宋体" w:eastAsia="宋体"/>
          <w:sz w:val="24"/>
          <w:lang w:val="en-US" w:eastAsia="zh-CN"/>
        </w:rPr>
      </w:pPr>
      <w:r>
        <w:rPr>
          <w:rFonts w:hint="eastAsia" w:ascii="宋体" w:hAnsi="宋体" w:eastAsia="宋体"/>
          <w:sz w:val="24"/>
          <w:lang w:val="en-US" w:eastAsia="zh-CN"/>
        </w:rPr>
        <w:t>1.</w:t>
      </w:r>
      <w:r>
        <w:rPr>
          <w:rFonts w:ascii="宋体" w:hAnsi="宋体" w:eastAsia="宋体"/>
          <w:sz w:val="24"/>
        </w:rPr>
        <w:t>本说明中提出的</w:t>
      </w:r>
      <w:r>
        <w:rPr>
          <w:rFonts w:hint="eastAsia" w:ascii="宋体" w:hAnsi="宋体" w:eastAsia="宋体"/>
          <w:sz w:val="24"/>
          <w:lang w:val="en-US" w:eastAsia="zh-CN"/>
        </w:rPr>
        <w:t>服务</w:t>
      </w:r>
      <w:r>
        <w:rPr>
          <w:rFonts w:ascii="宋体" w:hAnsi="宋体" w:eastAsia="宋体"/>
          <w:sz w:val="24"/>
        </w:rPr>
        <w:t>方案仅为参考，如无明确限制，</w:t>
      </w:r>
      <w:r>
        <w:rPr>
          <w:rFonts w:hint="eastAsia" w:ascii="宋体" w:hAnsi="宋体" w:eastAsia="宋体"/>
          <w:sz w:val="24"/>
          <w:lang w:val="en-US" w:eastAsia="zh-CN"/>
        </w:rPr>
        <w:t>投标人</w:t>
      </w:r>
      <w:r>
        <w:rPr>
          <w:rFonts w:ascii="宋体" w:hAnsi="宋体" w:eastAsia="宋体"/>
          <w:sz w:val="24"/>
        </w:rPr>
        <w:t>可以进行优化，提供满足</w:t>
      </w:r>
      <w:r>
        <w:rPr>
          <w:rFonts w:hint="eastAsia" w:ascii="宋体" w:hAnsi="宋体" w:eastAsia="宋体"/>
          <w:sz w:val="24"/>
          <w:lang w:eastAsia="zh-CN"/>
        </w:rPr>
        <w:t>采购人</w:t>
      </w:r>
      <w:r>
        <w:rPr>
          <w:rFonts w:ascii="宋体" w:hAnsi="宋体" w:eastAsia="宋体"/>
          <w:sz w:val="24"/>
        </w:rPr>
        <w:t>实际需要的更优（或者性能实质上不低于的）</w:t>
      </w:r>
      <w:r>
        <w:rPr>
          <w:rFonts w:hint="eastAsia" w:ascii="宋体" w:hAnsi="宋体" w:eastAsia="宋体"/>
          <w:sz w:val="24"/>
          <w:lang w:val="en-US" w:eastAsia="zh-CN"/>
        </w:rPr>
        <w:t>服务</w:t>
      </w:r>
      <w:r>
        <w:rPr>
          <w:rFonts w:ascii="宋体" w:hAnsi="宋体" w:eastAsia="宋体"/>
          <w:sz w:val="24"/>
        </w:rPr>
        <w:t>方案，且此方案须经</w:t>
      </w:r>
      <w:r>
        <w:rPr>
          <w:rFonts w:hint="eastAsia" w:ascii="宋体" w:hAnsi="宋体" w:eastAsia="宋体"/>
          <w:sz w:val="24"/>
          <w:lang w:val="en-US" w:eastAsia="zh-CN"/>
        </w:rPr>
        <w:t>评标委员会评标</w:t>
      </w:r>
      <w:r>
        <w:rPr>
          <w:rFonts w:ascii="宋体" w:hAnsi="宋体" w:eastAsia="宋体"/>
          <w:sz w:val="24"/>
        </w:rPr>
        <w:t>认可</w:t>
      </w:r>
      <w:r>
        <w:rPr>
          <w:rFonts w:hint="eastAsia" w:ascii="宋体" w:hAnsi="宋体" w:eastAsia="宋体"/>
          <w:sz w:val="24"/>
        </w:rPr>
        <w:t>。</w:t>
      </w:r>
    </w:p>
    <w:p w14:paraId="6FF953A4">
      <w:pPr>
        <w:pageBreakBefore w:val="0"/>
        <w:kinsoku/>
        <w:wordWrap w:val="0"/>
        <w:overflowPunct/>
        <w:topLinePunct w:val="0"/>
        <w:bidi w:val="0"/>
        <w:spacing w:line="360" w:lineRule="auto"/>
        <w:ind w:firstLine="437"/>
        <w:textAlignment w:val="auto"/>
        <w:rPr>
          <w:rFonts w:hint="default" w:ascii="Arial" w:hAnsi="Arial" w:eastAsia="宋体" w:cs="Arial"/>
          <w:b/>
          <w:sz w:val="28"/>
          <w:szCs w:val="28"/>
        </w:rPr>
      </w:pPr>
      <w:r>
        <w:rPr>
          <w:rFonts w:hint="default" w:ascii="Arial" w:hAnsi="Arial" w:eastAsia="宋体" w:cs="Arial"/>
          <w:b/>
          <w:sz w:val="28"/>
          <w:szCs w:val="28"/>
        </w:rPr>
        <w:t>一、</w:t>
      </w:r>
      <w:r>
        <w:rPr>
          <w:rFonts w:hint="eastAsia" w:ascii="Arial" w:hAnsi="Arial" w:eastAsia="宋体" w:cs="Arial"/>
          <w:b/>
          <w:sz w:val="28"/>
          <w:szCs w:val="28"/>
          <w:lang w:eastAsia="zh-CN"/>
        </w:rPr>
        <w:t>招标需求</w:t>
      </w:r>
      <w:r>
        <w:rPr>
          <w:rFonts w:hint="default" w:ascii="Arial" w:hAnsi="Arial" w:eastAsia="宋体" w:cs="Arial"/>
          <w:b/>
          <w:sz w:val="28"/>
          <w:szCs w:val="28"/>
        </w:rPr>
        <w:t>前附表</w:t>
      </w:r>
    </w:p>
    <w:tbl>
      <w:tblPr>
        <w:tblStyle w:val="10"/>
        <w:tblW w:w="85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1696"/>
        <w:gridCol w:w="6077"/>
      </w:tblGrid>
      <w:tr w14:paraId="7C960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53" w:type="dxa"/>
            <w:noWrap w:val="0"/>
            <w:vAlign w:val="center"/>
          </w:tcPr>
          <w:p w14:paraId="6B22875F">
            <w:pPr>
              <w:pStyle w:val="1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0" w:lineRule="atLeast"/>
              <w:ind w:left="0" w:leftChars="0" w:right="0" w:rightChars="0" w:firstLine="0" w:firstLineChars="0"/>
              <w:textAlignment w:val="auto"/>
              <w:outlineLvl w:val="9"/>
              <w:rPr>
                <w:rFonts w:hint="eastAsia" w:ascii="宋体" w:hAnsi="宋体" w:eastAsia="宋体" w:cs="宋体"/>
                <w:b/>
                <w:color w:val="000000"/>
                <w:kern w:val="2"/>
                <w:highlight w:val="none"/>
              </w:rPr>
            </w:pPr>
            <w:bookmarkStart w:id="2" w:name="_Hlk16461016"/>
            <w:r>
              <w:rPr>
                <w:rFonts w:hint="eastAsia" w:ascii="宋体" w:hAnsi="宋体" w:eastAsia="宋体" w:cs="宋体"/>
                <w:b/>
                <w:color w:val="000000"/>
                <w:kern w:val="2"/>
                <w:highlight w:val="none"/>
              </w:rPr>
              <w:t>序号</w:t>
            </w:r>
          </w:p>
        </w:tc>
        <w:tc>
          <w:tcPr>
            <w:tcW w:w="1696" w:type="dxa"/>
            <w:noWrap w:val="0"/>
            <w:vAlign w:val="center"/>
          </w:tcPr>
          <w:p w14:paraId="564572B9">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textAlignment w:val="auto"/>
              <w:outlineLvl w:val="9"/>
              <w:rPr>
                <w:rFonts w:hint="eastAsia" w:ascii="宋体" w:hAnsi="宋体" w:eastAsia="宋体" w:cs="宋体"/>
                <w:bCs w:val="0"/>
                <w:color w:val="000000"/>
                <w:sz w:val="24"/>
                <w:highlight w:val="none"/>
              </w:rPr>
            </w:pPr>
            <w:r>
              <w:rPr>
                <w:rFonts w:hint="eastAsia" w:ascii="宋体" w:hAnsi="宋体" w:eastAsia="宋体" w:cs="宋体"/>
                <w:bCs w:val="0"/>
                <w:color w:val="000000"/>
                <w:sz w:val="24"/>
                <w:highlight w:val="none"/>
              </w:rPr>
              <w:t>内容</w:t>
            </w:r>
          </w:p>
        </w:tc>
        <w:tc>
          <w:tcPr>
            <w:tcW w:w="6077" w:type="dxa"/>
            <w:noWrap w:val="0"/>
            <w:vAlign w:val="center"/>
          </w:tcPr>
          <w:p w14:paraId="4808144C">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textAlignment w:val="auto"/>
              <w:outlineLvl w:val="9"/>
              <w:rPr>
                <w:rFonts w:hint="eastAsia" w:ascii="宋体" w:hAnsi="宋体" w:eastAsia="宋体" w:cs="宋体"/>
                <w:bCs w:val="0"/>
                <w:color w:val="000000"/>
                <w:sz w:val="24"/>
                <w:highlight w:val="none"/>
              </w:rPr>
            </w:pPr>
            <w:r>
              <w:rPr>
                <w:rFonts w:hint="eastAsia" w:ascii="宋体" w:hAnsi="宋体" w:eastAsia="宋体" w:cs="宋体"/>
                <w:bCs w:val="0"/>
                <w:color w:val="000000"/>
                <w:sz w:val="24"/>
                <w:highlight w:val="none"/>
              </w:rPr>
              <w:t>说明与要求</w:t>
            </w:r>
          </w:p>
        </w:tc>
      </w:tr>
      <w:tr w14:paraId="2955A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753" w:type="dxa"/>
            <w:noWrap w:val="0"/>
            <w:vAlign w:val="center"/>
          </w:tcPr>
          <w:p w14:paraId="5F02A5F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3"/>
              <w:rPr>
                <w:rFonts w:hint="eastAsia" w:ascii="宋体" w:hAnsi="宋体" w:eastAsia="宋体" w:cs="宋体"/>
                <w:bCs/>
                <w:color w:val="000000"/>
                <w:kern w:val="2"/>
                <w:highlight w:val="none"/>
              </w:rPr>
            </w:pPr>
            <w:r>
              <w:rPr>
                <w:rFonts w:hint="eastAsia" w:ascii="宋体" w:hAnsi="宋体" w:eastAsia="宋体" w:cs="宋体"/>
                <w:bCs/>
                <w:sz w:val="24"/>
                <w:highlight w:val="none"/>
              </w:rPr>
              <w:t>1</w:t>
            </w:r>
          </w:p>
        </w:tc>
        <w:tc>
          <w:tcPr>
            <w:tcW w:w="1696" w:type="dxa"/>
            <w:noWrap w:val="0"/>
            <w:vAlign w:val="center"/>
          </w:tcPr>
          <w:p w14:paraId="17BEEB55">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3"/>
              <w:rPr>
                <w:rFonts w:hint="eastAsia" w:ascii="宋体" w:hAnsi="宋体" w:eastAsia="宋体" w:cs="宋体"/>
                <w:b w:val="0"/>
                <w:color w:val="000000"/>
                <w:sz w:val="24"/>
                <w:highlight w:val="none"/>
              </w:rPr>
            </w:pPr>
            <w:r>
              <w:rPr>
                <w:rFonts w:hint="eastAsia" w:ascii="宋体" w:hAnsi="宋体" w:eastAsia="宋体" w:cs="宋体"/>
                <w:bCs/>
                <w:sz w:val="24"/>
              </w:rPr>
              <w:t>付款方式</w:t>
            </w:r>
          </w:p>
        </w:tc>
        <w:tc>
          <w:tcPr>
            <w:tcW w:w="6077" w:type="dxa"/>
            <w:noWrap w:val="0"/>
            <w:vAlign w:val="bottom"/>
          </w:tcPr>
          <w:p w14:paraId="20830592">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3"/>
              <w:rPr>
                <w:rFonts w:hint="eastAsia" w:ascii="宋体" w:hAnsi="宋体" w:eastAsia="宋体" w:cs="宋体"/>
                <w:b w:val="0"/>
                <w:bCs/>
                <w:color w:val="000000"/>
                <w:sz w:val="24"/>
                <w:highlight w:val="none"/>
                <w:u w:val="none" w:color="auto"/>
              </w:rPr>
            </w:pPr>
            <w:r>
              <w:rPr>
                <w:rFonts w:hint="eastAsia" w:ascii="宋体" w:hAnsi="宋体" w:eastAsia="宋体" w:cs="宋体"/>
                <w:bCs/>
                <w:sz w:val="24"/>
              </w:rPr>
              <w:t>经综合考核合格，按季度付款，下一季度第一个月支付上一季度费用(每次支付金额为</w:t>
            </w:r>
            <w:r>
              <w:rPr>
                <w:rFonts w:hint="eastAsia" w:ascii="宋体" w:hAnsi="宋体" w:eastAsia="宋体" w:cs="宋体"/>
                <w:bCs/>
                <w:sz w:val="24"/>
                <w:lang w:val="en-US" w:eastAsia="zh-CN"/>
              </w:rPr>
              <w:t>成交</w:t>
            </w:r>
            <w:r>
              <w:rPr>
                <w:rFonts w:hint="eastAsia" w:ascii="宋体" w:hAnsi="宋体" w:eastAsia="宋体" w:cs="宋体"/>
                <w:bCs/>
                <w:sz w:val="24"/>
              </w:rPr>
              <w:t>价的25%) 。</w:t>
            </w:r>
          </w:p>
        </w:tc>
      </w:tr>
      <w:tr w14:paraId="49E75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753" w:type="dxa"/>
            <w:noWrap w:val="0"/>
            <w:vAlign w:val="center"/>
          </w:tcPr>
          <w:p w14:paraId="70CE73A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3"/>
              <w:rPr>
                <w:rFonts w:hint="eastAsia" w:ascii="宋体" w:hAnsi="宋体" w:eastAsia="宋体" w:cs="宋体"/>
                <w:bCs/>
                <w:color w:val="000000"/>
                <w:kern w:val="2"/>
                <w:highlight w:val="none"/>
              </w:rPr>
            </w:pPr>
            <w:r>
              <w:rPr>
                <w:rFonts w:hint="eastAsia" w:ascii="宋体" w:hAnsi="宋体" w:eastAsia="宋体" w:cs="宋体"/>
                <w:bCs/>
                <w:sz w:val="24"/>
                <w:highlight w:val="none"/>
              </w:rPr>
              <w:t>2</w:t>
            </w:r>
          </w:p>
        </w:tc>
        <w:tc>
          <w:tcPr>
            <w:tcW w:w="1696" w:type="dxa"/>
            <w:noWrap w:val="0"/>
            <w:vAlign w:val="center"/>
          </w:tcPr>
          <w:p w14:paraId="5154588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3"/>
              <w:rPr>
                <w:rFonts w:hint="eastAsia" w:ascii="宋体" w:hAnsi="宋体" w:eastAsia="宋体" w:cs="宋体"/>
                <w:b w:val="0"/>
                <w:color w:val="000000"/>
                <w:sz w:val="24"/>
                <w:highlight w:val="none"/>
              </w:rPr>
            </w:pPr>
            <w:r>
              <w:rPr>
                <w:rFonts w:hint="eastAsia" w:ascii="宋体" w:hAnsi="宋体" w:eastAsia="宋体" w:cs="宋体"/>
                <w:bCs/>
                <w:sz w:val="24"/>
              </w:rPr>
              <w:t>服务地点</w:t>
            </w:r>
          </w:p>
        </w:tc>
        <w:tc>
          <w:tcPr>
            <w:tcW w:w="6077" w:type="dxa"/>
            <w:noWrap w:val="0"/>
            <w:vAlign w:val="bottom"/>
          </w:tcPr>
          <w:p w14:paraId="7AE6645B">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3"/>
              <w:rPr>
                <w:rFonts w:hint="eastAsia" w:ascii="宋体" w:hAnsi="宋体" w:eastAsia="宋体" w:cs="宋体"/>
                <w:b w:val="0"/>
                <w:bCs/>
                <w:color w:val="000000"/>
                <w:sz w:val="24"/>
                <w:highlight w:val="none"/>
                <w:lang w:val="en-US" w:eastAsia="zh-CN"/>
              </w:rPr>
            </w:pPr>
            <w:r>
              <w:rPr>
                <w:rFonts w:hint="eastAsia" w:ascii="宋体" w:hAnsi="宋体" w:eastAsia="宋体" w:cs="宋体"/>
                <w:bCs/>
                <w:sz w:val="24"/>
                <w:lang w:eastAsia="zh-CN"/>
              </w:rPr>
              <w:t>包河区屯溪路</w:t>
            </w:r>
            <w:r>
              <w:rPr>
                <w:rFonts w:hint="eastAsia" w:ascii="宋体" w:hAnsi="宋体" w:eastAsia="宋体" w:cs="宋体"/>
                <w:bCs/>
                <w:sz w:val="24"/>
                <w:lang w:val="en-US" w:eastAsia="zh-CN"/>
              </w:rPr>
              <w:t>193号</w:t>
            </w:r>
            <w:r>
              <w:rPr>
                <w:rFonts w:hint="eastAsia" w:ascii="宋体" w:hAnsi="宋体" w:eastAsia="宋体" w:cs="宋体"/>
                <w:bCs/>
                <w:sz w:val="24"/>
              </w:rPr>
              <w:t>，采购人指定地点。</w:t>
            </w:r>
          </w:p>
        </w:tc>
      </w:tr>
      <w:tr w14:paraId="03F99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753" w:type="dxa"/>
            <w:noWrap w:val="0"/>
            <w:vAlign w:val="center"/>
          </w:tcPr>
          <w:p w14:paraId="561CA085">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3"/>
              <w:rPr>
                <w:rFonts w:hint="eastAsia" w:ascii="宋体" w:hAnsi="宋体" w:eastAsia="宋体" w:cs="宋体"/>
                <w:bCs/>
                <w:color w:val="000000"/>
                <w:kern w:val="2"/>
                <w:highlight w:val="none"/>
              </w:rPr>
            </w:pPr>
            <w:r>
              <w:rPr>
                <w:rFonts w:hint="eastAsia" w:ascii="宋体" w:hAnsi="宋体" w:eastAsia="宋体" w:cs="宋体"/>
                <w:bCs/>
                <w:sz w:val="24"/>
                <w:highlight w:val="none"/>
              </w:rPr>
              <w:t>3</w:t>
            </w:r>
          </w:p>
        </w:tc>
        <w:tc>
          <w:tcPr>
            <w:tcW w:w="1696" w:type="dxa"/>
            <w:noWrap w:val="0"/>
            <w:vAlign w:val="center"/>
          </w:tcPr>
          <w:p w14:paraId="13B9C7C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val="0"/>
                <w:color w:val="000000"/>
                <w:sz w:val="24"/>
                <w:highlight w:val="none"/>
              </w:rPr>
            </w:pPr>
            <w:r>
              <w:rPr>
                <w:rFonts w:hint="eastAsia" w:ascii="宋体" w:hAnsi="宋体" w:eastAsia="宋体" w:cs="宋体"/>
                <w:spacing w:val="0"/>
                <w:sz w:val="24"/>
                <w:szCs w:val="24"/>
              </w:rPr>
              <w:t>服务期限</w:t>
            </w:r>
          </w:p>
        </w:tc>
        <w:tc>
          <w:tcPr>
            <w:tcW w:w="6077" w:type="dxa"/>
            <w:noWrap w:val="0"/>
            <w:vAlign w:val="bottom"/>
          </w:tcPr>
          <w:p w14:paraId="3AAFF09F">
            <w:pPr>
              <w:keepNext w:val="0"/>
              <w:keepLines w:val="0"/>
              <w:pageBreakBefore w:val="0"/>
              <w:widowControl w:val="0"/>
              <w:kinsoku/>
              <w:wordWrap/>
              <w:overflowPunct/>
              <w:topLinePunct w:val="0"/>
              <w:autoSpaceDE/>
              <w:autoSpaceDN/>
              <w:bidi w:val="0"/>
              <w:adjustRightInd/>
              <w:snapToGrid/>
              <w:spacing w:line="312" w:lineRule="auto"/>
              <w:ind w:right="0" w:rightChars="0"/>
              <w:jc w:val="both"/>
              <w:textAlignment w:val="auto"/>
              <w:rPr>
                <w:rFonts w:hint="eastAsia" w:ascii="宋体" w:hAnsi="宋体" w:eastAsia="宋体" w:cs="宋体"/>
                <w:b w:val="0"/>
                <w:bCs/>
                <w:color w:val="000000"/>
                <w:sz w:val="24"/>
                <w:highlight w:val="none"/>
                <w:lang w:val="en-US" w:eastAsia="zh-CN"/>
              </w:rPr>
            </w:pPr>
            <w:r>
              <w:rPr>
                <w:rFonts w:hint="eastAsia" w:ascii="宋体" w:hAnsi="宋体" w:eastAsia="宋体" w:cs="宋体"/>
                <w:b w:val="0"/>
                <w:bCs/>
                <w:color w:val="000000"/>
                <w:sz w:val="24"/>
                <w:highlight w:val="none"/>
                <w:lang w:val="en-US" w:eastAsia="zh-CN"/>
              </w:rPr>
              <w:t>本项目服务期限为2026年10月1日至2027年9月30日。采购人有权根据年度考核情况确定是否续签服务合同，最多续签2年，续签合同金额执行本项目成交金额。</w:t>
            </w:r>
          </w:p>
          <w:p w14:paraId="19F55B48">
            <w:pPr>
              <w:keepNext w:val="0"/>
              <w:keepLines w:val="0"/>
              <w:pageBreakBefore w:val="0"/>
              <w:widowControl w:val="0"/>
              <w:kinsoku/>
              <w:wordWrap/>
              <w:overflowPunct/>
              <w:topLinePunct w:val="0"/>
              <w:autoSpaceDE/>
              <w:autoSpaceDN/>
              <w:bidi w:val="0"/>
              <w:adjustRightInd/>
              <w:snapToGrid/>
              <w:spacing w:line="312" w:lineRule="auto"/>
              <w:ind w:right="0" w:rightChars="0"/>
              <w:jc w:val="both"/>
              <w:textAlignment w:val="auto"/>
              <w:rPr>
                <w:rFonts w:hint="eastAsia" w:eastAsia="@微软简标宋"/>
                <w:lang w:val="en-US" w:eastAsia="zh-CN"/>
              </w:rPr>
            </w:pPr>
            <w:r>
              <w:rPr>
                <w:rFonts w:hint="eastAsia" w:ascii="宋体" w:hAnsi="宋体" w:eastAsia="宋体" w:cs="宋体"/>
                <w:b w:val="0"/>
                <w:bCs/>
                <w:color w:val="000000"/>
                <w:sz w:val="24"/>
                <w:highlight w:val="none"/>
                <w:lang w:val="en-US" w:eastAsia="zh-CN"/>
              </w:rPr>
              <w:t>注：中标人全服务周期内，年度综合绩效考核达到合格及以上标准；未发生安全生产责任事故；无造成重大影响的有效服务投诉；全面履约完成本合同全部服务义务及采购人交办的专项工作，方可具备续签资格。</w:t>
            </w:r>
          </w:p>
        </w:tc>
      </w:tr>
      <w:tr w14:paraId="169EA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753" w:type="dxa"/>
            <w:noWrap w:val="0"/>
            <w:vAlign w:val="center"/>
          </w:tcPr>
          <w:p w14:paraId="03AE86ED">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3"/>
              <w:rPr>
                <w:rFonts w:hint="eastAsia" w:ascii="宋体" w:hAnsi="宋体" w:eastAsia="宋体" w:cs="宋体"/>
                <w:bCs/>
                <w:sz w:val="24"/>
                <w:highlight w:val="none"/>
                <w:lang w:val="en-US" w:eastAsia="zh-CN"/>
              </w:rPr>
            </w:pPr>
            <w:r>
              <w:rPr>
                <w:rFonts w:hint="eastAsia" w:ascii="宋体" w:hAnsi="宋体" w:cs="宋体"/>
                <w:bCs/>
                <w:sz w:val="24"/>
                <w:highlight w:val="none"/>
                <w:lang w:val="en-US" w:eastAsia="zh-CN"/>
              </w:rPr>
              <w:t>4</w:t>
            </w:r>
          </w:p>
        </w:tc>
        <w:tc>
          <w:tcPr>
            <w:tcW w:w="1696" w:type="dxa"/>
            <w:noWrap w:val="0"/>
            <w:vAlign w:val="center"/>
          </w:tcPr>
          <w:p w14:paraId="39DD899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符合性审查</w:t>
            </w:r>
          </w:p>
          <w:p w14:paraId="1BD7A6F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Cs/>
                <w:sz w:val="24"/>
              </w:rPr>
            </w:pPr>
            <w:r>
              <w:rPr>
                <w:rFonts w:hint="eastAsia" w:ascii="宋体" w:hAnsi="宋体" w:eastAsia="宋体" w:cs="宋体"/>
                <w:spacing w:val="0"/>
                <w:sz w:val="24"/>
                <w:szCs w:val="24"/>
              </w:rPr>
              <w:t>业绩</w:t>
            </w:r>
          </w:p>
        </w:tc>
        <w:tc>
          <w:tcPr>
            <w:tcW w:w="6077" w:type="dxa"/>
            <w:noWrap w:val="0"/>
            <w:vAlign w:val="bottom"/>
          </w:tcPr>
          <w:p w14:paraId="72419AB7">
            <w:pPr>
              <w:keepNext w:val="0"/>
              <w:keepLines w:val="0"/>
              <w:pageBreakBefore w:val="0"/>
              <w:widowControl w:val="0"/>
              <w:kinsoku/>
              <w:wordWrap/>
              <w:overflowPunct/>
              <w:topLinePunct w:val="0"/>
              <w:autoSpaceDE/>
              <w:autoSpaceDN/>
              <w:bidi w:val="0"/>
              <w:adjustRightInd/>
              <w:snapToGrid/>
              <w:spacing w:line="312" w:lineRule="auto"/>
              <w:ind w:left="0" w:right="0" w:firstLine="0"/>
              <w:jc w:val="both"/>
              <w:textAlignment w:val="auto"/>
              <w:rPr>
                <w:rFonts w:hint="eastAsia" w:ascii="宋体" w:hAnsi="宋体" w:eastAsia="宋体" w:cs="宋体"/>
                <w:spacing w:val="0"/>
                <w:kern w:val="2"/>
                <w:sz w:val="24"/>
                <w:szCs w:val="24"/>
                <w:lang w:val="en-US" w:eastAsia="zh-CN" w:bidi="ar-SA"/>
              </w:rPr>
            </w:pPr>
            <w:r>
              <w:rPr>
                <w:rFonts w:hint="eastAsia" w:ascii="宋体" w:hAnsi="宋体" w:eastAsia="宋体" w:cs="宋体"/>
                <w:spacing w:val="0"/>
                <w:kern w:val="2"/>
                <w:sz w:val="24"/>
                <w:szCs w:val="24"/>
                <w:lang w:val="en-US" w:eastAsia="zh-CN" w:bidi="ar-SA"/>
              </w:rPr>
              <w:t>自2021年1月1日以来 (以合同签订时间为准) ， 投标人具有类似楼宇（指公共建筑（写字楼、科研楼、教学楼、综合楼等）的物业服务项目，服务内容须包含秩序维护、保洁、设施设备运维）物业服务项目业绩。</w:t>
            </w:r>
          </w:p>
          <w:p w14:paraId="63B64378">
            <w:pPr>
              <w:keepNext w:val="0"/>
              <w:keepLines w:val="0"/>
              <w:pageBreakBefore w:val="0"/>
              <w:widowControl w:val="0"/>
              <w:kinsoku/>
              <w:wordWrap/>
              <w:overflowPunct/>
              <w:topLinePunct w:val="0"/>
              <w:autoSpaceDE/>
              <w:autoSpaceDN/>
              <w:bidi w:val="0"/>
              <w:adjustRightInd/>
              <w:snapToGrid/>
              <w:spacing w:line="312" w:lineRule="auto"/>
              <w:ind w:left="0" w:right="0" w:firstLine="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注：</w:t>
            </w:r>
          </w:p>
          <w:p w14:paraId="2DD9DA19">
            <w:pPr>
              <w:keepNext w:val="0"/>
              <w:keepLines w:val="0"/>
              <w:pageBreakBefore w:val="0"/>
              <w:widowControl w:val="0"/>
              <w:kinsoku/>
              <w:wordWrap/>
              <w:overflowPunct/>
              <w:topLinePunct w:val="0"/>
              <w:autoSpaceDE/>
              <w:autoSpaceDN/>
              <w:bidi w:val="0"/>
              <w:adjustRightInd/>
              <w:snapToGrid/>
              <w:spacing w:line="312"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w:t>
            </w:r>
            <w:r>
              <w:rPr>
                <w:rFonts w:hint="eastAsia" w:ascii="宋体" w:hAnsi="宋体" w:eastAsia="宋体" w:cs="宋体"/>
                <w:spacing w:val="0"/>
                <w:sz w:val="24"/>
                <w:szCs w:val="24"/>
                <w:lang w:val="en-US" w:eastAsia="zh-CN"/>
              </w:rPr>
              <w:t>投标文件</w:t>
            </w:r>
            <w:r>
              <w:rPr>
                <w:rFonts w:hint="eastAsia" w:ascii="宋体" w:hAnsi="宋体" w:eastAsia="宋体" w:cs="宋体"/>
                <w:spacing w:val="0"/>
                <w:sz w:val="24"/>
                <w:szCs w:val="24"/>
              </w:rPr>
              <w:t xml:space="preserve">中提供业绩合同扫描件，若合同中无法体现签订时间、服务内容等关键评审因素的，须同时提供业主 (合同甲方) 证明材料，否则投标无效。正在履约或履约完成的项目业绩，均予认可。 </w:t>
            </w:r>
          </w:p>
          <w:p w14:paraId="5F805F1C">
            <w:pPr>
              <w:keepNext w:val="0"/>
              <w:keepLines w:val="0"/>
              <w:pageBreakBefore w:val="0"/>
              <w:widowControl w:val="0"/>
              <w:kinsoku/>
              <w:wordWrap/>
              <w:overflowPunct/>
              <w:topLinePunct w:val="0"/>
              <w:autoSpaceDE/>
              <w:autoSpaceDN/>
              <w:bidi w:val="0"/>
              <w:adjustRightInd/>
              <w:snapToGrid/>
              <w:spacing w:line="312" w:lineRule="auto"/>
              <w:ind w:left="0" w:leftChars="0" w:right="0" w:rightChars="0"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pacing w:val="0"/>
                <w:sz w:val="24"/>
                <w:szCs w:val="24"/>
              </w:rPr>
              <w:t>2.本项目将对中标人提供的经评标委员会认可的</w:t>
            </w:r>
            <w:r>
              <w:rPr>
                <w:rFonts w:hint="eastAsia" w:ascii="宋体" w:hAnsi="宋体" w:eastAsia="宋体" w:cs="宋体"/>
                <w:spacing w:val="0"/>
                <w:sz w:val="24"/>
                <w:szCs w:val="24"/>
                <w:lang w:val="en-US" w:eastAsia="zh-CN"/>
              </w:rPr>
              <w:t>投标人</w:t>
            </w:r>
            <w:r>
              <w:rPr>
                <w:rFonts w:hint="eastAsia" w:ascii="宋体" w:hAnsi="宋体" w:eastAsia="宋体" w:cs="宋体"/>
                <w:spacing w:val="0"/>
                <w:sz w:val="24"/>
                <w:szCs w:val="24"/>
              </w:rPr>
              <w:t>业绩随评审结果一并公告。如有虚假，将取消</w:t>
            </w:r>
            <w:r>
              <w:rPr>
                <w:rFonts w:hint="eastAsia" w:ascii="宋体" w:hAnsi="宋体" w:eastAsia="宋体" w:cs="宋体"/>
                <w:spacing w:val="0"/>
                <w:sz w:val="24"/>
                <w:szCs w:val="24"/>
                <w:lang w:val="en-US" w:eastAsia="zh-CN"/>
              </w:rPr>
              <w:t>成交</w:t>
            </w:r>
            <w:r>
              <w:rPr>
                <w:rFonts w:hint="eastAsia" w:ascii="宋体" w:hAnsi="宋体" w:eastAsia="宋体" w:cs="宋体"/>
                <w:spacing w:val="0"/>
                <w:sz w:val="24"/>
                <w:szCs w:val="24"/>
              </w:rPr>
              <w:t>资格并上报政府采购监督管理部门按有关规定处理。</w:t>
            </w:r>
          </w:p>
        </w:tc>
      </w:tr>
      <w:bookmarkEnd w:id="2"/>
    </w:tbl>
    <w:p w14:paraId="175206CA">
      <w:pPr>
        <w:pStyle w:val="2"/>
        <w:keepNext/>
        <w:keepLines/>
        <w:pageBreakBefore w:val="0"/>
        <w:widowControl w:val="0"/>
        <w:kinsoku/>
        <w:wordWrap/>
        <w:overflowPunct/>
        <w:topLinePunct w:val="0"/>
        <w:autoSpaceDE/>
        <w:autoSpaceDN/>
        <w:bidi w:val="0"/>
        <w:adjustRightInd/>
        <w:snapToGrid/>
        <w:spacing w:before="157" w:beforeLines="50" w:after="157" w:afterLines="50" w:line="0" w:lineRule="atLeast"/>
        <w:ind w:left="0" w:leftChars="0" w:right="0" w:rightChars="0" w:firstLine="482" w:firstLineChars="200"/>
        <w:jc w:val="both"/>
        <w:textAlignment w:val="auto"/>
        <w:outlineLvl w:val="1"/>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二、项目简介</w:t>
      </w:r>
    </w:p>
    <w:p w14:paraId="10BFCA68">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合肥工业大学产学研综合楼位于合肥市包河区屯溪路与马鞍山路交口西南角</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2025年10月建成交付使用，是合肥工业大学集产学研平台运营、校企合作、教育培训、科研成果孵化于一体的核心综合楼宇。楼宇总建筑面积59177㎡，其中地上25层，建筑面积37873㎡；地下3层，建筑面积21304㎡，主要为地下车库与设备用房。绿化普通养护面积为7224.5平方米。</w:t>
      </w:r>
      <w:r>
        <w:rPr>
          <w:rFonts w:hint="eastAsia" w:ascii="宋体" w:hAnsi="宋体" w:eastAsia="宋体" w:cs="宋体"/>
          <w:color w:val="000000"/>
          <w:sz w:val="24"/>
          <w:szCs w:val="24"/>
          <w:highlight w:val="none"/>
          <w:lang w:eastAsia="zh-CN"/>
        </w:rPr>
        <w:t>现</w:t>
      </w:r>
      <w:r>
        <w:rPr>
          <w:rFonts w:hint="eastAsia" w:ascii="宋体" w:hAnsi="宋体" w:eastAsia="宋体" w:cs="宋体"/>
          <w:color w:val="000000"/>
          <w:sz w:val="24"/>
          <w:szCs w:val="24"/>
          <w:highlight w:val="none"/>
        </w:rPr>
        <w:t>拟采购一家投标人提供</w:t>
      </w:r>
      <w:r>
        <w:rPr>
          <w:rFonts w:hint="eastAsia" w:ascii="宋体" w:hAnsi="宋体" w:eastAsia="宋体" w:cs="宋体"/>
          <w:color w:val="000000"/>
          <w:sz w:val="24"/>
          <w:szCs w:val="24"/>
          <w:highlight w:val="none"/>
          <w:lang w:val="en-US" w:eastAsia="zh-CN"/>
        </w:rPr>
        <w:t>物业</w:t>
      </w:r>
      <w:r>
        <w:rPr>
          <w:rFonts w:hint="eastAsia" w:ascii="宋体" w:hAnsi="宋体" w:eastAsia="宋体" w:cs="宋体"/>
          <w:color w:val="000000"/>
          <w:sz w:val="24"/>
          <w:szCs w:val="24"/>
          <w:highlight w:val="none"/>
          <w:lang w:eastAsia="zh-CN"/>
        </w:rPr>
        <w:t>服务</w:t>
      </w:r>
      <w:r>
        <w:rPr>
          <w:rFonts w:hint="eastAsia" w:ascii="宋体" w:hAnsi="宋体" w:eastAsia="宋体" w:cs="宋体"/>
          <w:color w:val="000000"/>
          <w:sz w:val="24"/>
          <w:szCs w:val="24"/>
          <w:highlight w:val="none"/>
        </w:rPr>
        <w:t>，详见</w:t>
      </w:r>
      <w:r>
        <w:rPr>
          <w:rFonts w:hint="eastAsia" w:ascii="宋体" w:hAnsi="宋体" w:eastAsia="宋体" w:cs="宋体"/>
          <w:color w:val="000000"/>
          <w:sz w:val="24"/>
          <w:szCs w:val="24"/>
          <w:highlight w:val="none"/>
          <w:lang w:eastAsia="zh-CN"/>
        </w:rPr>
        <w:t>服务范围和服务要求。</w:t>
      </w:r>
    </w:p>
    <w:p w14:paraId="2BFAB72A">
      <w:pPr>
        <w:spacing w:line="400" w:lineRule="exact"/>
        <w:outlineLvl w:val="2"/>
        <w:rPr>
          <w:rFonts w:hint="eastAsia" w:ascii="宋体" w:hAnsi="宋体" w:eastAsia="宋体" w:cs="宋体"/>
          <w:b/>
          <w:bCs/>
          <w:sz w:val="24"/>
          <w:szCs w:val="24"/>
        </w:rPr>
      </w:pPr>
      <w:r>
        <w:rPr>
          <w:rFonts w:hint="eastAsia" w:ascii="宋体" w:hAnsi="宋体" w:eastAsia="宋体" w:cs="宋体"/>
          <w:b/>
          <w:bCs/>
          <w:sz w:val="24"/>
          <w:szCs w:val="24"/>
        </w:rPr>
        <w:t>（</w:t>
      </w:r>
      <w:r>
        <w:rPr>
          <w:rFonts w:hint="eastAsia" w:ascii="宋体" w:hAnsi="宋体" w:eastAsia="宋体" w:cs="宋体"/>
          <w:b/>
          <w:bCs/>
          <w:sz w:val="24"/>
          <w:szCs w:val="24"/>
          <w:lang w:eastAsia="zh-CN"/>
        </w:rPr>
        <w:t>一</w:t>
      </w:r>
      <w:r>
        <w:rPr>
          <w:rFonts w:hint="eastAsia" w:ascii="宋体" w:hAnsi="宋体" w:eastAsia="宋体" w:cs="宋体"/>
          <w:b/>
          <w:bCs/>
          <w:sz w:val="24"/>
          <w:szCs w:val="24"/>
        </w:rPr>
        <w:t>）主要设备设施</w:t>
      </w:r>
      <w:r>
        <w:rPr>
          <w:rFonts w:hint="eastAsia" w:ascii="宋体" w:hAnsi="宋体" w:eastAsia="宋体" w:cs="宋体"/>
          <w:b/>
          <w:bCs/>
          <w:sz w:val="24"/>
          <w:szCs w:val="24"/>
          <w:lang w:eastAsia="zh-CN"/>
        </w:rPr>
        <w:t>及系统</w:t>
      </w:r>
      <w:r>
        <w:rPr>
          <w:rFonts w:hint="eastAsia" w:ascii="宋体" w:hAnsi="宋体" w:eastAsia="宋体" w:cs="宋体"/>
          <w:b/>
          <w:bCs/>
          <w:sz w:val="24"/>
          <w:szCs w:val="24"/>
        </w:rPr>
        <w:t>情况</w:t>
      </w:r>
    </w:p>
    <w:p w14:paraId="7CCDD619">
      <w:pPr>
        <w:spacing w:line="400" w:lineRule="exact"/>
        <w:ind w:firstLine="241" w:firstLineChars="100"/>
        <w:outlineLvl w:val="2"/>
        <w:rPr>
          <w:rFonts w:hint="eastAsia" w:ascii="宋体" w:hAnsi="宋体" w:eastAsia="宋体" w:cs="宋体"/>
          <w:b/>
          <w:sz w:val="24"/>
          <w:szCs w:val="24"/>
        </w:rPr>
      </w:pPr>
      <w:r>
        <w:rPr>
          <w:rFonts w:hint="eastAsia" w:ascii="宋体" w:hAnsi="宋体" w:eastAsia="宋体" w:cs="宋体"/>
          <w:b/>
          <w:bCs/>
          <w:sz w:val="24"/>
          <w:szCs w:val="24"/>
        </w:rPr>
        <w:t>1.楼内配电设备</w:t>
      </w:r>
    </w:p>
    <w:tbl>
      <w:tblPr>
        <w:tblStyle w:val="1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5"/>
        <w:gridCol w:w="2901"/>
        <w:gridCol w:w="3488"/>
        <w:gridCol w:w="1065"/>
      </w:tblGrid>
      <w:tr w14:paraId="7D4A9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pct"/>
            <w:noWrap w:val="0"/>
            <w:vAlign w:val="center"/>
          </w:tcPr>
          <w:p w14:paraId="6ABD0B59">
            <w:pPr>
              <w:jc w:val="center"/>
              <w:rPr>
                <w:rFonts w:hint="eastAsia" w:ascii="宋体" w:hAnsi="宋体" w:eastAsia="宋体" w:cs="宋体"/>
                <w:b/>
                <w:sz w:val="24"/>
                <w:szCs w:val="24"/>
              </w:rPr>
            </w:pPr>
            <w:r>
              <w:rPr>
                <w:rFonts w:hint="eastAsia" w:ascii="宋体" w:hAnsi="宋体" w:eastAsia="宋体" w:cs="宋体"/>
                <w:b/>
                <w:sz w:val="24"/>
                <w:szCs w:val="24"/>
              </w:rPr>
              <w:t>楼层</w:t>
            </w:r>
          </w:p>
        </w:tc>
        <w:tc>
          <w:tcPr>
            <w:tcW w:w="1702" w:type="pct"/>
            <w:noWrap w:val="0"/>
            <w:vAlign w:val="center"/>
          </w:tcPr>
          <w:p w14:paraId="5E93DBD7">
            <w:pPr>
              <w:ind w:firstLine="422"/>
              <w:jc w:val="center"/>
              <w:rPr>
                <w:rFonts w:hint="eastAsia" w:ascii="宋体" w:hAnsi="宋体" w:eastAsia="宋体" w:cs="宋体"/>
                <w:b/>
                <w:sz w:val="24"/>
                <w:szCs w:val="24"/>
              </w:rPr>
            </w:pPr>
            <w:r>
              <w:rPr>
                <w:rFonts w:hint="eastAsia" w:ascii="宋体" w:hAnsi="宋体" w:eastAsia="宋体" w:cs="宋体"/>
                <w:b/>
                <w:kern w:val="0"/>
                <w:sz w:val="24"/>
                <w:szCs w:val="24"/>
              </w:rPr>
              <w:t>楼层配电间数量（间）</w:t>
            </w:r>
          </w:p>
        </w:tc>
        <w:tc>
          <w:tcPr>
            <w:tcW w:w="2047" w:type="pct"/>
            <w:noWrap w:val="0"/>
            <w:vAlign w:val="center"/>
          </w:tcPr>
          <w:p w14:paraId="181642A7">
            <w:pPr>
              <w:ind w:firstLine="422"/>
              <w:jc w:val="center"/>
              <w:rPr>
                <w:rFonts w:hint="eastAsia" w:ascii="宋体" w:hAnsi="宋体" w:eastAsia="宋体" w:cs="宋体"/>
                <w:b/>
                <w:sz w:val="24"/>
                <w:szCs w:val="24"/>
              </w:rPr>
            </w:pPr>
            <w:r>
              <w:rPr>
                <w:rFonts w:hint="eastAsia" w:ascii="宋体" w:hAnsi="宋体" w:eastAsia="宋体" w:cs="宋体"/>
                <w:b/>
                <w:kern w:val="0"/>
                <w:sz w:val="24"/>
                <w:szCs w:val="24"/>
              </w:rPr>
              <w:t>楼层配电箱数量（个）</w:t>
            </w:r>
          </w:p>
        </w:tc>
        <w:tc>
          <w:tcPr>
            <w:tcW w:w="625" w:type="pct"/>
            <w:noWrap w:val="0"/>
            <w:vAlign w:val="center"/>
          </w:tcPr>
          <w:p w14:paraId="713A31EF">
            <w:pPr>
              <w:jc w:val="center"/>
              <w:rPr>
                <w:rFonts w:hint="eastAsia" w:ascii="宋体" w:hAnsi="宋体" w:eastAsia="宋体" w:cs="宋体"/>
                <w:b/>
                <w:kern w:val="0"/>
                <w:sz w:val="24"/>
                <w:szCs w:val="24"/>
              </w:rPr>
            </w:pPr>
            <w:r>
              <w:rPr>
                <w:rFonts w:hint="eastAsia" w:ascii="宋体" w:hAnsi="宋体" w:eastAsia="宋体" w:cs="宋体"/>
                <w:b/>
                <w:kern w:val="0"/>
                <w:sz w:val="24"/>
                <w:szCs w:val="24"/>
              </w:rPr>
              <w:t>备注</w:t>
            </w:r>
          </w:p>
        </w:tc>
      </w:tr>
      <w:tr w14:paraId="1EF00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pct"/>
            <w:noWrap w:val="0"/>
            <w:vAlign w:val="center"/>
          </w:tcPr>
          <w:p w14:paraId="1889F385">
            <w:pPr>
              <w:jc w:val="center"/>
              <w:rPr>
                <w:rFonts w:hint="eastAsia" w:ascii="宋体" w:hAnsi="宋体" w:eastAsia="宋体" w:cs="宋体"/>
                <w:bCs/>
                <w:sz w:val="24"/>
                <w:szCs w:val="24"/>
              </w:rPr>
            </w:pPr>
            <w:r>
              <w:rPr>
                <w:rFonts w:hint="eastAsia" w:ascii="宋体" w:hAnsi="宋体" w:eastAsia="宋体" w:cs="宋体"/>
                <w:bCs/>
                <w:sz w:val="24"/>
                <w:szCs w:val="24"/>
              </w:rPr>
              <w:t>B2层</w:t>
            </w:r>
          </w:p>
        </w:tc>
        <w:tc>
          <w:tcPr>
            <w:tcW w:w="1702" w:type="pct"/>
            <w:noWrap w:val="0"/>
            <w:vAlign w:val="center"/>
          </w:tcPr>
          <w:p w14:paraId="603B9E2D">
            <w:pPr>
              <w:jc w:val="center"/>
              <w:rPr>
                <w:rFonts w:hint="eastAsia" w:ascii="宋体" w:hAnsi="宋体" w:eastAsia="宋体" w:cs="宋体"/>
                <w:kern w:val="0"/>
                <w:sz w:val="24"/>
                <w:szCs w:val="24"/>
              </w:rPr>
            </w:pPr>
            <w:r>
              <w:rPr>
                <w:rFonts w:hint="eastAsia" w:ascii="宋体" w:hAnsi="宋体" w:eastAsia="宋体" w:cs="宋体"/>
                <w:kern w:val="0"/>
                <w:sz w:val="24"/>
                <w:szCs w:val="24"/>
              </w:rPr>
              <w:t>29</w:t>
            </w:r>
          </w:p>
        </w:tc>
        <w:tc>
          <w:tcPr>
            <w:tcW w:w="2047" w:type="pct"/>
            <w:noWrap w:val="0"/>
            <w:vAlign w:val="center"/>
          </w:tcPr>
          <w:p w14:paraId="49984892">
            <w:pPr>
              <w:jc w:val="center"/>
              <w:rPr>
                <w:rFonts w:hint="eastAsia" w:ascii="宋体" w:hAnsi="宋体" w:eastAsia="宋体" w:cs="宋体"/>
                <w:kern w:val="0"/>
                <w:sz w:val="24"/>
                <w:szCs w:val="24"/>
              </w:rPr>
            </w:pPr>
            <w:r>
              <w:rPr>
                <w:rFonts w:hint="eastAsia" w:ascii="宋体" w:hAnsi="宋体" w:eastAsia="宋体" w:cs="宋体"/>
                <w:kern w:val="0"/>
                <w:sz w:val="24"/>
                <w:szCs w:val="24"/>
              </w:rPr>
              <w:t>配电箱：20个、配电柜：9个</w:t>
            </w:r>
          </w:p>
        </w:tc>
        <w:tc>
          <w:tcPr>
            <w:tcW w:w="625" w:type="pct"/>
            <w:noWrap w:val="0"/>
            <w:vAlign w:val="center"/>
          </w:tcPr>
          <w:p w14:paraId="6CA75B58">
            <w:pPr>
              <w:jc w:val="center"/>
              <w:rPr>
                <w:rFonts w:hint="eastAsia" w:ascii="宋体" w:hAnsi="宋体" w:eastAsia="宋体" w:cs="宋体"/>
                <w:kern w:val="0"/>
                <w:sz w:val="24"/>
                <w:szCs w:val="24"/>
              </w:rPr>
            </w:pPr>
          </w:p>
        </w:tc>
      </w:tr>
      <w:tr w14:paraId="68560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pct"/>
            <w:noWrap w:val="0"/>
            <w:vAlign w:val="center"/>
          </w:tcPr>
          <w:p w14:paraId="79DC7278">
            <w:pPr>
              <w:jc w:val="center"/>
              <w:rPr>
                <w:rFonts w:hint="eastAsia" w:ascii="宋体" w:hAnsi="宋体" w:eastAsia="宋体" w:cs="宋体"/>
                <w:bCs/>
                <w:sz w:val="24"/>
                <w:szCs w:val="24"/>
              </w:rPr>
            </w:pPr>
            <w:r>
              <w:rPr>
                <w:rFonts w:hint="eastAsia" w:ascii="宋体" w:hAnsi="宋体" w:eastAsia="宋体" w:cs="宋体"/>
                <w:bCs/>
                <w:sz w:val="24"/>
                <w:szCs w:val="24"/>
              </w:rPr>
              <w:t>B1层</w:t>
            </w:r>
          </w:p>
        </w:tc>
        <w:tc>
          <w:tcPr>
            <w:tcW w:w="1702" w:type="pct"/>
            <w:noWrap w:val="0"/>
            <w:vAlign w:val="center"/>
          </w:tcPr>
          <w:p w14:paraId="71677554">
            <w:pPr>
              <w:jc w:val="center"/>
              <w:rPr>
                <w:rFonts w:hint="eastAsia" w:ascii="宋体" w:hAnsi="宋体" w:eastAsia="宋体" w:cs="宋体"/>
                <w:kern w:val="0"/>
                <w:sz w:val="24"/>
                <w:szCs w:val="24"/>
              </w:rPr>
            </w:pPr>
            <w:r>
              <w:rPr>
                <w:rFonts w:hint="eastAsia" w:ascii="宋体" w:hAnsi="宋体" w:eastAsia="宋体" w:cs="宋体"/>
                <w:kern w:val="0"/>
                <w:sz w:val="24"/>
                <w:szCs w:val="24"/>
              </w:rPr>
              <w:t>36</w:t>
            </w:r>
          </w:p>
        </w:tc>
        <w:tc>
          <w:tcPr>
            <w:tcW w:w="2047" w:type="pct"/>
            <w:noWrap w:val="0"/>
            <w:vAlign w:val="center"/>
          </w:tcPr>
          <w:p w14:paraId="5BFCB547">
            <w:pPr>
              <w:ind w:firstLine="240" w:firstLineChars="100"/>
              <w:jc w:val="center"/>
              <w:rPr>
                <w:rFonts w:hint="eastAsia" w:ascii="宋体" w:hAnsi="宋体" w:eastAsia="宋体" w:cs="宋体"/>
                <w:kern w:val="0"/>
                <w:sz w:val="24"/>
                <w:szCs w:val="24"/>
              </w:rPr>
            </w:pPr>
            <w:r>
              <w:rPr>
                <w:rFonts w:hint="eastAsia" w:ascii="宋体" w:hAnsi="宋体" w:eastAsia="宋体" w:cs="宋体"/>
                <w:kern w:val="0"/>
                <w:sz w:val="24"/>
                <w:szCs w:val="24"/>
              </w:rPr>
              <w:t>配电箱：19个、配电柜：17个</w:t>
            </w:r>
          </w:p>
        </w:tc>
        <w:tc>
          <w:tcPr>
            <w:tcW w:w="625" w:type="pct"/>
            <w:noWrap w:val="0"/>
            <w:vAlign w:val="center"/>
          </w:tcPr>
          <w:p w14:paraId="7EFA983E">
            <w:pPr>
              <w:jc w:val="center"/>
              <w:rPr>
                <w:rFonts w:hint="eastAsia" w:ascii="宋体" w:hAnsi="宋体" w:eastAsia="宋体" w:cs="宋体"/>
                <w:kern w:val="0"/>
                <w:sz w:val="24"/>
                <w:szCs w:val="24"/>
              </w:rPr>
            </w:pPr>
          </w:p>
        </w:tc>
      </w:tr>
      <w:tr w14:paraId="59EA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pct"/>
            <w:noWrap w:val="0"/>
            <w:vAlign w:val="center"/>
          </w:tcPr>
          <w:p w14:paraId="5809E0B8">
            <w:pPr>
              <w:jc w:val="center"/>
              <w:rPr>
                <w:rFonts w:hint="eastAsia" w:ascii="宋体" w:hAnsi="宋体" w:eastAsia="宋体" w:cs="宋体"/>
                <w:bCs/>
                <w:sz w:val="24"/>
                <w:szCs w:val="24"/>
              </w:rPr>
            </w:pPr>
            <w:r>
              <w:rPr>
                <w:rFonts w:hint="eastAsia" w:ascii="宋体" w:hAnsi="宋体" w:eastAsia="宋体" w:cs="宋体"/>
                <w:bCs/>
                <w:sz w:val="24"/>
                <w:szCs w:val="24"/>
              </w:rPr>
              <w:t>1层</w:t>
            </w:r>
          </w:p>
        </w:tc>
        <w:tc>
          <w:tcPr>
            <w:tcW w:w="1702" w:type="pct"/>
            <w:noWrap w:val="0"/>
            <w:vAlign w:val="center"/>
          </w:tcPr>
          <w:p w14:paraId="76DB7B96">
            <w:pPr>
              <w:jc w:val="center"/>
              <w:rPr>
                <w:rFonts w:hint="eastAsia" w:ascii="宋体" w:hAnsi="宋体" w:eastAsia="宋体" w:cs="宋体"/>
                <w:kern w:val="0"/>
                <w:sz w:val="24"/>
                <w:szCs w:val="24"/>
              </w:rPr>
            </w:pPr>
            <w:r>
              <w:rPr>
                <w:rFonts w:hint="eastAsia" w:ascii="宋体" w:hAnsi="宋体" w:eastAsia="宋体" w:cs="宋体"/>
                <w:kern w:val="0"/>
                <w:sz w:val="24"/>
                <w:szCs w:val="24"/>
              </w:rPr>
              <w:t>8</w:t>
            </w:r>
          </w:p>
        </w:tc>
        <w:tc>
          <w:tcPr>
            <w:tcW w:w="2047" w:type="pct"/>
            <w:noWrap w:val="0"/>
            <w:vAlign w:val="center"/>
          </w:tcPr>
          <w:p w14:paraId="7AAE69FE">
            <w:pPr>
              <w:jc w:val="center"/>
              <w:rPr>
                <w:rFonts w:hint="eastAsia" w:ascii="宋体" w:hAnsi="宋体" w:eastAsia="宋体" w:cs="宋体"/>
                <w:kern w:val="0"/>
                <w:sz w:val="24"/>
                <w:szCs w:val="24"/>
              </w:rPr>
            </w:pPr>
            <w:r>
              <w:rPr>
                <w:rFonts w:hint="eastAsia" w:ascii="宋体" w:hAnsi="宋体" w:eastAsia="宋体" w:cs="宋体"/>
                <w:kern w:val="0"/>
                <w:sz w:val="24"/>
                <w:szCs w:val="24"/>
              </w:rPr>
              <w:t>配电箱：8个</w:t>
            </w:r>
          </w:p>
        </w:tc>
        <w:tc>
          <w:tcPr>
            <w:tcW w:w="625" w:type="pct"/>
            <w:noWrap w:val="0"/>
            <w:vAlign w:val="center"/>
          </w:tcPr>
          <w:p w14:paraId="67E1C4A3">
            <w:pPr>
              <w:jc w:val="center"/>
              <w:rPr>
                <w:rFonts w:hint="eastAsia" w:ascii="宋体" w:hAnsi="宋体" w:eastAsia="宋体" w:cs="宋体"/>
                <w:kern w:val="0"/>
                <w:sz w:val="24"/>
                <w:szCs w:val="24"/>
              </w:rPr>
            </w:pPr>
          </w:p>
        </w:tc>
      </w:tr>
      <w:tr w14:paraId="3F8B3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pct"/>
            <w:noWrap w:val="0"/>
            <w:vAlign w:val="center"/>
          </w:tcPr>
          <w:p w14:paraId="54AD95B9">
            <w:pPr>
              <w:jc w:val="center"/>
              <w:rPr>
                <w:rFonts w:hint="eastAsia" w:ascii="宋体" w:hAnsi="宋体" w:eastAsia="宋体" w:cs="宋体"/>
                <w:bCs/>
                <w:sz w:val="24"/>
                <w:szCs w:val="24"/>
              </w:rPr>
            </w:pPr>
            <w:r>
              <w:rPr>
                <w:rFonts w:hint="eastAsia" w:ascii="宋体" w:hAnsi="宋体" w:eastAsia="宋体" w:cs="宋体"/>
                <w:bCs/>
                <w:sz w:val="24"/>
                <w:szCs w:val="24"/>
              </w:rPr>
              <w:t>2层</w:t>
            </w:r>
          </w:p>
        </w:tc>
        <w:tc>
          <w:tcPr>
            <w:tcW w:w="1702" w:type="pct"/>
            <w:noWrap w:val="0"/>
            <w:vAlign w:val="center"/>
          </w:tcPr>
          <w:p w14:paraId="05F61FCE">
            <w:pPr>
              <w:jc w:val="center"/>
              <w:rPr>
                <w:rFonts w:hint="eastAsia" w:ascii="宋体" w:hAnsi="宋体" w:eastAsia="宋体" w:cs="宋体"/>
                <w:kern w:val="0"/>
                <w:sz w:val="24"/>
                <w:szCs w:val="24"/>
              </w:rPr>
            </w:pPr>
            <w:r>
              <w:rPr>
                <w:rFonts w:hint="eastAsia" w:ascii="宋体" w:hAnsi="宋体" w:eastAsia="宋体" w:cs="宋体"/>
                <w:kern w:val="0"/>
                <w:sz w:val="24"/>
                <w:szCs w:val="24"/>
              </w:rPr>
              <w:t>9</w:t>
            </w:r>
          </w:p>
        </w:tc>
        <w:tc>
          <w:tcPr>
            <w:tcW w:w="2047" w:type="pct"/>
            <w:noWrap w:val="0"/>
            <w:vAlign w:val="center"/>
          </w:tcPr>
          <w:p w14:paraId="044E6B3D">
            <w:pPr>
              <w:jc w:val="center"/>
              <w:rPr>
                <w:rFonts w:hint="eastAsia" w:ascii="宋体" w:hAnsi="宋体" w:eastAsia="宋体" w:cs="宋体"/>
                <w:kern w:val="0"/>
                <w:sz w:val="24"/>
                <w:szCs w:val="24"/>
              </w:rPr>
            </w:pPr>
            <w:r>
              <w:rPr>
                <w:rFonts w:hint="eastAsia" w:ascii="宋体" w:hAnsi="宋体" w:eastAsia="宋体" w:cs="宋体"/>
                <w:kern w:val="0"/>
                <w:sz w:val="24"/>
                <w:szCs w:val="24"/>
              </w:rPr>
              <w:t>配电箱：9个</w:t>
            </w:r>
          </w:p>
        </w:tc>
        <w:tc>
          <w:tcPr>
            <w:tcW w:w="625" w:type="pct"/>
            <w:noWrap w:val="0"/>
            <w:vAlign w:val="center"/>
          </w:tcPr>
          <w:p w14:paraId="3A7ABA71">
            <w:pPr>
              <w:jc w:val="center"/>
              <w:rPr>
                <w:rFonts w:hint="eastAsia" w:ascii="宋体" w:hAnsi="宋体" w:eastAsia="宋体" w:cs="宋体"/>
                <w:kern w:val="0"/>
                <w:sz w:val="24"/>
                <w:szCs w:val="24"/>
              </w:rPr>
            </w:pPr>
          </w:p>
        </w:tc>
      </w:tr>
      <w:tr w14:paraId="4C3B4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pct"/>
            <w:noWrap w:val="0"/>
            <w:vAlign w:val="center"/>
          </w:tcPr>
          <w:p w14:paraId="2CCB3531">
            <w:pPr>
              <w:jc w:val="center"/>
              <w:rPr>
                <w:rFonts w:hint="eastAsia" w:ascii="宋体" w:hAnsi="宋体" w:eastAsia="宋体" w:cs="宋体"/>
                <w:bCs/>
                <w:sz w:val="24"/>
                <w:szCs w:val="24"/>
              </w:rPr>
            </w:pPr>
            <w:r>
              <w:rPr>
                <w:rFonts w:hint="eastAsia" w:ascii="宋体" w:hAnsi="宋体" w:eastAsia="宋体" w:cs="宋体"/>
                <w:bCs/>
                <w:sz w:val="24"/>
                <w:szCs w:val="24"/>
              </w:rPr>
              <w:t>3层</w:t>
            </w:r>
          </w:p>
        </w:tc>
        <w:tc>
          <w:tcPr>
            <w:tcW w:w="1702" w:type="pct"/>
            <w:noWrap w:val="0"/>
            <w:vAlign w:val="center"/>
          </w:tcPr>
          <w:p w14:paraId="1C5EB053">
            <w:pPr>
              <w:jc w:val="center"/>
              <w:rPr>
                <w:rFonts w:hint="eastAsia" w:ascii="宋体" w:hAnsi="宋体" w:eastAsia="宋体" w:cs="宋体"/>
                <w:kern w:val="0"/>
                <w:sz w:val="24"/>
                <w:szCs w:val="24"/>
              </w:rPr>
            </w:pPr>
            <w:r>
              <w:rPr>
                <w:rFonts w:hint="eastAsia" w:ascii="宋体" w:hAnsi="宋体" w:eastAsia="宋体" w:cs="宋体"/>
                <w:kern w:val="0"/>
                <w:sz w:val="24"/>
                <w:szCs w:val="24"/>
              </w:rPr>
              <w:t>9</w:t>
            </w:r>
          </w:p>
        </w:tc>
        <w:tc>
          <w:tcPr>
            <w:tcW w:w="2047" w:type="pct"/>
            <w:noWrap w:val="0"/>
            <w:vAlign w:val="center"/>
          </w:tcPr>
          <w:p w14:paraId="2EB4C8EF">
            <w:pPr>
              <w:jc w:val="center"/>
              <w:rPr>
                <w:rFonts w:hint="eastAsia" w:ascii="宋体" w:hAnsi="宋体" w:eastAsia="宋体" w:cs="宋体"/>
                <w:kern w:val="0"/>
                <w:sz w:val="24"/>
                <w:szCs w:val="24"/>
              </w:rPr>
            </w:pPr>
            <w:r>
              <w:rPr>
                <w:rFonts w:hint="eastAsia" w:ascii="宋体" w:hAnsi="宋体" w:eastAsia="宋体" w:cs="宋体"/>
                <w:kern w:val="0"/>
                <w:sz w:val="24"/>
                <w:szCs w:val="24"/>
              </w:rPr>
              <w:t>配电箱：8个、配电柜：1个</w:t>
            </w:r>
          </w:p>
        </w:tc>
        <w:tc>
          <w:tcPr>
            <w:tcW w:w="625" w:type="pct"/>
            <w:noWrap w:val="0"/>
            <w:vAlign w:val="center"/>
          </w:tcPr>
          <w:p w14:paraId="62CFD1AB">
            <w:pPr>
              <w:jc w:val="center"/>
              <w:rPr>
                <w:rFonts w:hint="eastAsia" w:ascii="宋体" w:hAnsi="宋体" w:eastAsia="宋体" w:cs="宋体"/>
                <w:kern w:val="0"/>
                <w:sz w:val="24"/>
                <w:szCs w:val="24"/>
              </w:rPr>
            </w:pPr>
          </w:p>
        </w:tc>
      </w:tr>
      <w:tr w14:paraId="5667E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pct"/>
            <w:noWrap w:val="0"/>
            <w:vAlign w:val="center"/>
          </w:tcPr>
          <w:p w14:paraId="60E6C652">
            <w:pPr>
              <w:jc w:val="center"/>
              <w:rPr>
                <w:rFonts w:hint="eastAsia" w:ascii="宋体" w:hAnsi="宋体" w:eastAsia="宋体" w:cs="宋体"/>
                <w:bCs/>
                <w:sz w:val="24"/>
                <w:szCs w:val="24"/>
              </w:rPr>
            </w:pPr>
            <w:r>
              <w:rPr>
                <w:rFonts w:hint="eastAsia" w:ascii="宋体" w:hAnsi="宋体" w:eastAsia="宋体" w:cs="宋体"/>
                <w:bCs/>
                <w:sz w:val="24"/>
                <w:szCs w:val="24"/>
              </w:rPr>
              <w:t>4层</w:t>
            </w:r>
          </w:p>
        </w:tc>
        <w:tc>
          <w:tcPr>
            <w:tcW w:w="1702" w:type="pct"/>
            <w:noWrap w:val="0"/>
            <w:vAlign w:val="center"/>
          </w:tcPr>
          <w:p w14:paraId="4E722843">
            <w:pPr>
              <w:jc w:val="center"/>
              <w:rPr>
                <w:rFonts w:hint="eastAsia" w:ascii="宋体" w:hAnsi="宋体" w:eastAsia="宋体" w:cs="宋体"/>
                <w:kern w:val="0"/>
                <w:sz w:val="24"/>
                <w:szCs w:val="24"/>
              </w:rPr>
            </w:pPr>
            <w:r>
              <w:rPr>
                <w:rFonts w:hint="eastAsia" w:ascii="宋体" w:hAnsi="宋体" w:eastAsia="宋体" w:cs="宋体"/>
                <w:kern w:val="0"/>
                <w:sz w:val="24"/>
                <w:szCs w:val="24"/>
              </w:rPr>
              <w:t>9</w:t>
            </w:r>
          </w:p>
        </w:tc>
        <w:tc>
          <w:tcPr>
            <w:tcW w:w="2047" w:type="pct"/>
            <w:noWrap w:val="0"/>
            <w:vAlign w:val="center"/>
          </w:tcPr>
          <w:p w14:paraId="37AFA7BB">
            <w:pPr>
              <w:jc w:val="center"/>
              <w:rPr>
                <w:rFonts w:hint="eastAsia" w:ascii="宋体" w:hAnsi="宋体" w:eastAsia="宋体" w:cs="宋体"/>
                <w:kern w:val="0"/>
                <w:sz w:val="24"/>
                <w:szCs w:val="24"/>
              </w:rPr>
            </w:pPr>
            <w:r>
              <w:rPr>
                <w:rFonts w:hint="eastAsia" w:ascii="宋体" w:hAnsi="宋体" w:eastAsia="宋体" w:cs="宋体"/>
                <w:kern w:val="0"/>
                <w:sz w:val="24"/>
                <w:szCs w:val="24"/>
              </w:rPr>
              <w:t>配电箱：8个、配电柜：1个</w:t>
            </w:r>
          </w:p>
        </w:tc>
        <w:tc>
          <w:tcPr>
            <w:tcW w:w="625" w:type="pct"/>
            <w:noWrap w:val="0"/>
            <w:vAlign w:val="center"/>
          </w:tcPr>
          <w:p w14:paraId="61E5107A">
            <w:pPr>
              <w:jc w:val="center"/>
              <w:rPr>
                <w:rFonts w:hint="eastAsia" w:ascii="宋体" w:hAnsi="宋体" w:eastAsia="宋体" w:cs="宋体"/>
                <w:kern w:val="0"/>
                <w:sz w:val="24"/>
                <w:szCs w:val="24"/>
              </w:rPr>
            </w:pPr>
          </w:p>
        </w:tc>
      </w:tr>
      <w:tr w14:paraId="55C60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pct"/>
            <w:noWrap w:val="0"/>
            <w:vAlign w:val="center"/>
          </w:tcPr>
          <w:p w14:paraId="4AF7F6DA">
            <w:pPr>
              <w:jc w:val="center"/>
              <w:rPr>
                <w:rFonts w:hint="eastAsia" w:ascii="宋体" w:hAnsi="宋体" w:eastAsia="宋体" w:cs="宋体"/>
                <w:bCs/>
                <w:sz w:val="24"/>
                <w:szCs w:val="24"/>
              </w:rPr>
            </w:pPr>
            <w:r>
              <w:rPr>
                <w:rFonts w:hint="eastAsia" w:ascii="宋体" w:hAnsi="宋体" w:eastAsia="宋体" w:cs="宋体"/>
                <w:bCs/>
                <w:sz w:val="24"/>
                <w:szCs w:val="24"/>
              </w:rPr>
              <w:t>5层</w:t>
            </w:r>
          </w:p>
        </w:tc>
        <w:tc>
          <w:tcPr>
            <w:tcW w:w="1702" w:type="pct"/>
            <w:noWrap w:val="0"/>
            <w:vAlign w:val="center"/>
          </w:tcPr>
          <w:p w14:paraId="01FF7BCA">
            <w:pPr>
              <w:jc w:val="center"/>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2047" w:type="pct"/>
            <w:noWrap w:val="0"/>
            <w:vAlign w:val="center"/>
          </w:tcPr>
          <w:p w14:paraId="312A5822">
            <w:pPr>
              <w:jc w:val="center"/>
              <w:rPr>
                <w:rFonts w:hint="eastAsia" w:ascii="宋体" w:hAnsi="宋体" w:eastAsia="宋体" w:cs="宋体"/>
                <w:kern w:val="0"/>
                <w:sz w:val="24"/>
                <w:szCs w:val="24"/>
              </w:rPr>
            </w:pPr>
            <w:r>
              <w:rPr>
                <w:rFonts w:hint="eastAsia" w:ascii="宋体" w:hAnsi="宋体" w:eastAsia="宋体" w:cs="宋体"/>
                <w:kern w:val="0"/>
                <w:sz w:val="24"/>
                <w:szCs w:val="24"/>
              </w:rPr>
              <w:t>配电箱：6个</w:t>
            </w:r>
          </w:p>
        </w:tc>
        <w:tc>
          <w:tcPr>
            <w:tcW w:w="625" w:type="pct"/>
            <w:noWrap w:val="0"/>
            <w:vAlign w:val="center"/>
          </w:tcPr>
          <w:p w14:paraId="2A3EEE14">
            <w:pPr>
              <w:jc w:val="center"/>
              <w:rPr>
                <w:rFonts w:hint="eastAsia" w:ascii="宋体" w:hAnsi="宋体" w:eastAsia="宋体" w:cs="宋体"/>
                <w:kern w:val="0"/>
                <w:sz w:val="24"/>
                <w:szCs w:val="24"/>
              </w:rPr>
            </w:pPr>
          </w:p>
        </w:tc>
      </w:tr>
      <w:tr w14:paraId="39976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pct"/>
            <w:noWrap w:val="0"/>
            <w:vAlign w:val="center"/>
          </w:tcPr>
          <w:p w14:paraId="687F10E4">
            <w:pPr>
              <w:jc w:val="center"/>
              <w:rPr>
                <w:rFonts w:hint="eastAsia" w:ascii="宋体" w:hAnsi="宋体" w:eastAsia="宋体" w:cs="宋体"/>
                <w:bCs/>
                <w:sz w:val="24"/>
                <w:szCs w:val="24"/>
              </w:rPr>
            </w:pPr>
            <w:r>
              <w:rPr>
                <w:rFonts w:hint="eastAsia" w:ascii="宋体" w:hAnsi="宋体" w:eastAsia="宋体" w:cs="宋体"/>
                <w:bCs/>
                <w:sz w:val="24"/>
                <w:szCs w:val="24"/>
              </w:rPr>
              <w:t>6层</w:t>
            </w:r>
          </w:p>
        </w:tc>
        <w:tc>
          <w:tcPr>
            <w:tcW w:w="1702" w:type="pct"/>
            <w:noWrap w:val="0"/>
            <w:vAlign w:val="center"/>
          </w:tcPr>
          <w:p w14:paraId="32C4CD25">
            <w:pPr>
              <w:jc w:val="center"/>
              <w:rPr>
                <w:rFonts w:hint="eastAsia" w:ascii="宋体" w:hAnsi="宋体" w:eastAsia="宋体" w:cs="宋体"/>
                <w:kern w:val="0"/>
                <w:sz w:val="24"/>
                <w:szCs w:val="24"/>
              </w:rPr>
            </w:pPr>
            <w:r>
              <w:rPr>
                <w:rFonts w:hint="eastAsia" w:ascii="宋体" w:hAnsi="宋体" w:eastAsia="宋体" w:cs="宋体"/>
                <w:kern w:val="0"/>
                <w:sz w:val="24"/>
                <w:szCs w:val="24"/>
              </w:rPr>
              <w:t>19</w:t>
            </w:r>
          </w:p>
        </w:tc>
        <w:tc>
          <w:tcPr>
            <w:tcW w:w="2047" w:type="pct"/>
            <w:noWrap w:val="0"/>
            <w:vAlign w:val="center"/>
          </w:tcPr>
          <w:p w14:paraId="42895FF7">
            <w:pPr>
              <w:jc w:val="center"/>
              <w:rPr>
                <w:rFonts w:hint="eastAsia" w:ascii="宋体" w:hAnsi="宋体" w:eastAsia="宋体" w:cs="宋体"/>
                <w:kern w:val="0"/>
                <w:sz w:val="24"/>
                <w:szCs w:val="24"/>
              </w:rPr>
            </w:pPr>
            <w:r>
              <w:rPr>
                <w:rFonts w:hint="eastAsia" w:ascii="宋体" w:hAnsi="宋体" w:eastAsia="宋体" w:cs="宋体"/>
                <w:kern w:val="0"/>
                <w:sz w:val="24"/>
                <w:szCs w:val="24"/>
              </w:rPr>
              <w:t>配电箱：13个、配电柜：6个</w:t>
            </w:r>
          </w:p>
        </w:tc>
        <w:tc>
          <w:tcPr>
            <w:tcW w:w="625" w:type="pct"/>
            <w:noWrap w:val="0"/>
            <w:vAlign w:val="center"/>
          </w:tcPr>
          <w:p w14:paraId="4D453CB7">
            <w:pPr>
              <w:jc w:val="center"/>
              <w:rPr>
                <w:rFonts w:hint="eastAsia" w:ascii="宋体" w:hAnsi="宋体" w:eastAsia="宋体" w:cs="宋体"/>
                <w:kern w:val="0"/>
                <w:sz w:val="24"/>
                <w:szCs w:val="24"/>
              </w:rPr>
            </w:pPr>
          </w:p>
        </w:tc>
      </w:tr>
      <w:tr w14:paraId="60DC8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pct"/>
            <w:noWrap w:val="0"/>
            <w:vAlign w:val="center"/>
          </w:tcPr>
          <w:p w14:paraId="039FA9A4">
            <w:pPr>
              <w:jc w:val="center"/>
              <w:rPr>
                <w:rFonts w:hint="eastAsia" w:ascii="宋体" w:hAnsi="宋体" w:eastAsia="宋体" w:cs="宋体"/>
                <w:bCs/>
                <w:sz w:val="24"/>
                <w:szCs w:val="24"/>
              </w:rPr>
            </w:pPr>
            <w:r>
              <w:rPr>
                <w:rFonts w:hint="eastAsia" w:ascii="宋体" w:hAnsi="宋体" w:eastAsia="宋体" w:cs="宋体"/>
                <w:bCs/>
                <w:sz w:val="24"/>
                <w:szCs w:val="24"/>
              </w:rPr>
              <w:t>7层</w:t>
            </w:r>
          </w:p>
        </w:tc>
        <w:tc>
          <w:tcPr>
            <w:tcW w:w="1702" w:type="pct"/>
            <w:noWrap w:val="0"/>
            <w:vAlign w:val="center"/>
          </w:tcPr>
          <w:p w14:paraId="24DB831A">
            <w:pPr>
              <w:jc w:val="center"/>
              <w:rPr>
                <w:rFonts w:hint="eastAsia" w:ascii="宋体" w:hAnsi="宋体" w:eastAsia="宋体" w:cs="宋体"/>
                <w:kern w:val="0"/>
                <w:sz w:val="24"/>
                <w:szCs w:val="24"/>
              </w:rPr>
            </w:pPr>
            <w:r>
              <w:rPr>
                <w:rFonts w:hint="eastAsia" w:ascii="宋体" w:hAnsi="宋体" w:eastAsia="宋体" w:cs="宋体"/>
                <w:kern w:val="0"/>
                <w:sz w:val="24"/>
                <w:szCs w:val="24"/>
              </w:rPr>
              <w:t>7</w:t>
            </w:r>
          </w:p>
        </w:tc>
        <w:tc>
          <w:tcPr>
            <w:tcW w:w="2047" w:type="pct"/>
            <w:noWrap w:val="0"/>
            <w:vAlign w:val="center"/>
          </w:tcPr>
          <w:p w14:paraId="54445F43">
            <w:pPr>
              <w:jc w:val="center"/>
              <w:rPr>
                <w:rFonts w:hint="eastAsia" w:ascii="宋体" w:hAnsi="宋体" w:eastAsia="宋体" w:cs="宋体"/>
                <w:kern w:val="0"/>
                <w:sz w:val="24"/>
                <w:szCs w:val="24"/>
              </w:rPr>
            </w:pPr>
            <w:r>
              <w:rPr>
                <w:rFonts w:hint="eastAsia" w:ascii="宋体" w:hAnsi="宋体" w:eastAsia="宋体" w:cs="宋体"/>
                <w:kern w:val="0"/>
                <w:sz w:val="24"/>
                <w:szCs w:val="24"/>
              </w:rPr>
              <w:t>配电箱：7个</w:t>
            </w:r>
          </w:p>
        </w:tc>
        <w:tc>
          <w:tcPr>
            <w:tcW w:w="625" w:type="pct"/>
            <w:noWrap w:val="0"/>
            <w:vAlign w:val="center"/>
          </w:tcPr>
          <w:p w14:paraId="32886D5B">
            <w:pPr>
              <w:jc w:val="center"/>
              <w:rPr>
                <w:rFonts w:hint="eastAsia" w:ascii="宋体" w:hAnsi="宋体" w:eastAsia="宋体" w:cs="宋体"/>
                <w:kern w:val="0"/>
                <w:sz w:val="24"/>
                <w:szCs w:val="24"/>
              </w:rPr>
            </w:pPr>
          </w:p>
        </w:tc>
      </w:tr>
      <w:tr w14:paraId="14514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pct"/>
            <w:noWrap w:val="0"/>
            <w:vAlign w:val="center"/>
          </w:tcPr>
          <w:p w14:paraId="088DB9CF">
            <w:pPr>
              <w:jc w:val="center"/>
              <w:rPr>
                <w:rFonts w:hint="eastAsia" w:ascii="宋体" w:hAnsi="宋体" w:eastAsia="宋体" w:cs="宋体"/>
                <w:bCs/>
                <w:sz w:val="24"/>
                <w:szCs w:val="24"/>
              </w:rPr>
            </w:pPr>
            <w:r>
              <w:rPr>
                <w:rFonts w:hint="eastAsia" w:ascii="宋体" w:hAnsi="宋体" w:eastAsia="宋体" w:cs="宋体"/>
                <w:bCs/>
                <w:sz w:val="24"/>
                <w:szCs w:val="24"/>
              </w:rPr>
              <w:t>8层</w:t>
            </w:r>
          </w:p>
        </w:tc>
        <w:tc>
          <w:tcPr>
            <w:tcW w:w="1702" w:type="pct"/>
            <w:noWrap w:val="0"/>
            <w:vAlign w:val="center"/>
          </w:tcPr>
          <w:p w14:paraId="34BE3073">
            <w:pPr>
              <w:jc w:val="center"/>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2047" w:type="pct"/>
            <w:noWrap w:val="0"/>
            <w:vAlign w:val="center"/>
          </w:tcPr>
          <w:p w14:paraId="4C2B3CF4">
            <w:pPr>
              <w:jc w:val="center"/>
              <w:rPr>
                <w:rFonts w:hint="eastAsia" w:ascii="宋体" w:hAnsi="宋体" w:eastAsia="宋体" w:cs="宋体"/>
                <w:kern w:val="0"/>
                <w:sz w:val="24"/>
                <w:szCs w:val="24"/>
              </w:rPr>
            </w:pPr>
            <w:r>
              <w:rPr>
                <w:rFonts w:hint="eastAsia" w:ascii="宋体" w:hAnsi="宋体" w:eastAsia="宋体" w:cs="宋体"/>
                <w:kern w:val="0"/>
                <w:sz w:val="24"/>
                <w:szCs w:val="24"/>
              </w:rPr>
              <w:t>配电箱：6个</w:t>
            </w:r>
          </w:p>
        </w:tc>
        <w:tc>
          <w:tcPr>
            <w:tcW w:w="625" w:type="pct"/>
            <w:noWrap w:val="0"/>
            <w:vAlign w:val="center"/>
          </w:tcPr>
          <w:p w14:paraId="69E6325B">
            <w:pPr>
              <w:jc w:val="center"/>
              <w:rPr>
                <w:rFonts w:hint="eastAsia" w:ascii="宋体" w:hAnsi="宋体" w:eastAsia="宋体" w:cs="宋体"/>
                <w:kern w:val="0"/>
                <w:sz w:val="24"/>
                <w:szCs w:val="24"/>
              </w:rPr>
            </w:pPr>
          </w:p>
        </w:tc>
      </w:tr>
      <w:tr w14:paraId="49A8D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pct"/>
            <w:noWrap w:val="0"/>
            <w:vAlign w:val="center"/>
          </w:tcPr>
          <w:p w14:paraId="0A4FD149">
            <w:pPr>
              <w:jc w:val="center"/>
              <w:rPr>
                <w:rFonts w:hint="eastAsia" w:ascii="宋体" w:hAnsi="宋体" w:eastAsia="宋体" w:cs="宋体"/>
                <w:bCs/>
                <w:sz w:val="24"/>
                <w:szCs w:val="24"/>
              </w:rPr>
            </w:pPr>
            <w:r>
              <w:rPr>
                <w:rFonts w:hint="eastAsia" w:ascii="宋体" w:hAnsi="宋体" w:eastAsia="宋体" w:cs="宋体"/>
                <w:bCs/>
                <w:sz w:val="24"/>
                <w:szCs w:val="24"/>
              </w:rPr>
              <w:t>9层</w:t>
            </w:r>
          </w:p>
        </w:tc>
        <w:tc>
          <w:tcPr>
            <w:tcW w:w="1702" w:type="pct"/>
            <w:noWrap w:val="0"/>
            <w:vAlign w:val="center"/>
          </w:tcPr>
          <w:p w14:paraId="466EF5C3">
            <w:pPr>
              <w:jc w:val="center"/>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2047" w:type="pct"/>
            <w:noWrap w:val="0"/>
            <w:vAlign w:val="center"/>
          </w:tcPr>
          <w:p w14:paraId="381CC1CB">
            <w:pPr>
              <w:jc w:val="center"/>
              <w:rPr>
                <w:rFonts w:hint="eastAsia" w:ascii="宋体" w:hAnsi="宋体" w:eastAsia="宋体" w:cs="宋体"/>
                <w:kern w:val="0"/>
                <w:sz w:val="24"/>
                <w:szCs w:val="24"/>
              </w:rPr>
            </w:pPr>
            <w:r>
              <w:rPr>
                <w:rFonts w:hint="eastAsia" w:ascii="宋体" w:hAnsi="宋体" w:eastAsia="宋体" w:cs="宋体"/>
                <w:kern w:val="0"/>
                <w:sz w:val="24"/>
                <w:szCs w:val="24"/>
              </w:rPr>
              <w:t>配电箱：6个</w:t>
            </w:r>
          </w:p>
        </w:tc>
        <w:tc>
          <w:tcPr>
            <w:tcW w:w="625" w:type="pct"/>
            <w:noWrap w:val="0"/>
            <w:vAlign w:val="center"/>
          </w:tcPr>
          <w:p w14:paraId="1CAFDDBE">
            <w:pPr>
              <w:jc w:val="center"/>
              <w:rPr>
                <w:rFonts w:hint="eastAsia" w:ascii="宋体" w:hAnsi="宋体" w:eastAsia="宋体" w:cs="宋体"/>
                <w:kern w:val="0"/>
                <w:sz w:val="24"/>
                <w:szCs w:val="24"/>
              </w:rPr>
            </w:pPr>
          </w:p>
        </w:tc>
      </w:tr>
      <w:tr w14:paraId="493D9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pct"/>
            <w:noWrap w:val="0"/>
            <w:vAlign w:val="center"/>
          </w:tcPr>
          <w:p w14:paraId="472ED13D">
            <w:pPr>
              <w:jc w:val="center"/>
              <w:rPr>
                <w:rFonts w:hint="eastAsia" w:ascii="宋体" w:hAnsi="宋体" w:eastAsia="宋体" w:cs="宋体"/>
                <w:bCs/>
                <w:sz w:val="24"/>
                <w:szCs w:val="24"/>
              </w:rPr>
            </w:pPr>
            <w:r>
              <w:rPr>
                <w:rFonts w:hint="eastAsia" w:ascii="宋体" w:hAnsi="宋体" w:eastAsia="宋体" w:cs="宋体"/>
                <w:bCs/>
                <w:sz w:val="24"/>
                <w:szCs w:val="24"/>
              </w:rPr>
              <w:t>10层</w:t>
            </w:r>
          </w:p>
        </w:tc>
        <w:tc>
          <w:tcPr>
            <w:tcW w:w="1702" w:type="pct"/>
            <w:noWrap w:val="0"/>
            <w:vAlign w:val="center"/>
          </w:tcPr>
          <w:p w14:paraId="0C4B7899">
            <w:pPr>
              <w:jc w:val="center"/>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2047" w:type="pct"/>
            <w:noWrap w:val="0"/>
            <w:vAlign w:val="center"/>
          </w:tcPr>
          <w:p w14:paraId="4C375B44">
            <w:pPr>
              <w:jc w:val="center"/>
              <w:rPr>
                <w:rFonts w:hint="eastAsia" w:ascii="宋体" w:hAnsi="宋体" w:eastAsia="宋体" w:cs="宋体"/>
                <w:kern w:val="0"/>
                <w:sz w:val="24"/>
                <w:szCs w:val="24"/>
              </w:rPr>
            </w:pPr>
            <w:r>
              <w:rPr>
                <w:rFonts w:hint="eastAsia" w:ascii="宋体" w:hAnsi="宋体" w:eastAsia="宋体" w:cs="宋体"/>
                <w:kern w:val="0"/>
                <w:sz w:val="24"/>
                <w:szCs w:val="24"/>
              </w:rPr>
              <w:t>配电箱：6个</w:t>
            </w:r>
          </w:p>
        </w:tc>
        <w:tc>
          <w:tcPr>
            <w:tcW w:w="625" w:type="pct"/>
            <w:noWrap w:val="0"/>
            <w:vAlign w:val="center"/>
          </w:tcPr>
          <w:p w14:paraId="54C1A93C">
            <w:pPr>
              <w:jc w:val="center"/>
              <w:rPr>
                <w:rFonts w:hint="eastAsia" w:ascii="宋体" w:hAnsi="宋体" w:eastAsia="宋体" w:cs="宋体"/>
                <w:kern w:val="0"/>
                <w:sz w:val="24"/>
                <w:szCs w:val="24"/>
              </w:rPr>
            </w:pPr>
          </w:p>
        </w:tc>
      </w:tr>
      <w:tr w14:paraId="3C346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pct"/>
            <w:noWrap w:val="0"/>
            <w:vAlign w:val="center"/>
          </w:tcPr>
          <w:p w14:paraId="56797247">
            <w:pPr>
              <w:jc w:val="center"/>
              <w:rPr>
                <w:rFonts w:hint="eastAsia" w:ascii="宋体" w:hAnsi="宋体" w:eastAsia="宋体" w:cs="宋体"/>
                <w:bCs/>
                <w:sz w:val="24"/>
                <w:szCs w:val="24"/>
              </w:rPr>
            </w:pPr>
            <w:r>
              <w:rPr>
                <w:rFonts w:hint="eastAsia" w:ascii="宋体" w:hAnsi="宋体" w:eastAsia="宋体" w:cs="宋体"/>
                <w:bCs/>
                <w:sz w:val="24"/>
                <w:szCs w:val="24"/>
              </w:rPr>
              <w:t>11层</w:t>
            </w:r>
          </w:p>
        </w:tc>
        <w:tc>
          <w:tcPr>
            <w:tcW w:w="1702" w:type="pct"/>
            <w:noWrap w:val="0"/>
            <w:vAlign w:val="center"/>
          </w:tcPr>
          <w:p w14:paraId="27243630">
            <w:pPr>
              <w:jc w:val="center"/>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2047" w:type="pct"/>
            <w:noWrap w:val="0"/>
            <w:vAlign w:val="center"/>
          </w:tcPr>
          <w:p w14:paraId="3BF17590">
            <w:pPr>
              <w:jc w:val="center"/>
              <w:rPr>
                <w:rFonts w:hint="eastAsia" w:ascii="宋体" w:hAnsi="宋体" w:eastAsia="宋体" w:cs="宋体"/>
                <w:kern w:val="0"/>
                <w:sz w:val="24"/>
                <w:szCs w:val="24"/>
              </w:rPr>
            </w:pPr>
            <w:r>
              <w:rPr>
                <w:rFonts w:hint="eastAsia" w:ascii="宋体" w:hAnsi="宋体" w:eastAsia="宋体" w:cs="宋体"/>
                <w:kern w:val="0"/>
                <w:sz w:val="24"/>
                <w:szCs w:val="24"/>
              </w:rPr>
              <w:t>配电箱：6个</w:t>
            </w:r>
          </w:p>
        </w:tc>
        <w:tc>
          <w:tcPr>
            <w:tcW w:w="625" w:type="pct"/>
            <w:noWrap w:val="0"/>
            <w:vAlign w:val="center"/>
          </w:tcPr>
          <w:p w14:paraId="6CA73C5F">
            <w:pPr>
              <w:jc w:val="center"/>
              <w:rPr>
                <w:rFonts w:hint="eastAsia" w:ascii="宋体" w:hAnsi="宋体" w:eastAsia="宋体" w:cs="宋体"/>
                <w:kern w:val="0"/>
                <w:sz w:val="24"/>
                <w:szCs w:val="24"/>
              </w:rPr>
            </w:pPr>
          </w:p>
        </w:tc>
      </w:tr>
      <w:tr w14:paraId="00EB8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pct"/>
            <w:noWrap w:val="0"/>
            <w:vAlign w:val="center"/>
          </w:tcPr>
          <w:p w14:paraId="05D01773">
            <w:pPr>
              <w:jc w:val="center"/>
              <w:rPr>
                <w:rFonts w:hint="eastAsia" w:ascii="宋体" w:hAnsi="宋体" w:eastAsia="宋体" w:cs="宋体"/>
                <w:bCs/>
                <w:sz w:val="24"/>
                <w:szCs w:val="24"/>
              </w:rPr>
            </w:pPr>
            <w:r>
              <w:rPr>
                <w:rFonts w:hint="eastAsia" w:ascii="宋体" w:hAnsi="宋体" w:eastAsia="宋体" w:cs="宋体"/>
                <w:bCs/>
                <w:sz w:val="24"/>
                <w:szCs w:val="24"/>
              </w:rPr>
              <w:t>12层</w:t>
            </w:r>
          </w:p>
        </w:tc>
        <w:tc>
          <w:tcPr>
            <w:tcW w:w="1702" w:type="pct"/>
            <w:noWrap w:val="0"/>
            <w:vAlign w:val="center"/>
          </w:tcPr>
          <w:p w14:paraId="66E73CDB">
            <w:pPr>
              <w:jc w:val="center"/>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2047" w:type="pct"/>
            <w:noWrap w:val="0"/>
            <w:vAlign w:val="center"/>
          </w:tcPr>
          <w:p w14:paraId="3C2663FD">
            <w:pPr>
              <w:jc w:val="center"/>
              <w:rPr>
                <w:rFonts w:hint="eastAsia" w:ascii="宋体" w:hAnsi="宋体" w:eastAsia="宋体" w:cs="宋体"/>
                <w:kern w:val="0"/>
                <w:sz w:val="24"/>
                <w:szCs w:val="24"/>
              </w:rPr>
            </w:pPr>
            <w:r>
              <w:rPr>
                <w:rFonts w:hint="eastAsia" w:ascii="宋体" w:hAnsi="宋体" w:eastAsia="宋体" w:cs="宋体"/>
                <w:kern w:val="0"/>
                <w:sz w:val="24"/>
                <w:szCs w:val="24"/>
              </w:rPr>
              <w:t>配电箱：6个</w:t>
            </w:r>
          </w:p>
        </w:tc>
        <w:tc>
          <w:tcPr>
            <w:tcW w:w="625" w:type="pct"/>
            <w:noWrap w:val="0"/>
            <w:vAlign w:val="center"/>
          </w:tcPr>
          <w:p w14:paraId="74DD5BAF">
            <w:pPr>
              <w:jc w:val="center"/>
              <w:rPr>
                <w:rFonts w:hint="eastAsia" w:ascii="宋体" w:hAnsi="宋体" w:eastAsia="宋体" w:cs="宋体"/>
                <w:kern w:val="0"/>
                <w:sz w:val="24"/>
                <w:szCs w:val="24"/>
              </w:rPr>
            </w:pPr>
          </w:p>
        </w:tc>
      </w:tr>
      <w:tr w14:paraId="7F12A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pct"/>
            <w:noWrap w:val="0"/>
            <w:vAlign w:val="center"/>
          </w:tcPr>
          <w:p w14:paraId="4985B77F">
            <w:pPr>
              <w:jc w:val="center"/>
              <w:rPr>
                <w:rFonts w:hint="eastAsia" w:ascii="宋体" w:hAnsi="宋体" w:eastAsia="宋体" w:cs="宋体"/>
                <w:bCs/>
                <w:sz w:val="24"/>
                <w:szCs w:val="24"/>
              </w:rPr>
            </w:pPr>
            <w:r>
              <w:rPr>
                <w:rFonts w:hint="eastAsia" w:ascii="宋体" w:hAnsi="宋体" w:eastAsia="宋体" w:cs="宋体"/>
                <w:bCs/>
                <w:sz w:val="24"/>
                <w:szCs w:val="24"/>
              </w:rPr>
              <w:t>13层</w:t>
            </w:r>
          </w:p>
        </w:tc>
        <w:tc>
          <w:tcPr>
            <w:tcW w:w="1702" w:type="pct"/>
            <w:noWrap w:val="0"/>
            <w:vAlign w:val="center"/>
          </w:tcPr>
          <w:p w14:paraId="689EB2AD">
            <w:pPr>
              <w:jc w:val="center"/>
              <w:rPr>
                <w:rFonts w:hint="eastAsia" w:ascii="宋体" w:hAnsi="宋体" w:eastAsia="宋体" w:cs="宋体"/>
                <w:kern w:val="0"/>
                <w:sz w:val="24"/>
                <w:szCs w:val="24"/>
              </w:rPr>
            </w:pPr>
            <w:r>
              <w:rPr>
                <w:rFonts w:hint="eastAsia" w:ascii="宋体" w:hAnsi="宋体" w:eastAsia="宋体" w:cs="宋体"/>
                <w:kern w:val="0"/>
                <w:sz w:val="24"/>
                <w:szCs w:val="24"/>
              </w:rPr>
              <w:t>7</w:t>
            </w:r>
          </w:p>
        </w:tc>
        <w:tc>
          <w:tcPr>
            <w:tcW w:w="2047" w:type="pct"/>
            <w:noWrap w:val="0"/>
            <w:vAlign w:val="center"/>
          </w:tcPr>
          <w:p w14:paraId="5590477C">
            <w:pPr>
              <w:jc w:val="center"/>
              <w:rPr>
                <w:rFonts w:hint="eastAsia" w:ascii="宋体" w:hAnsi="宋体" w:eastAsia="宋体" w:cs="宋体"/>
                <w:kern w:val="0"/>
                <w:sz w:val="24"/>
                <w:szCs w:val="24"/>
              </w:rPr>
            </w:pPr>
            <w:r>
              <w:rPr>
                <w:rFonts w:hint="eastAsia" w:ascii="宋体" w:hAnsi="宋体" w:eastAsia="宋体" w:cs="宋体"/>
                <w:kern w:val="0"/>
                <w:sz w:val="24"/>
                <w:szCs w:val="24"/>
              </w:rPr>
              <w:t>配电箱：7个</w:t>
            </w:r>
          </w:p>
        </w:tc>
        <w:tc>
          <w:tcPr>
            <w:tcW w:w="625" w:type="pct"/>
            <w:noWrap w:val="0"/>
            <w:vAlign w:val="center"/>
          </w:tcPr>
          <w:p w14:paraId="1B8C47D3">
            <w:pPr>
              <w:jc w:val="center"/>
              <w:rPr>
                <w:rFonts w:hint="eastAsia" w:ascii="宋体" w:hAnsi="宋体" w:eastAsia="宋体" w:cs="宋体"/>
                <w:kern w:val="0"/>
                <w:sz w:val="24"/>
                <w:szCs w:val="24"/>
              </w:rPr>
            </w:pPr>
          </w:p>
        </w:tc>
      </w:tr>
      <w:tr w14:paraId="09FA5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pct"/>
            <w:noWrap w:val="0"/>
            <w:vAlign w:val="center"/>
          </w:tcPr>
          <w:p w14:paraId="71198603">
            <w:pPr>
              <w:jc w:val="center"/>
              <w:rPr>
                <w:rFonts w:hint="eastAsia" w:ascii="宋体" w:hAnsi="宋体" w:eastAsia="宋体" w:cs="宋体"/>
                <w:bCs/>
                <w:sz w:val="24"/>
                <w:szCs w:val="24"/>
              </w:rPr>
            </w:pPr>
            <w:r>
              <w:rPr>
                <w:rFonts w:hint="eastAsia" w:ascii="宋体" w:hAnsi="宋体" w:eastAsia="宋体" w:cs="宋体"/>
                <w:bCs/>
                <w:sz w:val="24"/>
                <w:szCs w:val="24"/>
              </w:rPr>
              <w:t>14层</w:t>
            </w:r>
          </w:p>
        </w:tc>
        <w:tc>
          <w:tcPr>
            <w:tcW w:w="1702" w:type="pct"/>
            <w:noWrap w:val="0"/>
            <w:vAlign w:val="center"/>
          </w:tcPr>
          <w:p w14:paraId="7488B3AA">
            <w:pPr>
              <w:jc w:val="center"/>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2047" w:type="pct"/>
            <w:noWrap w:val="0"/>
            <w:vAlign w:val="center"/>
          </w:tcPr>
          <w:p w14:paraId="4C40CF07">
            <w:pPr>
              <w:jc w:val="center"/>
              <w:rPr>
                <w:rFonts w:hint="eastAsia" w:ascii="宋体" w:hAnsi="宋体" w:eastAsia="宋体" w:cs="宋体"/>
                <w:kern w:val="0"/>
                <w:sz w:val="24"/>
                <w:szCs w:val="24"/>
              </w:rPr>
            </w:pPr>
            <w:r>
              <w:rPr>
                <w:rFonts w:hint="eastAsia" w:ascii="宋体" w:hAnsi="宋体" w:eastAsia="宋体" w:cs="宋体"/>
                <w:kern w:val="0"/>
                <w:sz w:val="24"/>
                <w:szCs w:val="24"/>
              </w:rPr>
              <w:t>配电箱：6个</w:t>
            </w:r>
          </w:p>
        </w:tc>
        <w:tc>
          <w:tcPr>
            <w:tcW w:w="625" w:type="pct"/>
            <w:noWrap w:val="0"/>
            <w:vAlign w:val="center"/>
          </w:tcPr>
          <w:p w14:paraId="1A2412FD">
            <w:pPr>
              <w:jc w:val="center"/>
              <w:rPr>
                <w:rFonts w:hint="eastAsia" w:ascii="宋体" w:hAnsi="宋体" w:eastAsia="宋体" w:cs="宋体"/>
                <w:kern w:val="0"/>
                <w:sz w:val="24"/>
                <w:szCs w:val="24"/>
              </w:rPr>
            </w:pPr>
          </w:p>
        </w:tc>
      </w:tr>
      <w:tr w14:paraId="5783E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pct"/>
            <w:noWrap w:val="0"/>
            <w:vAlign w:val="center"/>
          </w:tcPr>
          <w:p w14:paraId="3B3D2B31">
            <w:pPr>
              <w:jc w:val="center"/>
              <w:rPr>
                <w:rFonts w:hint="eastAsia" w:ascii="宋体" w:hAnsi="宋体" w:eastAsia="宋体" w:cs="宋体"/>
                <w:bCs/>
                <w:sz w:val="24"/>
                <w:szCs w:val="24"/>
              </w:rPr>
            </w:pPr>
            <w:r>
              <w:rPr>
                <w:rFonts w:hint="eastAsia" w:ascii="宋体" w:hAnsi="宋体" w:eastAsia="宋体" w:cs="宋体"/>
                <w:bCs/>
                <w:sz w:val="24"/>
                <w:szCs w:val="24"/>
              </w:rPr>
              <w:t>15层</w:t>
            </w:r>
          </w:p>
        </w:tc>
        <w:tc>
          <w:tcPr>
            <w:tcW w:w="1702" w:type="pct"/>
            <w:noWrap w:val="0"/>
            <w:vAlign w:val="center"/>
          </w:tcPr>
          <w:p w14:paraId="7A07F67D">
            <w:pPr>
              <w:jc w:val="center"/>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2047" w:type="pct"/>
            <w:noWrap w:val="0"/>
            <w:vAlign w:val="center"/>
          </w:tcPr>
          <w:p w14:paraId="309FADB3">
            <w:pPr>
              <w:jc w:val="center"/>
              <w:rPr>
                <w:rFonts w:hint="eastAsia" w:ascii="宋体" w:hAnsi="宋体" w:eastAsia="宋体" w:cs="宋体"/>
                <w:kern w:val="0"/>
                <w:sz w:val="24"/>
                <w:szCs w:val="24"/>
              </w:rPr>
            </w:pPr>
            <w:r>
              <w:rPr>
                <w:rFonts w:hint="eastAsia" w:ascii="宋体" w:hAnsi="宋体" w:eastAsia="宋体" w:cs="宋体"/>
                <w:kern w:val="0"/>
                <w:sz w:val="24"/>
                <w:szCs w:val="24"/>
              </w:rPr>
              <w:t>配电箱：6个</w:t>
            </w:r>
          </w:p>
        </w:tc>
        <w:tc>
          <w:tcPr>
            <w:tcW w:w="625" w:type="pct"/>
            <w:noWrap w:val="0"/>
            <w:vAlign w:val="center"/>
          </w:tcPr>
          <w:p w14:paraId="38624489">
            <w:pPr>
              <w:jc w:val="center"/>
              <w:rPr>
                <w:rFonts w:hint="eastAsia" w:ascii="宋体" w:hAnsi="宋体" w:eastAsia="宋体" w:cs="宋体"/>
                <w:kern w:val="0"/>
                <w:sz w:val="24"/>
                <w:szCs w:val="24"/>
              </w:rPr>
            </w:pPr>
          </w:p>
        </w:tc>
      </w:tr>
      <w:tr w14:paraId="1BEC9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pct"/>
            <w:noWrap w:val="0"/>
            <w:vAlign w:val="center"/>
          </w:tcPr>
          <w:p w14:paraId="25A4E070">
            <w:pPr>
              <w:jc w:val="center"/>
              <w:rPr>
                <w:rFonts w:hint="eastAsia" w:ascii="宋体" w:hAnsi="宋体" w:eastAsia="宋体" w:cs="宋体"/>
                <w:bCs/>
                <w:sz w:val="24"/>
                <w:szCs w:val="24"/>
              </w:rPr>
            </w:pPr>
            <w:r>
              <w:rPr>
                <w:rFonts w:hint="eastAsia" w:ascii="宋体" w:hAnsi="宋体" w:eastAsia="宋体" w:cs="宋体"/>
                <w:bCs/>
                <w:sz w:val="24"/>
                <w:szCs w:val="24"/>
              </w:rPr>
              <w:t>16层</w:t>
            </w:r>
          </w:p>
        </w:tc>
        <w:tc>
          <w:tcPr>
            <w:tcW w:w="1702" w:type="pct"/>
            <w:noWrap w:val="0"/>
            <w:vAlign w:val="center"/>
          </w:tcPr>
          <w:p w14:paraId="5A820D74">
            <w:pPr>
              <w:jc w:val="center"/>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2047" w:type="pct"/>
            <w:noWrap w:val="0"/>
            <w:vAlign w:val="center"/>
          </w:tcPr>
          <w:p w14:paraId="2E9B30E0">
            <w:pPr>
              <w:jc w:val="center"/>
              <w:rPr>
                <w:rFonts w:hint="eastAsia" w:ascii="宋体" w:hAnsi="宋体" w:eastAsia="宋体" w:cs="宋体"/>
                <w:kern w:val="0"/>
                <w:sz w:val="24"/>
                <w:szCs w:val="24"/>
              </w:rPr>
            </w:pPr>
            <w:r>
              <w:rPr>
                <w:rFonts w:hint="eastAsia" w:ascii="宋体" w:hAnsi="宋体" w:eastAsia="宋体" w:cs="宋体"/>
                <w:kern w:val="0"/>
                <w:sz w:val="24"/>
                <w:szCs w:val="24"/>
              </w:rPr>
              <w:t>配电箱：6个</w:t>
            </w:r>
          </w:p>
        </w:tc>
        <w:tc>
          <w:tcPr>
            <w:tcW w:w="625" w:type="pct"/>
            <w:noWrap w:val="0"/>
            <w:vAlign w:val="center"/>
          </w:tcPr>
          <w:p w14:paraId="23DDCA37">
            <w:pPr>
              <w:jc w:val="center"/>
              <w:rPr>
                <w:rFonts w:hint="eastAsia" w:ascii="宋体" w:hAnsi="宋体" w:eastAsia="宋体" w:cs="宋体"/>
                <w:kern w:val="0"/>
                <w:sz w:val="24"/>
                <w:szCs w:val="24"/>
              </w:rPr>
            </w:pPr>
          </w:p>
        </w:tc>
      </w:tr>
      <w:tr w14:paraId="26835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pct"/>
            <w:noWrap w:val="0"/>
            <w:vAlign w:val="center"/>
          </w:tcPr>
          <w:p w14:paraId="6A68F160">
            <w:pPr>
              <w:jc w:val="center"/>
              <w:rPr>
                <w:rFonts w:hint="eastAsia" w:ascii="宋体" w:hAnsi="宋体" w:eastAsia="宋体" w:cs="宋体"/>
                <w:bCs/>
                <w:sz w:val="24"/>
                <w:szCs w:val="24"/>
              </w:rPr>
            </w:pPr>
            <w:r>
              <w:rPr>
                <w:rFonts w:hint="eastAsia" w:ascii="宋体" w:hAnsi="宋体" w:eastAsia="宋体" w:cs="宋体"/>
                <w:bCs/>
                <w:sz w:val="24"/>
                <w:szCs w:val="24"/>
              </w:rPr>
              <w:t>17层</w:t>
            </w:r>
          </w:p>
        </w:tc>
        <w:tc>
          <w:tcPr>
            <w:tcW w:w="1702" w:type="pct"/>
            <w:noWrap w:val="0"/>
            <w:vAlign w:val="center"/>
          </w:tcPr>
          <w:p w14:paraId="3788CA09">
            <w:pPr>
              <w:jc w:val="center"/>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2047" w:type="pct"/>
            <w:noWrap w:val="0"/>
            <w:vAlign w:val="center"/>
          </w:tcPr>
          <w:p w14:paraId="39211C06">
            <w:pPr>
              <w:jc w:val="center"/>
              <w:rPr>
                <w:rFonts w:hint="eastAsia" w:ascii="宋体" w:hAnsi="宋体" w:eastAsia="宋体" w:cs="宋体"/>
                <w:kern w:val="0"/>
                <w:sz w:val="24"/>
                <w:szCs w:val="24"/>
              </w:rPr>
            </w:pPr>
            <w:r>
              <w:rPr>
                <w:rFonts w:hint="eastAsia" w:ascii="宋体" w:hAnsi="宋体" w:eastAsia="宋体" w:cs="宋体"/>
                <w:kern w:val="0"/>
                <w:sz w:val="24"/>
                <w:szCs w:val="24"/>
              </w:rPr>
              <w:t>配电箱：6个</w:t>
            </w:r>
          </w:p>
        </w:tc>
        <w:tc>
          <w:tcPr>
            <w:tcW w:w="625" w:type="pct"/>
            <w:noWrap w:val="0"/>
            <w:vAlign w:val="center"/>
          </w:tcPr>
          <w:p w14:paraId="05FBA6EC">
            <w:pPr>
              <w:jc w:val="center"/>
              <w:rPr>
                <w:rFonts w:hint="eastAsia" w:ascii="宋体" w:hAnsi="宋体" w:eastAsia="宋体" w:cs="宋体"/>
                <w:kern w:val="0"/>
                <w:sz w:val="24"/>
                <w:szCs w:val="24"/>
              </w:rPr>
            </w:pPr>
          </w:p>
        </w:tc>
      </w:tr>
      <w:tr w14:paraId="7FE35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pct"/>
            <w:noWrap w:val="0"/>
            <w:vAlign w:val="center"/>
          </w:tcPr>
          <w:p w14:paraId="1EBB96DB">
            <w:pPr>
              <w:jc w:val="center"/>
              <w:rPr>
                <w:rFonts w:hint="eastAsia" w:ascii="宋体" w:hAnsi="宋体" w:eastAsia="宋体" w:cs="宋体"/>
                <w:bCs/>
                <w:sz w:val="24"/>
                <w:szCs w:val="24"/>
              </w:rPr>
            </w:pPr>
            <w:r>
              <w:rPr>
                <w:rFonts w:hint="eastAsia" w:ascii="宋体" w:hAnsi="宋体" w:eastAsia="宋体" w:cs="宋体"/>
                <w:bCs/>
                <w:sz w:val="24"/>
                <w:szCs w:val="24"/>
              </w:rPr>
              <w:t>18层</w:t>
            </w:r>
          </w:p>
        </w:tc>
        <w:tc>
          <w:tcPr>
            <w:tcW w:w="1702" w:type="pct"/>
            <w:noWrap w:val="0"/>
            <w:vAlign w:val="center"/>
          </w:tcPr>
          <w:p w14:paraId="5E292B32">
            <w:pPr>
              <w:jc w:val="center"/>
              <w:rPr>
                <w:rFonts w:hint="eastAsia" w:ascii="宋体" w:hAnsi="宋体" w:eastAsia="宋体" w:cs="宋体"/>
                <w:kern w:val="0"/>
                <w:sz w:val="24"/>
                <w:szCs w:val="24"/>
              </w:rPr>
            </w:pPr>
            <w:r>
              <w:rPr>
                <w:rFonts w:hint="eastAsia" w:ascii="宋体" w:hAnsi="宋体" w:eastAsia="宋体" w:cs="宋体"/>
                <w:kern w:val="0"/>
                <w:sz w:val="24"/>
                <w:szCs w:val="24"/>
              </w:rPr>
              <w:t>7</w:t>
            </w:r>
          </w:p>
        </w:tc>
        <w:tc>
          <w:tcPr>
            <w:tcW w:w="2047" w:type="pct"/>
            <w:noWrap w:val="0"/>
            <w:vAlign w:val="center"/>
          </w:tcPr>
          <w:p w14:paraId="45E93161">
            <w:pPr>
              <w:jc w:val="center"/>
              <w:rPr>
                <w:rFonts w:hint="eastAsia" w:ascii="宋体" w:hAnsi="宋体" w:eastAsia="宋体" w:cs="宋体"/>
                <w:kern w:val="0"/>
                <w:sz w:val="24"/>
                <w:szCs w:val="24"/>
              </w:rPr>
            </w:pPr>
            <w:r>
              <w:rPr>
                <w:rFonts w:hint="eastAsia" w:ascii="宋体" w:hAnsi="宋体" w:eastAsia="宋体" w:cs="宋体"/>
                <w:kern w:val="0"/>
                <w:sz w:val="24"/>
                <w:szCs w:val="24"/>
              </w:rPr>
              <w:t>配电箱：6个、配电柜：1个</w:t>
            </w:r>
          </w:p>
        </w:tc>
        <w:tc>
          <w:tcPr>
            <w:tcW w:w="625" w:type="pct"/>
            <w:noWrap w:val="0"/>
            <w:vAlign w:val="center"/>
          </w:tcPr>
          <w:p w14:paraId="135E5BAE">
            <w:pPr>
              <w:jc w:val="center"/>
              <w:rPr>
                <w:rFonts w:hint="eastAsia" w:ascii="宋体" w:hAnsi="宋体" w:eastAsia="宋体" w:cs="宋体"/>
                <w:kern w:val="0"/>
                <w:sz w:val="24"/>
                <w:szCs w:val="24"/>
              </w:rPr>
            </w:pPr>
          </w:p>
        </w:tc>
      </w:tr>
      <w:tr w14:paraId="0E9E9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pct"/>
            <w:noWrap w:val="0"/>
            <w:vAlign w:val="center"/>
          </w:tcPr>
          <w:p w14:paraId="7931BE0A">
            <w:pPr>
              <w:jc w:val="center"/>
              <w:rPr>
                <w:rFonts w:hint="eastAsia" w:ascii="宋体" w:hAnsi="宋体" w:eastAsia="宋体" w:cs="宋体"/>
                <w:bCs/>
                <w:sz w:val="24"/>
                <w:szCs w:val="24"/>
              </w:rPr>
            </w:pPr>
            <w:r>
              <w:rPr>
                <w:rFonts w:hint="eastAsia" w:ascii="宋体" w:hAnsi="宋体" w:eastAsia="宋体" w:cs="宋体"/>
                <w:bCs/>
                <w:sz w:val="24"/>
                <w:szCs w:val="24"/>
              </w:rPr>
              <w:t>19层</w:t>
            </w:r>
          </w:p>
        </w:tc>
        <w:tc>
          <w:tcPr>
            <w:tcW w:w="1702" w:type="pct"/>
            <w:noWrap w:val="0"/>
            <w:vAlign w:val="center"/>
          </w:tcPr>
          <w:p w14:paraId="4C3C2643">
            <w:pPr>
              <w:jc w:val="center"/>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2047" w:type="pct"/>
            <w:noWrap w:val="0"/>
            <w:vAlign w:val="center"/>
          </w:tcPr>
          <w:p w14:paraId="51C7CC1E">
            <w:pPr>
              <w:jc w:val="center"/>
              <w:rPr>
                <w:rFonts w:hint="eastAsia" w:ascii="宋体" w:hAnsi="宋体" w:eastAsia="宋体" w:cs="宋体"/>
                <w:kern w:val="0"/>
                <w:sz w:val="24"/>
                <w:szCs w:val="24"/>
              </w:rPr>
            </w:pPr>
            <w:r>
              <w:rPr>
                <w:rFonts w:hint="eastAsia" w:ascii="宋体" w:hAnsi="宋体" w:eastAsia="宋体" w:cs="宋体"/>
                <w:kern w:val="0"/>
                <w:sz w:val="24"/>
                <w:szCs w:val="24"/>
              </w:rPr>
              <w:t>配电箱：6个</w:t>
            </w:r>
          </w:p>
        </w:tc>
        <w:tc>
          <w:tcPr>
            <w:tcW w:w="625" w:type="pct"/>
            <w:noWrap w:val="0"/>
            <w:vAlign w:val="center"/>
          </w:tcPr>
          <w:p w14:paraId="65B995CB">
            <w:pPr>
              <w:jc w:val="center"/>
              <w:rPr>
                <w:rFonts w:hint="eastAsia" w:ascii="宋体" w:hAnsi="宋体" w:eastAsia="宋体" w:cs="宋体"/>
                <w:kern w:val="0"/>
                <w:sz w:val="24"/>
                <w:szCs w:val="24"/>
              </w:rPr>
            </w:pPr>
          </w:p>
        </w:tc>
      </w:tr>
      <w:tr w14:paraId="2F4E3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pct"/>
            <w:noWrap w:val="0"/>
            <w:vAlign w:val="center"/>
          </w:tcPr>
          <w:p w14:paraId="0E83C407">
            <w:pPr>
              <w:jc w:val="center"/>
              <w:rPr>
                <w:rFonts w:hint="eastAsia" w:ascii="宋体" w:hAnsi="宋体" w:eastAsia="宋体" w:cs="宋体"/>
                <w:bCs/>
                <w:sz w:val="24"/>
                <w:szCs w:val="24"/>
              </w:rPr>
            </w:pPr>
            <w:r>
              <w:rPr>
                <w:rFonts w:hint="eastAsia" w:ascii="宋体" w:hAnsi="宋体" w:eastAsia="宋体" w:cs="宋体"/>
                <w:bCs/>
                <w:sz w:val="24"/>
                <w:szCs w:val="24"/>
              </w:rPr>
              <w:t>20层</w:t>
            </w:r>
          </w:p>
        </w:tc>
        <w:tc>
          <w:tcPr>
            <w:tcW w:w="1702" w:type="pct"/>
            <w:noWrap w:val="0"/>
            <w:vAlign w:val="center"/>
          </w:tcPr>
          <w:p w14:paraId="7C0A57E3">
            <w:pPr>
              <w:jc w:val="center"/>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2047" w:type="pct"/>
            <w:noWrap w:val="0"/>
            <w:vAlign w:val="center"/>
          </w:tcPr>
          <w:p w14:paraId="0F655F2B">
            <w:pPr>
              <w:jc w:val="center"/>
              <w:rPr>
                <w:rFonts w:hint="eastAsia" w:ascii="宋体" w:hAnsi="宋体" w:eastAsia="宋体" w:cs="宋体"/>
                <w:kern w:val="0"/>
                <w:sz w:val="24"/>
                <w:szCs w:val="24"/>
              </w:rPr>
            </w:pPr>
            <w:r>
              <w:rPr>
                <w:rFonts w:hint="eastAsia" w:ascii="宋体" w:hAnsi="宋体" w:eastAsia="宋体" w:cs="宋体"/>
                <w:kern w:val="0"/>
                <w:sz w:val="24"/>
                <w:szCs w:val="24"/>
              </w:rPr>
              <w:t>配电箱：6个</w:t>
            </w:r>
          </w:p>
        </w:tc>
        <w:tc>
          <w:tcPr>
            <w:tcW w:w="625" w:type="pct"/>
            <w:noWrap w:val="0"/>
            <w:vAlign w:val="center"/>
          </w:tcPr>
          <w:p w14:paraId="4BFE523C">
            <w:pPr>
              <w:jc w:val="center"/>
              <w:rPr>
                <w:rFonts w:hint="eastAsia" w:ascii="宋体" w:hAnsi="宋体" w:eastAsia="宋体" w:cs="宋体"/>
                <w:kern w:val="0"/>
                <w:sz w:val="24"/>
                <w:szCs w:val="24"/>
              </w:rPr>
            </w:pPr>
          </w:p>
        </w:tc>
      </w:tr>
      <w:tr w14:paraId="21F27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pct"/>
            <w:noWrap w:val="0"/>
            <w:vAlign w:val="center"/>
          </w:tcPr>
          <w:p w14:paraId="1A542887">
            <w:pPr>
              <w:jc w:val="center"/>
              <w:rPr>
                <w:rFonts w:hint="eastAsia" w:ascii="宋体" w:hAnsi="宋体" w:eastAsia="宋体" w:cs="宋体"/>
                <w:bCs/>
                <w:sz w:val="24"/>
                <w:szCs w:val="24"/>
              </w:rPr>
            </w:pPr>
            <w:r>
              <w:rPr>
                <w:rFonts w:hint="eastAsia" w:ascii="宋体" w:hAnsi="宋体" w:eastAsia="宋体" w:cs="宋体"/>
                <w:bCs/>
                <w:sz w:val="24"/>
                <w:szCs w:val="24"/>
              </w:rPr>
              <w:t>21层</w:t>
            </w:r>
          </w:p>
        </w:tc>
        <w:tc>
          <w:tcPr>
            <w:tcW w:w="1702" w:type="pct"/>
            <w:noWrap w:val="0"/>
            <w:vAlign w:val="center"/>
          </w:tcPr>
          <w:p w14:paraId="581D3328">
            <w:pPr>
              <w:jc w:val="center"/>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2047" w:type="pct"/>
            <w:noWrap w:val="0"/>
            <w:vAlign w:val="center"/>
          </w:tcPr>
          <w:p w14:paraId="0D7891CC">
            <w:pPr>
              <w:jc w:val="center"/>
              <w:rPr>
                <w:rFonts w:hint="eastAsia" w:ascii="宋体" w:hAnsi="宋体" w:eastAsia="宋体" w:cs="宋体"/>
                <w:kern w:val="0"/>
                <w:sz w:val="24"/>
                <w:szCs w:val="24"/>
              </w:rPr>
            </w:pPr>
            <w:r>
              <w:rPr>
                <w:rFonts w:hint="eastAsia" w:ascii="宋体" w:hAnsi="宋体" w:eastAsia="宋体" w:cs="宋体"/>
                <w:kern w:val="0"/>
                <w:sz w:val="24"/>
                <w:szCs w:val="24"/>
              </w:rPr>
              <w:t>配电箱：6个</w:t>
            </w:r>
          </w:p>
        </w:tc>
        <w:tc>
          <w:tcPr>
            <w:tcW w:w="625" w:type="pct"/>
            <w:noWrap w:val="0"/>
            <w:vAlign w:val="center"/>
          </w:tcPr>
          <w:p w14:paraId="14931AB1">
            <w:pPr>
              <w:jc w:val="center"/>
              <w:rPr>
                <w:rFonts w:hint="eastAsia" w:ascii="宋体" w:hAnsi="宋体" w:eastAsia="宋体" w:cs="宋体"/>
                <w:kern w:val="0"/>
                <w:sz w:val="24"/>
                <w:szCs w:val="24"/>
              </w:rPr>
            </w:pPr>
          </w:p>
        </w:tc>
      </w:tr>
      <w:tr w14:paraId="6D09F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pct"/>
            <w:noWrap w:val="0"/>
            <w:vAlign w:val="center"/>
          </w:tcPr>
          <w:p w14:paraId="6FB57DAC">
            <w:pPr>
              <w:jc w:val="center"/>
              <w:rPr>
                <w:rFonts w:hint="eastAsia" w:ascii="宋体" w:hAnsi="宋体" w:eastAsia="宋体" w:cs="宋体"/>
                <w:bCs/>
                <w:sz w:val="24"/>
                <w:szCs w:val="24"/>
              </w:rPr>
            </w:pPr>
            <w:r>
              <w:rPr>
                <w:rFonts w:hint="eastAsia" w:ascii="宋体" w:hAnsi="宋体" w:eastAsia="宋体" w:cs="宋体"/>
                <w:bCs/>
                <w:sz w:val="24"/>
                <w:szCs w:val="24"/>
              </w:rPr>
              <w:t>22层</w:t>
            </w:r>
          </w:p>
        </w:tc>
        <w:tc>
          <w:tcPr>
            <w:tcW w:w="1702" w:type="pct"/>
            <w:noWrap w:val="0"/>
            <w:vAlign w:val="center"/>
          </w:tcPr>
          <w:p w14:paraId="07359A8C">
            <w:pPr>
              <w:jc w:val="center"/>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2047" w:type="pct"/>
            <w:noWrap w:val="0"/>
            <w:vAlign w:val="center"/>
          </w:tcPr>
          <w:p w14:paraId="35084B8E">
            <w:pPr>
              <w:jc w:val="center"/>
              <w:rPr>
                <w:rFonts w:hint="eastAsia" w:ascii="宋体" w:hAnsi="宋体" w:eastAsia="宋体" w:cs="宋体"/>
                <w:kern w:val="0"/>
                <w:sz w:val="24"/>
                <w:szCs w:val="24"/>
              </w:rPr>
            </w:pPr>
            <w:r>
              <w:rPr>
                <w:rFonts w:hint="eastAsia" w:ascii="宋体" w:hAnsi="宋体" w:eastAsia="宋体" w:cs="宋体"/>
                <w:kern w:val="0"/>
                <w:sz w:val="24"/>
                <w:szCs w:val="24"/>
              </w:rPr>
              <w:t>配电箱：6个</w:t>
            </w:r>
          </w:p>
        </w:tc>
        <w:tc>
          <w:tcPr>
            <w:tcW w:w="625" w:type="pct"/>
            <w:noWrap w:val="0"/>
            <w:vAlign w:val="center"/>
          </w:tcPr>
          <w:p w14:paraId="710FC484">
            <w:pPr>
              <w:jc w:val="center"/>
              <w:rPr>
                <w:rFonts w:hint="eastAsia" w:ascii="宋体" w:hAnsi="宋体" w:eastAsia="宋体" w:cs="宋体"/>
                <w:kern w:val="0"/>
                <w:sz w:val="24"/>
                <w:szCs w:val="24"/>
              </w:rPr>
            </w:pPr>
          </w:p>
        </w:tc>
      </w:tr>
      <w:tr w14:paraId="5DC6F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pct"/>
            <w:noWrap w:val="0"/>
            <w:vAlign w:val="center"/>
          </w:tcPr>
          <w:p w14:paraId="53B23371">
            <w:pPr>
              <w:jc w:val="center"/>
              <w:rPr>
                <w:rFonts w:hint="eastAsia" w:ascii="宋体" w:hAnsi="宋体" w:eastAsia="宋体" w:cs="宋体"/>
                <w:bCs/>
                <w:sz w:val="24"/>
                <w:szCs w:val="24"/>
              </w:rPr>
            </w:pPr>
            <w:r>
              <w:rPr>
                <w:rFonts w:hint="eastAsia" w:ascii="宋体" w:hAnsi="宋体" w:eastAsia="宋体" w:cs="宋体"/>
                <w:bCs/>
                <w:sz w:val="24"/>
                <w:szCs w:val="24"/>
              </w:rPr>
              <w:t>23层</w:t>
            </w:r>
          </w:p>
        </w:tc>
        <w:tc>
          <w:tcPr>
            <w:tcW w:w="1702" w:type="pct"/>
            <w:noWrap w:val="0"/>
            <w:vAlign w:val="center"/>
          </w:tcPr>
          <w:p w14:paraId="3E69923E">
            <w:pPr>
              <w:jc w:val="center"/>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2047" w:type="pct"/>
            <w:noWrap w:val="0"/>
            <w:vAlign w:val="center"/>
          </w:tcPr>
          <w:p w14:paraId="0D032CA5">
            <w:pPr>
              <w:jc w:val="center"/>
              <w:rPr>
                <w:rFonts w:hint="eastAsia" w:ascii="宋体" w:hAnsi="宋体" w:eastAsia="宋体" w:cs="宋体"/>
                <w:kern w:val="0"/>
                <w:sz w:val="24"/>
                <w:szCs w:val="24"/>
              </w:rPr>
            </w:pPr>
            <w:r>
              <w:rPr>
                <w:rFonts w:hint="eastAsia" w:ascii="宋体" w:hAnsi="宋体" w:eastAsia="宋体" w:cs="宋体"/>
                <w:kern w:val="0"/>
                <w:sz w:val="24"/>
                <w:szCs w:val="24"/>
              </w:rPr>
              <w:t>配电箱：6个</w:t>
            </w:r>
          </w:p>
        </w:tc>
        <w:tc>
          <w:tcPr>
            <w:tcW w:w="625" w:type="pct"/>
            <w:noWrap w:val="0"/>
            <w:vAlign w:val="center"/>
          </w:tcPr>
          <w:p w14:paraId="26F67BA0">
            <w:pPr>
              <w:jc w:val="center"/>
              <w:rPr>
                <w:rFonts w:hint="eastAsia" w:ascii="宋体" w:hAnsi="宋体" w:eastAsia="宋体" w:cs="宋体"/>
                <w:kern w:val="0"/>
                <w:sz w:val="24"/>
                <w:szCs w:val="24"/>
              </w:rPr>
            </w:pPr>
          </w:p>
        </w:tc>
      </w:tr>
      <w:tr w14:paraId="2FF9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pct"/>
            <w:noWrap w:val="0"/>
            <w:vAlign w:val="center"/>
          </w:tcPr>
          <w:p w14:paraId="2637384D">
            <w:pPr>
              <w:jc w:val="center"/>
              <w:rPr>
                <w:rFonts w:hint="eastAsia" w:ascii="宋体" w:hAnsi="宋体" w:eastAsia="宋体" w:cs="宋体"/>
                <w:bCs/>
                <w:sz w:val="24"/>
                <w:szCs w:val="24"/>
              </w:rPr>
            </w:pPr>
            <w:r>
              <w:rPr>
                <w:rFonts w:hint="eastAsia" w:ascii="宋体" w:hAnsi="宋体" w:eastAsia="宋体" w:cs="宋体"/>
                <w:bCs/>
                <w:sz w:val="24"/>
                <w:szCs w:val="24"/>
              </w:rPr>
              <w:t>24层</w:t>
            </w:r>
          </w:p>
        </w:tc>
        <w:tc>
          <w:tcPr>
            <w:tcW w:w="1702" w:type="pct"/>
            <w:noWrap w:val="0"/>
            <w:vAlign w:val="center"/>
          </w:tcPr>
          <w:p w14:paraId="5F51C53D">
            <w:pPr>
              <w:jc w:val="center"/>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2047" w:type="pct"/>
            <w:noWrap w:val="0"/>
            <w:vAlign w:val="center"/>
          </w:tcPr>
          <w:p w14:paraId="6910AF89">
            <w:pPr>
              <w:jc w:val="center"/>
              <w:rPr>
                <w:rFonts w:hint="eastAsia" w:ascii="宋体" w:hAnsi="宋体" w:eastAsia="宋体" w:cs="宋体"/>
                <w:kern w:val="0"/>
                <w:sz w:val="24"/>
                <w:szCs w:val="24"/>
              </w:rPr>
            </w:pPr>
            <w:r>
              <w:rPr>
                <w:rFonts w:hint="eastAsia" w:ascii="宋体" w:hAnsi="宋体" w:eastAsia="宋体" w:cs="宋体"/>
                <w:kern w:val="0"/>
                <w:sz w:val="24"/>
                <w:szCs w:val="24"/>
              </w:rPr>
              <w:t>配电箱：6个</w:t>
            </w:r>
          </w:p>
        </w:tc>
        <w:tc>
          <w:tcPr>
            <w:tcW w:w="625" w:type="pct"/>
            <w:noWrap w:val="0"/>
            <w:vAlign w:val="center"/>
          </w:tcPr>
          <w:p w14:paraId="5AD7776A">
            <w:pPr>
              <w:jc w:val="center"/>
              <w:rPr>
                <w:rFonts w:hint="eastAsia" w:ascii="宋体" w:hAnsi="宋体" w:eastAsia="宋体" w:cs="宋体"/>
                <w:kern w:val="0"/>
                <w:sz w:val="24"/>
                <w:szCs w:val="24"/>
              </w:rPr>
            </w:pPr>
          </w:p>
        </w:tc>
      </w:tr>
      <w:tr w14:paraId="1180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pct"/>
            <w:noWrap w:val="0"/>
            <w:vAlign w:val="center"/>
          </w:tcPr>
          <w:p w14:paraId="6EA32851">
            <w:pPr>
              <w:jc w:val="center"/>
              <w:rPr>
                <w:rFonts w:hint="eastAsia" w:ascii="宋体" w:hAnsi="宋体" w:eastAsia="宋体" w:cs="宋体"/>
                <w:bCs/>
                <w:sz w:val="24"/>
                <w:szCs w:val="24"/>
              </w:rPr>
            </w:pPr>
            <w:r>
              <w:rPr>
                <w:rFonts w:hint="eastAsia" w:ascii="宋体" w:hAnsi="宋体" w:eastAsia="宋体" w:cs="宋体"/>
                <w:bCs/>
                <w:sz w:val="24"/>
                <w:szCs w:val="24"/>
              </w:rPr>
              <w:t>25层</w:t>
            </w:r>
          </w:p>
        </w:tc>
        <w:tc>
          <w:tcPr>
            <w:tcW w:w="1702" w:type="pct"/>
            <w:noWrap w:val="0"/>
            <w:vAlign w:val="center"/>
          </w:tcPr>
          <w:p w14:paraId="18BB8F5F">
            <w:pPr>
              <w:jc w:val="center"/>
              <w:rPr>
                <w:rFonts w:hint="eastAsia" w:ascii="宋体" w:hAnsi="宋体" w:eastAsia="宋体" w:cs="宋体"/>
                <w:kern w:val="0"/>
                <w:sz w:val="24"/>
                <w:szCs w:val="24"/>
              </w:rPr>
            </w:pPr>
            <w:r>
              <w:rPr>
                <w:rFonts w:hint="eastAsia" w:ascii="宋体" w:hAnsi="宋体" w:eastAsia="宋体" w:cs="宋体"/>
                <w:kern w:val="0"/>
                <w:sz w:val="24"/>
                <w:szCs w:val="24"/>
              </w:rPr>
              <w:t>8</w:t>
            </w:r>
          </w:p>
        </w:tc>
        <w:tc>
          <w:tcPr>
            <w:tcW w:w="2047" w:type="pct"/>
            <w:noWrap w:val="0"/>
            <w:vAlign w:val="center"/>
          </w:tcPr>
          <w:p w14:paraId="3AD38F29">
            <w:pPr>
              <w:jc w:val="center"/>
              <w:rPr>
                <w:rFonts w:hint="eastAsia" w:ascii="宋体" w:hAnsi="宋体" w:eastAsia="宋体" w:cs="宋体"/>
                <w:kern w:val="0"/>
                <w:sz w:val="24"/>
                <w:szCs w:val="24"/>
              </w:rPr>
            </w:pPr>
            <w:r>
              <w:rPr>
                <w:rFonts w:hint="eastAsia" w:ascii="宋体" w:hAnsi="宋体" w:eastAsia="宋体" w:cs="宋体"/>
                <w:kern w:val="0"/>
                <w:sz w:val="24"/>
                <w:szCs w:val="24"/>
              </w:rPr>
              <w:t>配电箱：6个、配电柜：2个</w:t>
            </w:r>
          </w:p>
        </w:tc>
        <w:tc>
          <w:tcPr>
            <w:tcW w:w="625" w:type="pct"/>
            <w:noWrap w:val="0"/>
            <w:vAlign w:val="center"/>
          </w:tcPr>
          <w:p w14:paraId="54498BB8">
            <w:pPr>
              <w:jc w:val="center"/>
              <w:rPr>
                <w:rFonts w:hint="eastAsia" w:ascii="宋体" w:hAnsi="宋体" w:eastAsia="宋体" w:cs="宋体"/>
                <w:kern w:val="0"/>
                <w:sz w:val="24"/>
                <w:szCs w:val="24"/>
              </w:rPr>
            </w:pPr>
          </w:p>
        </w:tc>
      </w:tr>
    </w:tbl>
    <w:p w14:paraId="295D1166">
      <w:pPr>
        <w:spacing w:line="40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注：以上数据以实际数量为准。</w:t>
      </w:r>
    </w:p>
    <w:p w14:paraId="10AD492A">
      <w:pPr>
        <w:spacing w:line="400" w:lineRule="exact"/>
        <w:ind w:firstLine="241" w:firstLineChars="100"/>
        <w:outlineLvl w:val="2"/>
        <w:rPr>
          <w:rFonts w:hint="eastAsia" w:ascii="宋体" w:hAnsi="宋体" w:eastAsia="宋体" w:cs="宋体"/>
          <w:b/>
          <w:bCs/>
          <w:sz w:val="24"/>
          <w:szCs w:val="24"/>
        </w:rPr>
      </w:pPr>
      <w:r>
        <w:rPr>
          <w:rFonts w:hint="eastAsia" w:ascii="宋体" w:hAnsi="宋体" w:eastAsia="宋体" w:cs="宋体"/>
          <w:b/>
          <w:bCs/>
          <w:sz w:val="24"/>
          <w:szCs w:val="24"/>
        </w:rPr>
        <w:t>2.中央空调设备</w:t>
      </w:r>
    </w:p>
    <w:tbl>
      <w:tblPr>
        <w:tblStyle w:val="11"/>
        <w:tblW w:w="491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5"/>
        <w:gridCol w:w="3779"/>
        <w:gridCol w:w="1898"/>
        <w:gridCol w:w="1579"/>
      </w:tblGrid>
      <w:tr w14:paraId="6D58B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top"/>
          </w:tcPr>
          <w:p w14:paraId="5DEB36E9">
            <w:pPr>
              <w:jc w:val="center"/>
              <w:rPr>
                <w:rFonts w:hint="eastAsia" w:ascii="宋体" w:hAnsi="宋体" w:eastAsia="宋体" w:cs="宋体"/>
                <w:b/>
                <w:sz w:val="24"/>
                <w:szCs w:val="24"/>
              </w:rPr>
            </w:pPr>
            <w:r>
              <w:rPr>
                <w:rFonts w:hint="eastAsia" w:ascii="宋体" w:hAnsi="宋体" w:eastAsia="宋体" w:cs="宋体"/>
                <w:b/>
                <w:sz w:val="24"/>
                <w:szCs w:val="24"/>
              </w:rPr>
              <w:t>序号</w:t>
            </w:r>
          </w:p>
        </w:tc>
        <w:tc>
          <w:tcPr>
            <w:tcW w:w="2254" w:type="pct"/>
            <w:noWrap w:val="0"/>
            <w:vAlign w:val="top"/>
          </w:tcPr>
          <w:p w14:paraId="1FE1A317">
            <w:pPr>
              <w:ind w:firstLine="422"/>
              <w:jc w:val="center"/>
              <w:rPr>
                <w:rFonts w:hint="eastAsia" w:ascii="宋体" w:hAnsi="宋体" w:eastAsia="宋体" w:cs="宋体"/>
                <w:b/>
                <w:sz w:val="24"/>
                <w:szCs w:val="24"/>
              </w:rPr>
            </w:pPr>
            <w:r>
              <w:rPr>
                <w:rFonts w:hint="eastAsia" w:ascii="宋体" w:hAnsi="宋体" w:eastAsia="宋体" w:cs="宋体"/>
                <w:b/>
                <w:sz w:val="24"/>
                <w:szCs w:val="24"/>
              </w:rPr>
              <w:t>设备名称及型号</w:t>
            </w:r>
          </w:p>
        </w:tc>
        <w:tc>
          <w:tcPr>
            <w:tcW w:w="1132" w:type="pct"/>
            <w:noWrap w:val="0"/>
            <w:vAlign w:val="top"/>
          </w:tcPr>
          <w:p w14:paraId="7F69A1AE">
            <w:pPr>
              <w:ind w:firstLine="422"/>
              <w:jc w:val="center"/>
              <w:rPr>
                <w:rFonts w:hint="eastAsia" w:ascii="宋体" w:hAnsi="宋体" w:eastAsia="宋体" w:cs="宋体"/>
                <w:b/>
                <w:sz w:val="24"/>
                <w:szCs w:val="24"/>
              </w:rPr>
            </w:pPr>
            <w:r>
              <w:rPr>
                <w:rFonts w:hint="eastAsia" w:ascii="宋体" w:hAnsi="宋体" w:eastAsia="宋体" w:cs="宋体"/>
                <w:b/>
                <w:sz w:val="24"/>
                <w:szCs w:val="24"/>
              </w:rPr>
              <w:t>数量（台）</w:t>
            </w:r>
          </w:p>
        </w:tc>
        <w:tc>
          <w:tcPr>
            <w:tcW w:w="942" w:type="pct"/>
            <w:noWrap w:val="0"/>
            <w:vAlign w:val="top"/>
          </w:tcPr>
          <w:p w14:paraId="3BD4DAC3">
            <w:pPr>
              <w:ind w:firstLine="422"/>
              <w:jc w:val="center"/>
              <w:rPr>
                <w:rFonts w:hint="eastAsia" w:ascii="宋体" w:hAnsi="宋体" w:eastAsia="宋体" w:cs="宋体"/>
                <w:b/>
                <w:sz w:val="24"/>
                <w:szCs w:val="24"/>
              </w:rPr>
            </w:pPr>
            <w:r>
              <w:rPr>
                <w:rFonts w:hint="eastAsia" w:ascii="宋体" w:hAnsi="宋体" w:eastAsia="宋体" w:cs="宋体"/>
                <w:b/>
                <w:sz w:val="24"/>
                <w:szCs w:val="24"/>
              </w:rPr>
              <w:t>备注</w:t>
            </w:r>
          </w:p>
        </w:tc>
      </w:tr>
      <w:tr w14:paraId="2D17E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center"/>
          </w:tcPr>
          <w:p w14:paraId="17D83368">
            <w:pPr>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2254" w:type="pct"/>
            <w:noWrap w:val="0"/>
            <w:vAlign w:val="center"/>
          </w:tcPr>
          <w:p w14:paraId="78C0E513">
            <w:pPr>
              <w:jc w:val="center"/>
              <w:rPr>
                <w:rFonts w:hint="eastAsia" w:ascii="宋体" w:hAnsi="宋体" w:eastAsia="宋体" w:cs="宋体"/>
                <w:b/>
                <w:sz w:val="24"/>
                <w:szCs w:val="24"/>
              </w:rPr>
            </w:pPr>
            <w:r>
              <w:rPr>
                <w:rFonts w:hint="eastAsia" w:ascii="宋体" w:hAnsi="宋体" w:eastAsia="宋体" w:cs="宋体"/>
                <w:kern w:val="0"/>
                <w:sz w:val="24"/>
                <w:szCs w:val="24"/>
              </w:rPr>
              <w:t>空调外机型号：MDS080FR5-FV</w:t>
            </w:r>
          </w:p>
        </w:tc>
        <w:tc>
          <w:tcPr>
            <w:tcW w:w="1132" w:type="pct"/>
            <w:noWrap w:val="0"/>
            <w:vAlign w:val="center"/>
          </w:tcPr>
          <w:p w14:paraId="4A1BA02E">
            <w:pPr>
              <w:jc w:val="center"/>
              <w:rPr>
                <w:rFonts w:hint="eastAsia" w:ascii="宋体" w:hAnsi="宋体" w:eastAsia="宋体" w:cs="宋体"/>
                <w:kern w:val="0"/>
                <w:sz w:val="24"/>
                <w:szCs w:val="24"/>
              </w:rPr>
            </w:pPr>
            <w:r>
              <w:rPr>
                <w:rFonts w:hint="eastAsia" w:ascii="宋体" w:hAnsi="宋体" w:eastAsia="宋体" w:cs="宋体"/>
                <w:kern w:val="0"/>
                <w:sz w:val="24"/>
                <w:szCs w:val="24"/>
              </w:rPr>
              <w:t>11</w:t>
            </w:r>
          </w:p>
        </w:tc>
        <w:tc>
          <w:tcPr>
            <w:tcW w:w="942" w:type="pct"/>
            <w:noWrap w:val="0"/>
            <w:vAlign w:val="center"/>
          </w:tcPr>
          <w:p w14:paraId="741D104F">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45A24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center"/>
          </w:tcPr>
          <w:p w14:paraId="217C6D36">
            <w:pPr>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2254" w:type="pct"/>
            <w:noWrap w:val="0"/>
            <w:vAlign w:val="center"/>
          </w:tcPr>
          <w:p w14:paraId="40DC8D3D">
            <w:pPr>
              <w:jc w:val="center"/>
              <w:rPr>
                <w:rFonts w:hint="eastAsia" w:ascii="宋体" w:hAnsi="宋体" w:eastAsia="宋体" w:cs="宋体"/>
                <w:kern w:val="0"/>
                <w:sz w:val="24"/>
                <w:szCs w:val="24"/>
              </w:rPr>
            </w:pPr>
            <w:r>
              <w:rPr>
                <w:rFonts w:hint="eastAsia" w:ascii="宋体" w:hAnsi="宋体" w:eastAsia="宋体" w:cs="宋体"/>
                <w:kern w:val="0"/>
                <w:sz w:val="24"/>
                <w:szCs w:val="24"/>
              </w:rPr>
              <w:t>空调外机型号：MDS120FR5-FV</w:t>
            </w:r>
          </w:p>
        </w:tc>
        <w:tc>
          <w:tcPr>
            <w:tcW w:w="1132" w:type="pct"/>
            <w:noWrap w:val="0"/>
            <w:vAlign w:val="center"/>
          </w:tcPr>
          <w:p w14:paraId="23F49175">
            <w:pPr>
              <w:jc w:val="center"/>
              <w:rPr>
                <w:rFonts w:hint="eastAsia" w:ascii="宋体" w:hAnsi="宋体" w:eastAsia="宋体" w:cs="宋体"/>
                <w:kern w:val="0"/>
                <w:sz w:val="24"/>
                <w:szCs w:val="24"/>
              </w:rPr>
            </w:pPr>
            <w:r>
              <w:rPr>
                <w:rFonts w:hint="eastAsia" w:ascii="宋体" w:hAnsi="宋体" w:eastAsia="宋体" w:cs="宋体"/>
                <w:kern w:val="0"/>
                <w:sz w:val="24"/>
                <w:szCs w:val="24"/>
              </w:rPr>
              <w:t>13</w:t>
            </w:r>
          </w:p>
        </w:tc>
        <w:tc>
          <w:tcPr>
            <w:tcW w:w="942" w:type="pct"/>
            <w:noWrap w:val="0"/>
            <w:vAlign w:val="center"/>
          </w:tcPr>
          <w:p w14:paraId="225E1B2E">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1F709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center"/>
          </w:tcPr>
          <w:p w14:paraId="0B964219">
            <w:pPr>
              <w:jc w:val="center"/>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2254" w:type="pct"/>
            <w:noWrap w:val="0"/>
            <w:vAlign w:val="center"/>
          </w:tcPr>
          <w:p w14:paraId="6710A669">
            <w:pPr>
              <w:jc w:val="center"/>
              <w:rPr>
                <w:rFonts w:hint="eastAsia" w:ascii="宋体" w:hAnsi="宋体" w:eastAsia="宋体" w:cs="宋体"/>
                <w:kern w:val="0"/>
                <w:sz w:val="24"/>
                <w:szCs w:val="24"/>
              </w:rPr>
            </w:pPr>
            <w:r>
              <w:rPr>
                <w:rFonts w:hint="eastAsia" w:ascii="宋体" w:hAnsi="宋体" w:eastAsia="宋体" w:cs="宋体"/>
                <w:kern w:val="0"/>
                <w:sz w:val="24"/>
                <w:szCs w:val="24"/>
              </w:rPr>
              <w:t>空调外机型号：MDS140FR5-FV</w:t>
            </w:r>
          </w:p>
        </w:tc>
        <w:tc>
          <w:tcPr>
            <w:tcW w:w="1132" w:type="pct"/>
            <w:noWrap w:val="0"/>
            <w:vAlign w:val="center"/>
          </w:tcPr>
          <w:p w14:paraId="179CDA05">
            <w:pPr>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942" w:type="pct"/>
            <w:noWrap w:val="0"/>
            <w:vAlign w:val="center"/>
          </w:tcPr>
          <w:p w14:paraId="48C3916A">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06147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center"/>
          </w:tcPr>
          <w:p w14:paraId="5F66E6C0">
            <w:pPr>
              <w:jc w:val="center"/>
              <w:rPr>
                <w:rFonts w:hint="eastAsia" w:ascii="宋体" w:hAnsi="宋体" w:eastAsia="宋体" w:cs="宋体"/>
                <w:kern w:val="0"/>
                <w:sz w:val="24"/>
                <w:szCs w:val="24"/>
              </w:rPr>
            </w:pPr>
            <w:r>
              <w:rPr>
                <w:rFonts w:hint="eastAsia" w:ascii="宋体" w:hAnsi="宋体" w:eastAsia="宋体" w:cs="宋体"/>
                <w:kern w:val="0"/>
                <w:sz w:val="24"/>
                <w:szCs w:val="24"/>
              </w:rPr>
              <w:t>4</w:t>
            </w:r>
          </w:p>
        </w:tc>
        <w:tc>
          <w:tcPr>
            <w:tcW w:w="2254" w:type="pct"/>
            <w:noWrap w:val="0"/>
            <w:vAlign w:val="center"/>
          </w:tcPr>
          <w:p w14:paraId="25CE4D3A">
            <w:pPr>
              <w:jc w:val="center"/>
              <w:rPr>
                <w:rFonts w:hint="eastAsia" w:ascii="宋体" w:hAnsi="宋体" w:eastAsia="宋体" w:cs="宋体"/>
                <w:kern w:val="0"/>
                <w:sz w:val="24"/>
                <w:szCs w:val="24"/>
              </w:rPr>
            </w:pPr>
            <w:r>
              <w:rPr>
                <w:rFonts w:hint="eastAsia" w:ascii="宋体" w:hAnsi="宋体" w:eastAsia="宋体" w:cs="宋体"/>
                <w:kern w:val="0"/>
                <w:sz w:val="24"/>
                <w:szCs w:val="24"/>
              </w:rPr>
              <w:t>空调外机型号：MDS200FR5-FV</w:t>
            </w:r>
          </w:p>
        </w:tc>
        <w:tc>
          <w:tcPr>
            <w:tcW w:w="1132" w:type="pct"/>
            <w:noWrap w:val="0"/>
            <w:vAlign w:val="center"/>
          </w:tcPr>
          <w:p w14:paraId="34EE8E19">
            <w:pPr>
              <w:jc w:val="center"/>
              <w:rPr>
                <w:rFonts w:hint="eastAsia" w:ascii="宋体" w:hAnsi="宋体" w:eastAsia="宋体" w:cs="宋体"/>
                <w:kern w:val="0"/>
                <w:sz w:val="24"/>
                <w:szCs w:val="24"/>
              </w:rPr>
            </w:pPr>
            <w:r>
              <w:rPr>
                <w:rFonts w:hint="eastAsia" w:ascii="宋体" w:hAnsi="宋体" w:eastAsia="宋体" w:cs="宋体"/>
                <w:kern w:val="0"/>
                <w:sz w:val="24"/>
                <w:szCs w:val="24"/>
              </w:rPr>
              <w:t>7</w:t>
            </w:r>
          </w:p>
        </w:tc>
        <w:tc>
          <w:tcPr>
            <w:tcW w:w="942" w:type="pct"/>
            <w:noWrap w:val="0"/>
            <w:vAlign w:val="center"/>
          </w:tcPr>
          <w:p w14:paraId="0928114F">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7F799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center"/>
          </w:tcPr>
          <w:p w14:paraId="5119D8ED">
            <w:pPr>
              <w:jc w:val="center"/>
              <w:rPr>
                <w:rFonts w:hint="eastAsia" w:ascii="宋体" w:hAnsi="宋体" w:eastAsia="宋体" w:cs="宋体"/>
                <w:kern w:val="0"/>
                <w:sz w:val="24"/>
                <w:szCs w:val="24"/>
              </w:rPr>
            </w:pPr>
            <w:r>
              <w:rPr>
                <w:rFonts w:hint="eastAsia" w:ascii="宋体" w:hAnsi="宋体" w:eastAsia="宋体" w:cs="宋体"/>
                <w:kern w:val="0"/>
                <w:sz w:val="24"/>
                <w:szCs w:val="24"/>
              </w:rPr>
              <w:t>5</w:t>
            </w:r>
          </w:p>
        </w:tc>
        <w:tc>
          <w:tcPr>
            <w:tcW w:w="2254" w:type="pct"/>
            <w:noWrap w:val="0"/>
            <w:vAlign w:val="center"/>
          </w:tcPr>
          <w:p w14:paraId="7E213F46">
            <w:pPr>
              <w:jc w:val="center"/>
              <w:rPr>
                <w:rFonts w:hint="eastAsia" w:ascii="宋体" w:hAnsi="宋体" w:eastAsia="宋体" w:cs="宋体"/>
                <w:kern w:val="0"/>
                <w:sz w:val="24"/>
                <w:szCs w:val="24"/>
              </w:rPr>
            </w:pPr>
            <w:r>
              <w:rPr>
                <w:rFonts w:hint="eastAsia" w:ascii="宋体" w:hAnsi="宋体" w:eastAsia="宋体" w:cs="宋体"/>
                <w:kern w:val="0"/>
                <w:sz w:val="24"/>
                <w:szCs w:val="24"/>
              </w:rPr>
              <w:t>空调外机型号：MDS220FR5-FV</w:t>
            </w:r>
          </w:p>
        </w:tc>
        <w:tc>
          <w:tcPr>
            <w:tcW w:w="1132" w:type="pct"/>
            <w:noWrap w:val="0"/>
            <w:vAlign w:val="center"/>
          </w:tcPr>
          <w:p w14:paraId="754605E8">
            <w:pPr>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942" w:type="pct"/>
            <w:noWrap w:val="0"/>
            <w:vAlign w:val="center"/>
          </w:tcPr>
          <w:p w14:paraId="24F1AEF6">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668BE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center"/>
          </w:tcPr>
          <w:p w14:paraId="5C64C29B">
            <w:pPr>
              <w:jc w:val="center"/>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2254" w:type="pct"/>
            <w:noWrap w:val="0"/>
            <w:vAlign w:val="center"/>
          </w:tcPr>
          <w:p w14:paraId="2415B48B">
            <w:pPr>
              <w:jc w:val="center"/>
              <w:rPr>
                <w:rFonts w:hint="eastAsia" w:ascii="宋体" w:hAnsi="宋体" w:eastAsia="宋体" w:cs="宋体"/>
                <w:kern w:val="0"/>
                <w:sz w:val="24"/>
                <w:szCs w:val="24"/>
              </w:rPr>
            </w:pPr>
            <w:r>
              <w:rPr>
                <w:rFonts w:hint="eastAsia" w:ascii="宋体" w:hAnsi="宋体" w:eastAsia="宋体" w:cs="宋体"/>
                <w:kern w:val="0"/>
                <w:sz w:val="24"/>
                <w:szCs w:val="24"/>
              </w:rPr>
              <w:t>空调外机型号：MDS240FR5-FV</w:t>
            </w:r>
          </w:p>
        </w:tc>
        <w:tc>
          <w:tcPr>
            <w:tcW w:w="1132" w:type="pct"/>
            <w:noWrap w:val="0"/>
            <w:vAlign w:val="center"/>
          </w:tcPr>
          <w:p w14:paraId="14AE4FDE">
            <w:pPr>
              <w:jc w:val="center"/>
              <w:rPr>
                <w:rFonts w:hint="eastAsia" w:ascii="宋体" w:hAnsi="宋体" w:eastAsia="宋体" w:cs="宋体"/>
                <w:kern w:val="0"/>
                <w:sz w:val="24"/>
                <w:szCs w:val="24"/>
              </w:rPr>
            </w:pPr>
            <w:r>
              <w:rPr>
                <w:rFonts w:hint="eastAsia" w:ascii="宋体" w:hAnsi="宋体" w:eastAsia="宋体" w:cs="宋体"/>
                <w:kern w:val="0"/>
                <w:sz w:val="24"/>
                <w:szCs w:val="24"/>
              </w:rPr>
              <w:t>8</w:t>
            </w:r>
          </w:p>
        </w:tc>
        <w:tc>
          <w:tcPr>
            <w:tcW w:w="942" w:type="pct"/>
            <w:noWrap w:val="0"/>
            <w:vAlign w:val="center"/>
          </w:tcPr>
          <w:p w14:paraId="4512E8D1">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27C8F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center"/>
          </w:tcPr>
          <w:p w14:paraId="2D670212">
            <w:pPr>
              <w:jc w:val="center"/>
              <w:rPr>
                <w:rFonts w:hint="eastAsia" w:ascii="宋体" w:hAnsi="宋体" w:eastAsia="宋体" w:cs="宋体"/>
                <w:kern w:val="0"/>
                <w:sz w:val="24"/>
                <w:szCs w:val="24"/>
              </w:rPr>
            </w:pPr>
            <w:r>
              <w:rPr>
                <w:rFonts w:hint="eastAsia" w:ascii="宋体" w:hAnsi="宋体" w:eastAsia="宋体" w:cs="宋体"/>
                <w:kern w:val="0"/>
                <w:sz w:val="24"/>
                <w:szCs w:val="24"/>
              </w:rPr>
              <w:t>7</w:t>
            </w:r>
          </w:p>
        </w:tc>
        <w:tc>
          <w:tcPr>
            <w:tcW w:w="2254" w:type="pct"/>
            <w:noWrap w:val="0"/>
            <w:vAlign w:val="center"/>
          </w:tcPr>
          <w:p w14:paraId="7406F186">
            <w:pPr>
              <w:jc w:val="center"/>
              <w:rPr>
                <w:rFonts w:hint="eastAsia" w:ascii="宋体" w:hAnsi="宋体" w:eastAsia="宋体" w:cs="宋体"/>
                <w:kern w:val="0"/>
                <w:sz w:val="24"/>
                <w:szCs w:val="24"/>
              </w:rPr>
            </w:pPr>
            <w:r>
              <w:rPr>
                <w:rFonts w:hint="eastAsia" w:ascii="宋体" w:hAnsi="宋体" w:eastAsia="宋体" w:cs="宋体"/>
                <w:kern w:val="0"/>
                <w:sz w:val="24"/>
                <w:szCs w:val="24"/>
              </w:rPr>
              <w:t>空调外机型号：MDS260FR5-FV</w:t>
            </w:r>
          </w:p>
        </w:tc>
        <w:tc>
          <w:tcPr>
            <w:tcW w:w="1132" w:type="pct"/>
            <w:noWrap w:val="0"/>
            <w:vAlign w:val="center"/>
          </w:tcPr>
          <w:p w14:paraId="61A41A5A">
            <w:pPr>
              <w:jc w:val="center"/>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942" w:type="pct"/>
            <w:noWrap w:val="0"/>
            <w:vAlign w:val="center"/>
          </w:tcPr>
          <w:p w14:paraId="4F738B54">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6A456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center"/>
          </w:tcPr>
          <w:p w14:paraId="4C48997B">
            <w:pPr>
              <w:jc w:val="center"/>
              <w:rPr>
                <w:rFonts w:hint="eastAsia" w:ascii="宋体" w:hAnsi="宋体" w:eastAsia="宋体" w:cs="宋体"/>
                <w:kern w:val="0"/>
                <w:sz w:val="24"/>
                <w:szCs w:val="24"/>
              </w:rPr>
            </w:pPr>
            <w:r>
              <w:rPr>
                <w:rFonts w:hint="eastAsia" w:ascii="宋体" w:hAnsi="宋体" w:eastAsia="宋体" w:cs="宋体"/>
                <w:kern w:val="0"/>
                <w:sz w:val="24"/>
                <w:szCs w:val="24"/>
              </w:rPr>
              <w:t>8</w:t>
            </w:r>
          </w:p>
        </w:tc>
        <w:tc>
          <w:tcPr>
            <w:tcW w:w="2254" w:type="pct"/>
            <w:noWrap w:val="0"/>
            <w:vAlign w:val="center"/>
          </w:tcPr>
          <w:p w14:paraId="0A611CC0">
            <w:pPr>
              <w:jc w:val="center"/>
              <w:rPr>
                <w:rFonts w:hint="eastAsia" w:ascii="宋体" w:hAnsi="宋体" w:eastAsia="宋体" w:cs="宋体"/>
                <w:kern w:val="0"/>
                <w:sz w:val="24"/>
                <w:szCs w:val="24"/>
              </w:rPr>
            </w:pPr>
            <w:r>
              <w:rPr>
                <w:rFonts w:hint="eastAsia" w:ascii="宋体" w:hAnsi="宋体" w:eastAsia="宋体" w:cs="宋体"/>
                <w:kern w:val="0"/>
                <w:sz w:val="24"/>
                <w:szCs w:val="24"/>
              </w:rPr>
              <w:t>空调外机型号：MDS280FR5-FV</w:t>
            </w:r>
          </w:p>
        </w:tc>
        <w:tc>
          <w:tcPr>
            <w:tcW w:w="1132" w:type="pct"/>
            <w:noWrap w:val="0"/>
            <w:vAlign w:val="center"/>
          </w:tcPr>
          <w:p w14:paraId="1D2BB52B">
            <w:pPr>
              <w:jc w:val="center"/>
              <w:rPr>
                <w:rFonts w:hint="eastAsia" w:ascii="宋体" w:hAnsi="宋体" w:eastAsia="宋体" w:cs="宋体"/>
                <w:kern w:val="0"/>
                <w:sz w:val="24"/>
                <w:szCs w:val="24"/>
              </w:rPr>
            </w:pPr>
            <w:r>
              <w:rPr>
                <w:rFonts w:hint="eastAsia" w:ascii="宋体" w:hAnsi="宋体" w:eastAsia="宋体" w:cs="宋体"/>
                <w:kern w:val="0"/>
                <w:sz w:val="24"/>
                <w:szCs w:val="24"/>
              </w:rPr>
              <w:t>4</w:t>
            </w:r>
          </w:p>
        </w:tc>
        <w:tc>
          <w:tcPr>
            <w:tcW w:w="942" w:type="pct"/>
            <w:noWrap w:val="0"/>
            <w:vAlign w:val="center"/>
          </w:tcPr>
          <w:p w14:paraId="0FC940F9">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6A4BD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center"/>
          </w:tcPr>
          <w:p w14:paraId="47E00114">
            <w:pPr>
              <w:jc w:val="center"/>
              <w:rPr>
                <w:rFonts w:hint="eastAsia" w:ascii="宋体" w:hAnsi="宋体" w:eastAsia="宋体" w:cs="宋体"/>
                <w:kern w:val="0"/>
                <w:sz w:val="24"/>
                <w:szCs w:val="24"/>
              </w:rPr>
            </w:pPr>
            <w:r>
              <w:rPr>
                <w:rFonts w:hint="eastAsia" w:ascii="宋体" w:hAnsi="宋体" w:eastAsia="宋体" w:cs="宋体"/>
                <w:kern w:val="0"/>
                <w:sz w:val="24"/>
                <w:szCs w:val="24"/>
              </w:rPr>
              <w:t>9</w:t>
            </w:r>
          </w:p>
        </w:tc>
        <w:tc>
          <w:tcPr>
            <w:tcW w:w="2254" w:type="pct"/>
            <w:noWrap w:val="0"/>
            <w:vAlign w:val="center"/>
          </w:tcPr>
          <w:p w14:paraId="20387F68">
            <w:pPr>
              <w:jc w:val="center"/>
              <w:rPr>
                <w:rFonts w:hint="eastAsia" w:ascii="宋体" w:hAnsi="宋体" w:eastAsia="宋体" w:cs="宋体"/>
                <w:kern w:val="0"/>
                <w:sz w:val="24"/>
                <w:szCs w:val="24"/>
              </w:rPr>
            </w:pPr>
            <w:r>
              <w:rPr>
                <w:rFonts w:hint="eastAsia" w:ascii="宋体" w:hAnsi="宋体" w:eastAsia="宋体" w:cs="宋体"/>
                <w:kern w:val="0"/>
                <w:sz w:val="24"/>
                <w:szCs w:val="24"/>
              </w:rPr>
              <w:t>空调外机型号：MDS300FR5-FV</w:t>
            </w:r>
          </w:p>
        </w:tc>
        <w:tc>
          <w:tcPr>
            <w:tcW w:w="1132" w:type="pct"/>
            <w:noWrap w:val="0"/>
            <w:vAlign w:val="center"/>
          </w:tcPr>
          <w:p w14:paraId="63EEE622">
            <w:pPr>
              <w:jc w:val="center"/>
              <w:rPr>
                <w:rFonts w:hint="eastAsia" w:ascii="宋体" w:hAnsi="宋体" w:eastAsia="宋体" w:cs="宋体"/>
                <w:kern w:val="0"/>
                <w:sz w:val="24"/>
                <w:szCs w:val="24"/>
              </w:rPr>
            </w:pPr>
            <w:r>
              <w:rPr>
                <w:rFonts w:hint="eastAsia" w:ascii="宋体" w:hAnsi="宋体" w:eastAsia="宋体" w:cs="宋体"/>
                <w:kern w:val="0"/>
                <w:sz w:val="24"/>
                <w:szCs w:val="24"/>
              </w:rPr>
              <w:t>5</w:t>
            </w:r>
          </w:p>
        </w:tc>
        <w:tc>
          <w:tcPr>
            <w:tcW w:w="942" w:type="pct"/>
            <w:noWrap w:val="0"/>
            <w:vAlign w:val="center"/>
          </w:tcPr>
          <w:p w14:paraId="0F680888">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6DFEF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center"/>
          </w:tcPr>
          <w:p w14:paraId="2DDB4084">
            <w:pPr>
              <w:jc w:val="center"/>
              <w:rPr>
                <w:rFonts w:hint="eastAsia" w:ascii="宋体" w:hAnsi="宋体" w:eastAsia="宋体" w:cs="宋体"/>
                <w:kern w:val="0"/>
                <w:sz w:val="24"/>
                <w:szCs w:val="24"/>
              </w:rPr>
            </w:pPr>
            <w:r>
              <w:rPr>
                <w:rFonts w:hint="eastAsia" w:ascii="宋体" w:hAnsi="宋体" w:eastAsia="宋体" w:cs="宋体"/>
                <w:kern w:val="0"/>
                <w:sz w:val="24"/>
                <w:szCs w:val="24"/>
              </w:rPr>
              <w:t>10</w:t>
            </w:r>
          </w:p>
        </w:tc>
        <w:tc>
          <w:tcPr>
            <w:tcW w:w="2254" w:type="pct"/>
            <w:noWrap w:val="0"/>
            <w:vAlign w:val="center"/>
          </w:tcPr>
          <w:p w14:paraId="54398002">
            <w:pPr>
              <w:jc w:val="center"/>
              <w:rPr>
                <w:rFonts w:hint="eastAsia" w:ascii="宋体" w:hAnsi="宋体" w:eastAsia="宋体" w:cs="宋体"/>
                <w:kern w:val="0"/>
                <w:sz w:val="24"/>
                <w:szCs w:val="24"/>
              </w:rPr>
            </w:pPr>
            <w:r>
              <w:rPr>
                <w:rFonts w:hint="eastAsia" w:ascii="宋体" w:hAnsi="宋体" w:eastAsia="宋体" w:cs="宋体"/>
                <w:kern w:val="0"/>
                <w:sz w:val="24"/>
                <w:szCs w:val="24"/>
              </w:rPr>
              <w:t>空调外机型号：MDS320FR5-FV</w:t>
            </w:r>
          </w:p>
        </w:tc>
        <w:tc>
          <w:tcPr>
            <w:tcW w:w="1132" w:type="pct"/>
            <w:noWrap w:val="0"/>
            <w:vAlign w:val="center"/>
          </w:tcPr>
          <w:p w14:paraId="7B713E32">
            <w:pPr>
              <w:jc w:val="center"/>
              <w:rPr>
                <w:rFonts w:hint="eastAsia" w:ascii="宋体" w:hAnsi="宋体" w:eastAsia="宋体" w:cs="宋体"/>
                <w:kern w:val="0"/>
                <w:sz w:val="24"/>
                <w:szCs w:val="24"/>
              </w:rPr>
            </w:pPr>
            <w:r>
              <w:rPr>
                <w:rFonts w:hint="eastAsia" w:ascii="宋体" w:hAnsi="宋体" w:eastAsia="宋体" w:cs="宋体"/>
                <w:kern w:val="0"/>
                <w:sz w:val="24"/>
                <w:szCs w:val="24"/>
              </w:rPr>
              <w:t>14</w:t>
            </w:r>
          </w:p>
        </w:tc>
        <w:tc>
          <w:tcPr>
            <w:tcW w:w="942" w:type="pct"/>
            <w:noWrap w:val="0"/>
            <w:vAlign w:val="center"/>
          </w:tcPr>
          <w:p w14:paraId="0A762629">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6D23F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center"/>
          </w:tcPr>
          <w:p w14:paraId="3C481E3C">
            <w:pPr>
              <w:jc w:val="center"/>
              <w:rPr>
                <w:rFonts w:hint="eastAsia" w:ascii="宋体" w:hAnsi="宋体" w:eastAsia="宋体" w:cs="宋体"/>
                <w:kern w:val="0"/>
                <w:sz w:val="24"/>
                <w:szCs w:val="24"/>
              </w:rPr>
            </w:pPr>
            <w:r>
              <w:rPr>
                <w:rFonts w:hint="eastAsia" w:ascii="宋体" w:hAnsi="宋体" w:eastAsia="宋体" w:cs="宋体"/>
                <w:kern w:val="0"/>
                <w:sz w:val="24"/>
                <w:szCs w:val="24"/>
              </w:rPr>
              <w:t>11</w:t>
            </w:r>
          </w:p>
        </w:tc>
        <w:tc>
          <w:tcPr>
            <w:tcW w:w="2254" w:type="pct"/>
            <w:noWrap w:val="0"/>
            <w:vAlign w:val="center"/>
          </w:tcPr>
          <w:p w14:paraId="7B4E38DC">
            <w:pPr>
              <w:jc w:val="center"/>
              <w:rPr>
                <w:rFonts w:hint="eastAsia" w:ascii="宋体" w:hAnsi="宋体" w:eastAsia="宋体" w:cs="宋体"/>
                <w:kern w:val="0"/>
                <w:sz w:val="24"/>
                <w:szCs w:val="24"/>
              </w:rPr>
            </w:pPr>
            <w:r>
              <w:rPr>
                <w:rFonts w:hint="eastAsia" w:ascii="宋体" w:hAnsi="宋体" w:eastAsia="宋体" w:cs="宋体"/>
                <w:kern w:val="0"/>
                <w:sz w:val="24"/>
                <w:szCs w:val="24"/>
              </w:rPr>
              <w:t>空调外机型号：MDS440FR5-FV</w:t>
            </w:r>
          </w:p>
        </w:tc>
        <w:tc>
          <w:tcPr>
            <w:tcW w:w="1132" w:type="pct"/>
            <w:noWrap w:val="0"/>
            <w:vAlign w:val="center"/>
          </w:tcPr>
          <w:p w14:paraId="4B6FB1E3">
            <w:pPr>
              <w:jc w:val="center"/>
              <w:rPr>
                <w:rFonts w:hint="eastAsia" w:ascii="宋体" w:hAnsi="宋体" w:eastAsia="宋体" w:cs="宋体"/>
                <w:kern w:val="0"/>
                <w:sz w:val="24"/>
                <w:szCs w:val="24"/>
              </w:rPr>
            </w:pPr>
            <w:r>
              <w:rPr>
                <w:rFonts w:hint="eastAsia" w:ascii="宋体" w:hAnsi="宋体" w:eastAsia="宋体" w:cs="宋体"/>
                <w:kern w:val="0"/>
                <w:sz w:val="24"/>
                <w:szCs w:val="24"/>
              </w:rPr>
              <w:t>8</w:t>
            </w:r>
          </w:p>
        </w:tc>
        <w:tc>
          <w:tcPr>
            <w:tcW w:w="942" w:type="pct"/>
            <w:noWrap w:val="0"/>
            <w:vAlign w:val="center"/>
          </w:tcPr>
          <w:p w14:paraId="5B259F56">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38F08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center"/>
          </w:tcPr>
          <w:p w14:paraId="0E135E0A">
            <w:pPr>
              <w:jc w:val="center"/>
              <w:rPr>
                <w:rFonts w:hint="eastAsia" w:ascii="宋体" w:hAnsi="宋体" w:eastAsia="宋体" w:cs="宋体"/>
                <w:kern w:val="0"/>
                <w:sz w:val="24"/>
                <w:szCs w:val="24"/>
              </w:rPr>
            </w:pPr>
            <w:r>
              <w:rPr>
                <w:rFonts w:hint="eastAsia" w:ascii="宋体" w:hAnsi="宋体" w:eastAsia="宋体" w:cs="宋体"/>
                <w:kern w:val="0"/>
                <w:sz w:val="24"/>
                <w:szCs w:val="24"/>
              </w:rPr>
              <w:t>12</w:t>
            </w:r>
          </w:p>
        </w:tc>
        <w:tc>
          <w:tcPr>
            <w:tcW w:w="2254" w:type="pct"/>
            <w:noWrap w:val="0"/>
            <w:vAlign w:val="center"/>
          </w:tcPr>
          <w:p w14:paraId="0CD7AAD1">
            <w:pPr>
              <w:jc w:val="center"/>
              <w:rPr>
                <w:rFonts w:hint="eastAsia" w:ascii="宋体" w:hAnsi="宋体" w:eastAsia="宋体" w:cs="宋体"/>
                <w:b/>
                <w:sz w:val="24"/>
                <w:szCs w:val="24"/>
              </w:rPr>
            </w:pPr>
            <w:r>
              <w:rPr>
                <w:rFonts w:hint="eastAsia" w:ascii="宋体" w:hAnsi="宋体" w:eastAsia="宋体" w:cs="宋体"/>
                <w:kern w:val="0"/>
                <w:sz w:val="24"/>
                <w:szCs w:val="24"/>
              </w:rPr>
              <w:t>空调内机型号：MCKW500V</w:t>
            </w:r>
          </w:p>
        </w:tc>
        <w:tc>
          <w:tcPr>
            <w:tcW w:w="1132" w:type="pct"/>
            <w:noWrap w:val="0"/>
            <w:vAlign w:val="center"/>
          </w:tcPr>
          <w:p w14:paraId="07CD89C9">
            <w:pPr>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942" w:type="pct"/>
            <w:noWrap w:val="0"/>
            <w:vAlign w:val="center"/>
          </w:tcPr>
          <w:p w14:paraId="56344919">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18409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center"/>
          </w:tcPr>
          <w:p w14:paraId="173AB22B">
            <w:pPr>
              <w:jc w:val="center"/>
              <w:rPr>
                <w:rFonts w:hint="eastAsia" w:ascii="宋体" w:hAnsi="宋体" w:eastAsia="宋体" w:cs="宋体"/>
                <w:kern w:val="0"/>
                <w:sz w:val="24"/>
                <w:szCs w:val="24"/>
              </w:rPr>
            </w:pPr>
            <w:r>
              <w:rPr>
                <w:rFonts w:hint="eastAsia" w:ascii="宋体" w:hAnsi="宋体" w:eastAsia="宋体" w:cs="宋体"/>
                <w:kern w:val="0"/>
                <w:sz w:val="24"/>
                <w:szCs w:val="24"/>
              </w:rPr>
              <w:t>13</w:t>
            </w:r>
          </w:p>
        </w:tc>
        <w:tc>
          <w:tcPr>
            <w:tcW w:w="2254" w:type="pct"/>
            <w:noWrap w:val="0"/>
            <w:vAlign w:val="center"/>
          </w:tcPr>
          <w:p w14:paraId="7422BFCD">
            <w:pPr>
              <w:jc w:val="center"/>
              <w:rPr>
                <w:rFonts w:hint="eastAsia" w:ascii="宋体" w:hAnsi="宋体" w:eastAsia="宋体" w:cs="宋体"/>
                <w:kern w:val="0"/>
                <w:sz w:val="24"/>
                <w:szCs w:val="24"/>
              </w:rPr>
            </w:pPr>
            <w:r>
              <w:rPr>
                <w:rFonts w:hint="eastAsia" w:ascii="宋体" w:hAnsi="宋体" w:eastAsia="宋体" w:cs="宋体"/>
                <w:kern w:val="0"/>
                <w:sz w:val="24"/>
                <w:szCs w:val="24"/>
              </w:rPr>
              <w:t>空调内机型号：MCKW800V</w:t>
            </w:r>
          </w:p>
        </w:tc>
        <w:tc>
          <w:tcPr>
            <w:tcW w:w="1132" w:type="pct"/>
            <w:noWrap w:val="0"/>
            <w:vAlign w:val="center"/>
          </w:tcPr>
          <w:p w14:paraId="06773EEC">
            <w:pPr>
              <w:jc w:val="center"/>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942" w:type="pct"/>
            <w:noWrap w:val="0"/>
            <w:vAlign w:val="center"/>
          </w:tcPr>
          <w:p w14:paraId="16EF11A2">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30AA2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center"/>
          </w:tcPr>
          <w:p w14:paraId="41889D8B">
            <w:pPr>
              <w:jc w:val="center"/>
              <w:rPr>
                <w:rFonts w:hint="eastAsia" w:ascii="宋体" w:hAnsi="宋体" w:eastAsia="宋体" w:cs="宋体"/>
                <w:kern w:val="0"/>
                <w:sz w:val="24"/>
                <w:szCs w:val="24"/>
              </w:rPr>
            </w:pPr>
            <w:r>
              <w:rPr>
                <w:rFonts w:hint="eastAsia" w:ascii="宋体" w:hAnsi="宋体" w:eastAsia="宋体" w:cs="宋体"/>
                <w:kern w:val="0"/>
                <w:sz w:val="24"/>
                <w:szCs w:val="24"/>
              </w:rPr>
              <w:t>14</w:t>
            </w:r>
          </w:p>
        </w:tc>
        <w:tc>
          <w:tcPr>
            <w:tcW w:w="2254" w:type="pct"/>
            <w:noWrap w:val="0"/>
            <w:vAlign w:val="center"/>
          </w:tcPr>
          <w:p w14:paraId="4B8906F8">
            <w:pPr>
              <w:jc w:val="center"/>
              <w:rPr>
                <w:rFonts w:hint="eastAsia" w:ascii="宋体" w:hAnsi="宋体" w:eastAsia="宋体" w:cs="宋体"/>
                <w:kern w:val="0"/>
                <w:sz w:val="24"/>
                <w:szCs w:val="24"/>
              </w:rPr>
            </w:pPr>
            <w:r>
              <w:rPr>
                <w:rFonts w:hint="eastAsia" w:ascii="宋体" w:hAnsi="宋体" w:eastAsia="宋体" w:cs="宋体"/>
                <w:kern w:val="0"/>
                <w:sz w:val="24"/>
                <w:szCs w:val="24"/>
              </w:rPr>
              <w:t>空调内机型号：MCKW1000V</w:t>
            </w:r>
          </w:p>
        </w:tc>
        <w:tc>
          <w:tcPr>
            <w:tcW w:w="1132" w:type="pct"/>
            <w:noWrap w:val="0"/>
            <w:vAlign w:val="center"/>
          </w:tcPr>
          <w:p w14:paraId="5EB6AEA4">
            <w:pPr>
              <w:jc w:val="center"/>
              <w:rPr>
                <w:rFonts w:hint="eastAsia" w:ascii="宋体" w:hAnsi="宋体" w:eastAsia="宋体" w:cs="宋体"/>
                <w:kern w:val="0"/>
                <w:sz w:val="24"/>
                <w:szCs w:val="24"/>
              </w:rPr>
            </w:pPr>
            <w:r>
              <w:rPr>
                <w:rFonts w:hint="eastAsia" w:ascii="宋体" w:hAnsi="宋体" w:eastAsia="宋体" w:cs="宋体"/>
                <w:kern w:val="0"/>
                <w:sz w:val="24"/>
                <w:szCs w:val="24"/>
              </w:rPr>
              <w:t>23</w:t>
            </w:r>
          </w:p>
        </w:tc>
        <w:tc>
          <w:tcPr>
            <w:tcW w:w="942" w:type="pct"/>
            <w:noWrap w:val="0"/>
            <w:vAlign w:val="center"/>
          </w:tcPr>
          <w:p w14:paraId="73D94A59">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0AED3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center"/>
          </w:tcPr>
          <w:p w14:paraId="0A174408">
            <w:pPr>
              <w:jc w:val="center"/>
              <w:rPr>
                <w:rFonts w:hint="eastAsia" w:ascii="宋体" w:hAnsi="宋体" w:eastAsia="宋体" w:cs="宋体"/>
                <w:kern w:val="0"/>
                <w:sz w:val="24"/>
                <w:szCs w:val="24"/>
              </w:rPr>
            </w:pPr>
            <w:r>
              <w:rPr>
                <w:rFonts w:hint="eastAsia" w:ascii="宋体" w:hAnsi="宋体" w:eastAsia="宋体" w:cs="宋体"/>
                <w:kern w:val="0"/>
                <w:sz w:val="24"/>
                <w:szCs w:val="24"/>
              </w:rPr>
              <w:t>15</w:t>
            </w:r>
          </w:p>
        </w:tc>
        <w:tc>
          <w:tcPr>
            <w:tcW w:w="2254" w:type="pct"/>
            <w:noWrap w:val="0"/>
            <w:vAlign w:val="center"/>
          </w:tcPr>
          <w:p w14:paraId="3E785FC3">
            <w:pPr>
              <w:jc w:val="center"/>
              <w:rPr>
                <w:rFonts w:hint="eastAsia" w:ascii="宋体" w:hAnsi="宋体" w:eastAsia="宋体" w:cs="宋体"/>
                <w:kern w:val="0"/>
                <w:sz w:val="24"/>
                <w:szCs w:val="24"/>
              </w:rPr>
            </w:pPr>
            <w:r>
              <w:rPr>
                <w:rFonts w:hint="eastAsia" w:ascii="宋体" w:hAnsi="宋体" w:eastAsia="宋体" w:cs="宋体"/>
                <w:kern w:val="0"/>
                <w:sz w:val="24"/>
                <w:szCs w:val="24"/>
              </w:rPr>
              <w:t>空调内机型号：MCKW1200V</w:t>
            </w:r>
          </w:p>
        </w:tc>
        <w:tc>
          <w:tcPr>
            <w:tcW w:w="1132" w:type="pct"/>
            <w:noWrap w:val="0"/>
            <w:vAlign w:val="center"/>
          </w:tcPr>
          <w:p w14:paraId="4717FE82">
            <w:pPr>
              <w:jc w:val="center"/>
              <w:rPr>
                <w:rFonts w:hint="eastAsia" w:ascii="宋体" w:hAnsi="宋体" w:eastAsia="宋体" w:cs="宋体"/>
                <w:kern w:val="0"/>
                <w:sz w:val="24"/>
                <w:szCs w:val="24"/>
              </w:rPr>
            </w:pPr>
            <w:r>
              <w:rPr>
                <w:rFonts w:hint="eastAsia" w:ascii="宋体" w:hAnsi="宋体" w:eastAsia="宋体" w:cs="宋体"/>
                <w:kern w:val="0"/>
                <w:sz w:val="24"/>
                <w:szCs w:val="24"/>
              </w:rPr>
              <w:t>11</w:t>
            </w:r>
          </w:p>
        </w:tc>
        <w:tc>
          <w:tcPr>
            <w:tcW w:w="942" w:type="pct"/>
            <w:noWrap w:val="0"/>
            <w:vAlign w:val="center"/>
          </w:tcPr>
          <w:p w14:paraId="17665CBB">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24FA8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center"/>
          </w:tcPr>
          <w:p w14:paraId="38F642F1">
            <w:pPr>
              <w:jc w:val="center"/>
              <w:rPr>
                <w:rFonts w:hint="eastAsia" w:ascii="宋体" w:hAnsi="宋体" w:eastAsia="宋体" w:cs="宋体"/>
                <w:kern w:val="0"/>
                <w:sz w:val="24"/>
                <w:szCs w:val="24"/>
              </w:rPr>
            </w:pPr>
            <w:r>
              <w:rPr>
                <w:rFonts w:hint="eastAsia" w:ascii="宋体" w:hAnsi="宋体" w:eastAsia="宋体" w:cs="宋体"/>
                <w:kern w:val="0"/>
                <w:sz w:val="24"/>
                <w:szCs w:val="24"/>
              </w:rPr>
              <w:t>16</w:t>
            </w:r>
          </w:p>
        </w:tc>
        <w:tc>
          <w:tcPr>
            <w:tcW w:w="2254" w:type="pct"/>
            <w:noWrap w:val="0"/>
            <w:vAlign w:val="center"/>
          </w:tcPr>
          <w:p w14:paraId="5E56A620">
            <w:pPr>
              <w:jc w:val="center"/>
              <w:rPr>
                <w:rFonts w:hint="eastAsia" w:ascii="宋体" w:hAnsi="宋体" w:eastAsia="宋体" w:cs="宋体"/>
                <w:kern w:val="0"/>
                <w:sz w:val="24"/>
                <w:szCs w:val="24"/>
              </w:rPr>
            </w:pPr>
            <w:r>
              <w:rPr>
                <w:rFonts w:hint="eastAsia" w:ascii="宋体" w:hAnsi="宋体" w:eastAsia="宋体" w:cs="宋体"/>
                <w:kern w:val="0"/>
                <w:sz w:val="24"/>
                <w:szCs w:val="24"/>
              </w:rPr>
              <w:t>空调内机型号：MCW700VC</w:t>
            </w:r>
          </w:p>
        </w:tc>
        <w:tc>
          <w:tcPr>
            <w:tcW w:w="1132" w:type="pct"/>
            <w:noWrap w:val="0"/>
            <w:vAlign w:val="center"/>
          </w:tcPr>
          <w:p w14:paraId="11B8175D">
            <w:pPr>
              <w:jc w:val="center"/>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942" w:type="pct"/>
            <w:noWrap w:val="0"/>
            <w:vAlign w:val="center"/>
          </w:tcPr>
          <w:p w14:paraId="40CBBD11">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1F7CE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center"/>
          </w:tcPr>
          <w:p w14:paraId="7864389C">
            <w:pPr>
              <w:jc w:val="center"/>
              <w:rPr>
                <w:rFonts w:hint="eastAsia" w:ascii="宋体" w:hAnsi="宋体" w:eastAsia="宋体" w:cs="宋体"/>
                <w:kern w:val="0"/>
                <w:sz w:val="24"/>
                <w:szCs w:val="24"/>
              </w:rPr>
            </w:pPr>
            <w:r>
              <w:rPr>
                <w:rFonts w:hint="eastAsia" w:ascii="宋体" w:hAnsi="宋体" w:eastAsia="宋体" w:cs="宋体"/>
                <w:kern w:val="0"/>
                <w:sz w:val="24"/>
                <w:szCs w:val="24"/>
              </w:rPr>
              <w:t>17</w:t>
            </w:r>
          </w:p>
        </w:tc>
        <w:tc>
          <w:tcPr>
            <w:tcW w:w="2254" w:type="pct"/>
            <w:noWrap w:val="0"/>
            <w:vAlign w:val="center"/>
          </w:tcPr>
          <w:p w14:paraId="20798F69">
            <w:pPr>
              <w:jc w:val="center"/>
              <w:rPr>
                <w:rFonts w:hint="eastAsia" w:ascii="宋体" w:hAnsi="宋体" w:eastAsia="宋体" w:cs="宋体"/>
                <w:kern w:val="0"/>
                <w:sz w:val="24"/>
                <w:szCs w:val="24"/>
              </w:rPr>
            </w:pPr>
            <w:r>
              <w:rPr>
                <w:rFonts w:hint="eastAsia" w:ascii="宋体" w:hAnsi="宋体" w:eastAsia="宋体" w:cs="宋体"/>
                <w:kern w:val="0"/>
                <w:sz w:val="24"/>
                <w:szCs w:val="24"/>
              </w:rPr>
              <w:t>空调内机型号：MCW800VC</w:t>
            </w:r>
          </w:p>
        </w:tc>
        <w:tc>
          <w:tcPr>
            <w:tcW w:w="1132" w:type="pct"/>
            <w:noWrap w:val="0"/>
            <w:vAlign w:val="center"/>
          </w:tcPr>
          <w:p w14:paraId="34D3E959">
            <w:pPr>
              <w:jc w:val="center"/>
              <w:rPr>
                <w:rFonts w:hint="eastAsia" w:ascii="宋体" w:hAnsi="宋体" w:eastAsia="宋体" w:cs="宋体"/>
                <w:kern w:val="0"/>
                <w:sz w:val="24"/>
                <w:szCs w:val="24"/>
              </w:rPr>
            </w:pPr>
            <w:r>
              <w:rPr>
                <w:rFonts w:hint="eastAsia" w:ascii="宋体" w:hAnsi="宋体" w:eastAsia="宋体" w:cs="宋体"/>
                <w:kern w:val="0"/>
                <w:sz w:val="24"/>
                <w:szCs w:val="24"/>
              </w:rPr>
              <w:t>10</w:t>
            </w:r>
          </w:p>
        </w:tc>
        <w:tc>
          <w:tcPr>
            <w:tcW w:w="942" w:type="pct"/>
            <w:noWrap w:val="0"/>
            <w:vAlign w:val="center"/>
          </w:tcPr>
          <w:p w14:paraId="384C70E3">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7A9D3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center"/>
          </w:tcPr>
          <w:p w14:paraId="127B686C">
            <w:pPr>
              <w:jc w:val="center"/>
              <w:rPr>
                <w:rFonts w:hint="eastAsia" w:ascii="宋体" w:hAnsi="宋体" w:eastAsia="宋体" w:cs="宋体"/>
                <w:kern w:val="0"/>
                <w:sz w:val="24"/>
                <w:szCs w:val="24"/>
              </w:rPr>
            </w:pPr>
            <w:r>
              <w:rPr>
                <w:rFonts w:hint="eastAsia" w:ascii="宋体" w:hAnsi="宋体" w:eastAsia="宋体" w:cs="宋体"/>
                <w:kern w:val="0"/>
                <w:sz w:val="24"/>
                <w:szCs w:val="24"/>
              </w:rPr>
              <w:t>18</w:t>
            </w:r>
          </w:p>
        </w:tc>
        <w:tc>
          <w:tcPr>
            <w:tcW w:w="2254" w:type="pct"/>
            <w:noWrap w:val="0"/>
            <w:vAlign w:val="center"/>
          </w:tcPr>
          <w:p w14:paraId="112BF76B">
            <w:pPr>
              <w:jc w:val="center"/>
              <w:rPr>
                <w:rFonts w:hint="eastAsia" w:ascii="宋体" w:hAnsi="宋体" w:eastAsia="宋体" w:cs="宋体"/>
                <w:kern w:val="0"/>
                <w:sz w:val="24"/>
                <w:szCs w:val="24"/>
              </w:rPr>
            </w:pPr>
            <w:r>
              <w:rPr>
                <w:rFonts w:hint="eastAsia" w:ascii="宋体" w:hAnsi="宋体" w:eastAsia="宋体" w:cs="宋体"/>
                <w:kern w:val="0"/>
                <w:sz w:val="24"/>
                <w:szCs w:val="24"/>
              </w:rPr>
              <w:t>空调内机型号：MCC036EP</w:t>
            </w:r>
          </w:p>
        </w:tc>
        <w:tc>
          <w:tcPr>
            <w:tcW w:w="1132" w:type="pct"/>
            <w:noWrap w:val="0"/>
            <w:vAlign w:val="center"/>
          </w:tcPr>
          <w:p w14:paraId="50319C2F">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72</w:t>
            </w:r>
          </w:p>
        </w:tc>
        <w:tc>
          <w:tcPr>
            <w:tcW w:w="942" w:type="pct"/>
            <w:noWrap w:val="0"/>
            <w:vAlign w:val="center"/>
          </w:tcPr>
          <w:p w14:paraId="638EBA21">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164A3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center"/>
          </w:tcPr>
          <w:p w14:paraId="2960B4D0">
            <w:pPr>
              <w:jc w:val="center"/>
              <w:rPr>
                <w:rFonts w:hint="eastAsia" w:ascii="宋体" w:hAnsi="宋体" w:eastAsia="宋体" w:cs="宋体"/>
                <w:kern w:val="0"/>
                <w:sz w:val="24"/>
                <w:szCs w:val="24"/>
              </w:rPr>
            </w:pPr>
            <w:r>
              <w:rPr>
                <w:rFonts w:hint="eastAsia" w:ascii="宋体" w:hAnsi="宋体" w:eastAsia="宋体" w:cs="宋体"/>
                <w:kern w:val="0"/>
                <w:sz w:val="24"/>
                <w:szCs w:val="24"/>
              </w:rPr>
              <w:t>19</w:t>
            </w:r>
          </w:p>
        </w:tc>
        <w:tc>
          <w:tcPr>
            <w:tcW w:w="2254" w:type="pct"/>
            <w:noWrap w:val="0"/>
            <w:vAlign w:val="center"/>
          </w:tcPr>
          <w:p w14:paraId="65CB1B48">
            <w:pPr>
              <w:jc w:val="center"/>
              <w:rPr>
                <w:rFonts w:hint="eastAsia" w:ascii="宋体" w:hAnsi="宋体" w:eastAsia="宋体" w:cs="宋体"/>
                <w:kern w:val="0"/>
                <w:sz w:val="24"/>
                <w:szCs w:val="24"/>
              </w:rPr>
            </w:pPr>
            <w:r>
              <w:rPr>
                <w:rFonts w:hint="eastAsia" w:ascii="宋体" w:hAnsi="宋体" w:eastAsia="宋体" w:cs="宋体"/>
                <w:kern w:val="0"/>
                <w:sz w:val="24"/>
                <w:szCs w:val="24"/>
              </w:rPr>
              <w:t>空调内机型号：MCC050EP</w:t>
            </w:r>
          </w:p>
        </w:tc>
        <w:tc>
          <w:tcPr>
            <w:tcW w:w="1132" w:type="pct"/>
            <w:noWrap w:val="0"/>
            <w:vAlign w:val="center"/>
          </w:tcPr>
          <w:p w14:paraId="6810D1B7">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105</w:t>
            </w:r>
          </w:p>
        </w:tc>
        <w:tc>
          <w:tcPr>
            <w:tcW w:w="942" w:type="pct"/>
            <w:noWrap w:val="0"/>
            <w:vAlign w:val="center"/>
          </w:tcPr>
          <w:p w14:paraId="41C24021">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163D5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center"/>
          </w:tcPr>
          <w:p w14:paraId="52F521BE">
            <w:pPr>
              <w:jc w:val="center"/>
              <w:rPr>
                <w:rFonts w:hint="eastAsia" w:ascii="宋体" w:hAnsi="宋体" w:eastAsia="宋体" w:cs="宋体"/>
                <w:kern w:val="0"/>
                <w:sz w:val="24"/>
                <w:szCs w:val="24"/>
              </w:rPr>
            </w:pPr>
            <w:r>
              <w:rPr>
                <w:rFonts w:hint="eastAsia" w:ascii="宋体" w:hAnsi="宋体" w:eastAsia="宋体" w:cs="宋体"/>
                <w:kern w:val="0"/>
                <w:sz w:val="24"/>
                <w:szCs w:val="24"/>
              </w:rPr>
              <w:t>20</w:t>
            </w:r>
          </w:p>
        </w:tc>
        <w:tc>
          <w:tcPr>
            <w:tcW w:w="2254" w:type="pct"/>
            <w:noWrap w:val="0"/>
            <w:vAlign w:val="center"/>
          </w:tcPr>
          <w:p w14:paraId="007A0C25">
            <w:pPr>
              <w:jc w:val="center"/>
              <w:rPr>
                <w:rFonts w:hint="eastAsia" w:ascii="宋体" w:hAnsi="宋体" w:eastAsia="宋体" w:cs="宋体"/>
                <w:kern w:val="0"/>
                <w:sz w:val="24"/>
                <w:szCs w:val="24"/>
              </w:rPr>
            </w:pPr>
            <w:r>
              <w:rPr>
                <w:rFonts w:hint="eastAsia" w:ascii="宋体" w:hAnsi="宋体" w:eastAsia="宋体" w:cs="宋体"/>
                <w:kern w:val="0"/>
                <w:sz w:val="24"/>
                <w:szCs w:val="24"/>
              </w:rPr>
              <w:t>空调内机型号：MCC056EP</w:t>
            </w:r>
          </w:p>
        </w:tc>
        <w:tc>
          <w:tcPr>
            <w:tcW w:w="1132" w:type="pct"/>
            <w:noWrap w:val="0"/>
            <w:vAlign w:val="center"/>
          </w:tcPr>
          <w:p w14:paraId="1D16DE77">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40</w:t>
            </w:r>
          </w:p>
        </w:tc>
        <w:tc>
          <w:tcPr>
            <w:tcW w:w="942" w:type="pct"/>
            <w:noWrap w:val="0"/>
            <w:vAlign w:val="center"/>
          </w:tcPr>
          <w:p w14:paraId="6EB51475">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5F9CB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center"/>
          </w:tcPr>
          <w:p w14:paraId="49DE43DB">
            <w:pPr>
              <w:jc w:val="center"/>
              <w:rPr>
                <w:rFonts w:hint="eastAsia" w:ascii="宋体" w:hAnsi="宋体" w:eastAsia="宋体" w:cs="宋体"/>
                <w:kern w:val="0"/>
                <w:sz w:val="24"/>
                <w:szCs w:val="24"/>
              </w:rPr>
            </w:pPr>
            <w:r>
              <w:rPr>
                <w:rFonts w:hint="eastAsia" w:ascii="宋体" w:hAnsi="宋体" w:eastAsia="宋体" w:cs="宋体"/>
                <w:kern w:val="0"/>
                <w:sz w:val="24"/>
                <w:szCs w:val="24"/>
              </w:rPr>
              <w:t>21</w:t>
            </w:r>
          </w:p>
        </w:tc>
        <w:tc>
          <w:tcPr>
            <w:tcW w:w="2254" w:type="pct"/>
            <w:noWrap w:val="0"/>
            <w:vAlign w:val="center"/>
          </w:tcPr>
          <w:p w14:paraId="2F2BDF37">
            <w:pPr>
              <w:jc w:val="center"/>
              <w:rPr>
                <w:rFonts w:hint="eastAsia" w:ascii="宋体" w:hAnsi="宋体" w:eastAsia="宋体" w:cs="宋体"/>
                <w:kern w:val="0"/>
                <w:sz w:val="24"/>
                <w:szCs w:val="24"/>
              </w:rPr>
            </w:pPr>
            <w:r>
              <w:rPr>
                <w:rFonts w:hint="eastAsia" w:ascii="宋体" w:hAnsi="宋体" w:eastAsia="宋体" w:cs="宋体"/>
                <w:kern w:val="0"/>
                <w:sz w:val="24"/>
                <w:szCs w:val="24"/>
              </w:rPr>
              <w:t>空调内机型号：MCC071EP</w:t>
            </w:r>
          </w:p>
        </w:tc>
        <w:tc>
          <w:tcPr>
            <w:tcW w:w="1132" w:type="pct"/>
            <w:noWrap w:val="0"/>
            <w:vAlign w:val="center"/>
          </w:tcPr>
          <w:p w14:paraId="51C5B11E">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66</w:t>
            </w:r>
          </w:p>
        </w:tc>
        <w:tc>
          <w:tcPr>
            <w:tcW w:w="942" w:type="pct"/>
            <w:noWrap w:val="0"/>
            <w:vAlign w:val="center"/>
          </w:tcPr>
          <w:p w14:paraId="64178435">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57E67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center"/>
          </w:tcPr>
          <w:p w14:paraId="6BC878C4">
            <w:pPr>
              <w:jc w:val="center"/>
              <w:rPr>
                <w:rFonts w:hint="eastAsia" w:ascii="宋体" w:hAnsi="宋体" w:eastAsia="宋体" w:cs="宋体"/>
                <w:kern w:val="0"/>
                <w:sz w:val="24"/>
                <w:szCs w:val="24"/>
              </w:rPr>
            </w:pPr>
            <w:r>
              <w:rPr>
                <w:rFonts w:hint="eastAsia" w:ascii="宋体" w:hAnsi="宋体" w:eastAsia="宋体" w:cs="宋体"/>
                <w:kern w:val="0"/>
                <w:sz w:val="24"/>
                <w:szCs w:val="24"/>
              </w:rPr>
              <w:t>22</w:t>
            </w:r>
          </w:p>
        </w:tc>
        <w:tc>
          <w:tcPr>
            <w:tcW w:w="2254" w:type="pct"/>
            <w:noWrap w:val="0"/>
            <w:vAlign w:val="center"/>
          </w:tcPr>
          <w:p w14:paraId="00E8DCA2">
            <w:pPr>
              <w:jc w:val="center"/>
              <w:rPr>
                <w:rFonts w:hint="eastAsia" w:ascii="宋体" w:hAnsi="宋体" w:eastAsia="宋体" w:cs="宋体"/>
                <w:kern w:val="0"/>
                <w:sz w:val="24"/>
                <w:szCs w:val="24"/>
              </w:rPr>
            </w:pPr>
            <w:r>
              <w:rPr>
                <w:rFonts w:hint="eastAsia" w:ascii="宋体" w:hAnsi="宋体" w:eastAsia="宋体" w:cs="宋体"/>
                <w:kern w:val="0"/>
                <w:sz w:val="24"/>
                <w:szCs w:val="24"/>
              </w:rPr>
              <w:t>空调内机型号：MCC080EP</w:t>
            </w:r>
          </w:p>
        </w:tc>
        <w:tc>
          <w:tcPr>
            <w:tcW w:w="1132" w:type="pct"/>
            <w:noWrap w:val="0"/>
            <w:vAlign w:val="center"/>
          </w:tcPr>
          <w:p w14:paraId="069CB402">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56</w:t>
            </w:r>
          </w:p>
        </w:tc>
        <w:tc>
          <w:tcPr>
            <w:tcW w:w="942" w:type="pct"/>
            <w:noWrap w:val="0"/>
            <w:vAlign w:val="center"/>
          </w:tcPr>
          <w:p w14:paraId="50A973CA">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6CFD4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center"/>
          </w:tcPr>
          <w:p w14:paraId="561FF796">
            <w:pPr>
              <w:jc w:val="center"/>
              <w:rPr>
                <w:rFonts w:hint="eastAsia" w:ascii="宋体" w:hAnsi="宋体" w:eastAsia="宋体" w:cs="宋体"/>
                <w:kern w:val="0"/>
                <w:sz w:val="24"/>
                <w:szCs w:val="24"/>
              </w:rPr>
            </w:pPr>
            <w:r>
              <w:rPr>
                <w:rFonts w:hint="eastAsia" w:ascii="宋体" w:hAnsi="宋体" w:eastAsia="宋体" w:cs="宋体"/>
                <w:kern w:val="0"/>
                <w:sz w:val="24"/>
                <w:szCs w:val="24"/>
              </w:rPr>
              <w:t>23</w:t>
            </w:r>
          </w:p>
        </w:tc>
        <w:tc>
          <w:tcPr>
            <w:tcW w:w="2254" w:type="pct"/>
            <w:noWrap w:val="0"/>
            <w:vAlign w:val="center"/>
          </w:tcPr>
          <w:p w14:paraId="79CE9EC8">
            <w:pPr>
              <w:jc w:val="center"/>
              <w:rPr>
                <w:rFonts w:hint="eastAsia" w:ascii="宋体" w:hAnsi="宋体" w:eastAsia="宋体" w:cs="宋体"/>
                <w:kern w:val="0"/>
                <w:sz w:val="24"/>
                <w:szCs w:val="24"/>
              </w:rPr>
            </w:pPr>
            <w:r>
              <w:rPr>
                <w:rFonts w:hint="eastAsia" w:ascii="宋体" w:hAnsi="宋体" w:eastAsia="宋体" w:cs="宋体"/>
                <w:kern w:val="0"/>
                <w:sz w:val="24"/>
                <w:szCs w:val="24"/>
              </w:rPr>
              <w:t>空调内机型号：MCC090VP</w:t>
            </w:r>
          </w:p>
        </w:tc>
        <w:tc>
          <w:tcPr>
            <w:tcW w:w="1132" w:type="pct"/>
            <w:noWrap w:val="0"/>
            <w:vAlign w:val="center"/>
          </w:tcPr>
          <w:p w14:paraId="3C08BCC8">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38</w:t>
            </w:r>
          </w:p>
        </w:tc>
        <w:tc>
          <w:tcPr>
            <w:tcW w:w="942" w:type="pct"/>
            <w:noWrap w:val="0"/>
            <w:vAlign w:val="center"/>
          </w:tcPr>
          <w:p w14:paraId="7D40141B">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5A235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center"/>
          </w:tcPr>
          <w:p w14:paraId="554E666D">
            <w:pPr>
              <w:jc w:val="center"/>
              <w:rPr>
                <w:rFonts w:hint="eastAsia" w:ascii="宋体" w:hAnsi="宋体" w:eastAsia="宋体" w:cs="宋体"/>
                <w:kern w:val="0"/>
                <w:sz w:val="24"/>
                <w:szCs w:val="24"/>
              </w:rPr>
            </w:pPr>
            <w:r>
              <w:rPr>
                <w:rFonts w:hint="eastAsia" w:ascii="宋体" w:hAnsi="宋体" w:eastAsia="宋体" w:cs="宋体"/>
                <w:kern w:val="0"/>
                <w:sz w:val="24"/>
                <w:szCs w:val="24"/>
              </w:rPr>
              <w:t>24</w:t>
            </w:r>
          </w:p>
        </w:tc>
        <w:tc>
          <w:tcPr>
            <w:tcW w:w="2254" w:type="pct"/>
            <w:noWrap w:val="0"/>
            <w:vAlign w:val="center"/>
          </w:tcPr>
          <w:p w14:paraId="5942A9CB">
            <w:pPr>
              <w:jc w:val="center"/>
              <w:rPr>
                <w:rFonts w:hint="eastAsia" w:ascii="宋体" w:hAnsi="宋体" w:eastAsia="宋体" w:cs="宋体"/>
                <w:kern w:val="0"/>
                <w:sz w:val="24"/>
                <w:szCs w:val="24"/>
              </w:rPr>
            </w:pPr>
            <w:r>
              <w:rPr>
                <w:rFonts w:hint="eastAsia" w:ascii="宋体" w:hAnsi="宋体" w:eastAsia="宋体" w:cs="宋体"/>
                <w:kern w:val="0"/>
                <w:sz w:val="24"/>
                <w:szCs w:val="24"/>
              </w:rPr>
              <w:t>空调内机型号：MCC100VP</w:t>
            </w:r>
          </w:p>
        </w:tc>
        <w:tc>
          <w:tcPr>
            <w:tcW w:w="1132" w:type="pct"/>
            <w:noWrap w:val="0"/>
            <w:vAlign w:val="center"/>
          </w:tcPr>
          <w:p w14:paraId="0F415524">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27</w:t>
            </w:r>
          </w:p>
        </w:tc>
        <w:tc>
          <w:tcPr>
            <w:tcW w:w="942" w:type="pct"/>
            <w:noWrap w:val="0"/>
            <w:vAlign w:val="center"/>
          </w:tcPr>
          <w:p w14:paraId="7EB7D402">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5DFF9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center"/>
          </w:tcPr>
          <w:p w14:paraId="26FA0C9F">
            <w:pPr>
              <w:jc w:val="center"/>
              <w:rPr>
                <w:rFonts w:hint="eastAsia" w:ascii="宋体" w:hAnsi="宋体" w:eastAsia="宋体" w:cs="宋体"/>
                <w:kern w:val="0"/>
                <w:sz w:val="24"/>
                <w:szCs w:val="24"/>
              </w:rPr>
            </w:pPr>
            <w:r>
              <w:rPr>
                <w:rFonts w:hint="eastAsia" w:ascii="宋体" w:hAnsi="宋体" w:eastAsia="宋体" w:cs="宋体"/>
                <w:kern w:val="0"/>
                <w:sz w:val="24"/>
                <w:szCs w:val="24"/>
              </w:rPr>
              <w:t>25</w:t>
            </w:r>
          </w:p>
        </w:tc>
        <w:tc>
          <w:tcPr>
            <w:tcW w:w="2254" w:type="pct"/>
            <w:noWrap w:val="0"/>
            <w:vAlign w:val="center"/>
          </w:tcPr>
          <w:p w14:paraId="6EE9937A">
            <w:pPr>
              <w:jc w:val="center"/>
              <w:rPr>
                <w:rFonts w:hint="eastAsia" w:ascii="宋体" w:hAnsi="宋体" w:eastAsia="宋体" w:cs="宋体"/>
                <w:kern w:val="0"/>
                <w:sz w:val="24"/>
                <w:szCs w:val="24"/>
              </w:rPr>
            </w:pPr>
            <w:r>
              <w:rPr>
                <w:rFonts w:hint="eastAsia" w:ascii="宋体" w:hAnsi="宋体" w:eastAsia="宋体" w:cs="宋体"/>
                <w:kern w:val="0"/>
                <w:sz w:val="24"/>
                <w:szCs w:val="24"/>
              </w:rPr>
              <w:t>空调内机型号：MCC112VP</w:t>
            </w:r>
          </w:p>
        </w:tc>
        <w:tc>
          <w:tcPr>
            <w:tcW w:w="1132" w:type="pct"/>
            <w:noWrap w:val="0"/>
            <w:vAlign w:val="center"/>
          </w:tcPr>
          <w:p w14:paraId="45FC8EE5">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11</w:t>
            </w:r>
          </w:p>
        </w:tc>
        <w:tc>
          <w:tcPr>
            <w:tcW w:w="942" w:type="pct"/>
            <w:noWrap w:val="0"/>
            <w:vAlign w:val="center"/>
          </w:tcPr>
          <w:p w14:paraId="3BA02317">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24921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center"/>
          </w:tcPr>
          <w:p w14:paraId="0D4E69AC">
            <w:pPr>
              <w:jc w:val="center"/>
              <w:rPr>
                <w:rFonts w:hint="eastAsia" w:ascii="宋体" w:hAnsi="宋体" w:eastAsia="宋体" w:cs="宋体"/>
                <w:kern w:val="0"/>
                <w:sz w:val="24"/>
                <w:szCs w:val="24"/>
              </w:rPr>
            </w:pPr>
            <w:r>
              <w:rPr>
                <w:rFonts w:hint="eastAsia" w:ascii="宋体" w:hAnsi="宋体" w:eastAsia="宋体" w:cs="宋体"/>
                <w:kern w:val="0"/>
                <w:sz w:val="24"/>
                <w:szCs w:val="24"/>
              </w:rPr>
              <w:t>26</w:t>
            </w:r>
          </w:p>
        </w:tc>
        <w:tc>
          <w:tcPr>
            <w:tcW w:w="2254" w:type="pct"/>
            <w:noWrap w:val="0"/>
            <w:vAlign w:val="center"/>
          </w:tcPr>
          <w:p w14:paraId="790763AF">
            <w:pPr>
              <w:jc w:val="center"/>
              <w:rPr>
                <w:rFonts w:hint="eastAsia" w:ascii="宋体" w:hAnsi="宋体" w:eastAsia="宋体" w:cs="宋体"/>
                <w:kern w:val="0"/>
                <w:sz w:val="24"/>
                <w:szCs w:val="24"/>
              </w:rPr>
            </w:pPr>
            <w:r>
              <w:rPr>
                <w:rFonts w:hint="eastAsia" w:ascii="宋体" w:hAnsi="宋体" w:eastAsia="宋体" w:cs="宋体"/>
                <w:kern w:val="0"/>
                <w:sz w:val="24"/>
                <w:szCs w:val="24"/>
              </w:rPr>
              <w:t>空调内机型号：MCC125VP</w:t>
            </w:r>
          </w:p>
        </w:tc>
        <w:tc>
          <w:tcPr>
            <w:tcW w:w="1132" w:type="pct"/>
            <w:noWrap w:val="0"/>
            <w:vAlign w:val="center"/>
          </w:tcPr>
          <w:p w14:paraId="33BCBDBC">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6</w:t>
            </w:r>
          </w:p>
        </w:tc>
        <w:tc>
          <w:tcPr>
            <w:tcW w:w="942" w:type="pct"/>
            <w:noWrap w:val="0"/>
            <w:vAlign w:val="center"/>
          </w:tcPr>
          <w:p w14:paraId="66B1F869">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784C5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center"/>
          </w:tcPr>
          <w:p w14:paraId="77A5BD45">
            <w:pPr>
              <w:jc w:val="center"/>
              <w:rPr>
                <w:rFonts w:hint="eastAsia" w:ascii="宋体" w:hAnsi="宋体" w:eastAsia="宋体" w:cs="宋体"/>
                <w:kern w:val="0"/>
                <w:sz w:val="24"/>
                <w:szCs w:val="24"/>
              </w:rPr>
            </w:pPr>
            <w:r>
              <w:rPr>
                <w:rFonts w:hint="eastAsia" w:ascii="宋体" w:hAnsi="宋体" w:eastAsia="宋体" w:cs="宋体"/>
                <w:kern w:val="0"/>
                <w:sz w:val="24"/>
                <w:szCs w:val="24"/>
              </w:rPr>
              <w:t>27</w:t>
            </w:r>
          </w:p>
        </w:tc>
        <w:tc>
          <w:tcPr>
            <w:tcW w:w="2254" w:type="pct"/>
            <w:noWrap w:val="0"/>
            <w:vAlign w:val="center"/>
          </w:tcPr>
          <w:p w14:paraId="22124BA2">
            <w:pPr>
              <w:jc w:val="center"/>
              <w:rPr>
                <w:rFonts w:hint="eastAsia" w:ascii="宋体" w:hAnsi="宋体" w:eastAsia="宋体" w:cs="宋体"/>
                <w:kern w:val="0"/>
                <w:sz w:val="24"/>
                <w:szCs w:val="24"/>
              </w:rPr>
            </w:pPr>
            <w:r>
              <w:rPr>
                <w:rFonts w:hint="eastAsia" w:ascii="宋体" w:hAnsi="宋体" w:eastAsia="宋体" w:cs="宋体"/>
                <w:kern w:val="0"/>
                <w:sz w:val="24"/>
                <w:szCs w:val="24"/>
              </w:rPr>
              <w:t>空调内机型号：MCK056VP</w:t>
            </w:r>
          </w:p>
        </w:tc>
        <w:tc>
          <w:tcPr>
            <w:tcW w:w="1132" w:type="pct"/>
            <w:noWrap w:val="0"/>
            <w:vAlign w:val="center"/>
          </w:tcPr>
          <w:p w14:paraId="334949C3">
            <w:pPr>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942" w:type="pct"/>
            <w:noWrap w:val="0"/>
            <w:vAlign w:val="center"/>
          </w:tcPr>
          <w:p w14:paraId="036F48CB">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48A45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center"/>
          </w:tcPr>
          <w:p w14:paraId="5B361B90">
            <w:pPr>
              <w:jc w:val="center"/>
              <w:rPr>
                <w:rFonts w:hint="eastAsia" w:ascii="宋体" w:hAnsi="宋体" w:eastAsia="宋体" w:cs="宋体"/>
                <w:kern w:val="0"/>
                <w:sz w:val="24"/>
                <w:szCs w:val="24"/>
              </w:rPr>
            </w:pPr>
            <w:r>
              <w:rPr>
                <w:rFonts w:hint="eastAsia" w:ascii="宋体" w:hAnsi="宋体" w:eastAsia="宋体" w:cs="宋体"/>
                <w:kern w:val="0"/>
                <w:sz w:val="24"/>
                <w:szCs w:val="24"/>
              </w:rPr>
              <w:t>28</w:t>
            </w:r>
          </w:p>
        </w:tc>
        <w:tc>
          <w:tcPr>
            <w:tcW w:w="2254" w:type="pct"/>
            <w:noWrap w:val="0"/>
            <w:vAlign w:val="center"/>
          </w:tcPr>
          <w:p w14:paraId="181204B0">
            <w:pPr>
              <w:jc w:val="center"/>
              <w:rPr>
                <w:rFonts w:hint="eastAsia" w:ascii="宋体" w:hAnsi="宋体" w:eastAsia="宋体" w:cs="宋体"/>
                <w:kern w:val="0"/>
                <w:sz w:val="24"/>
                <w:szCs w:val="24"/>
              </w:rPr>
            </w:pPr>
            <w:r>
              <w:rPr>
                <w:rFonts w:hint="eastAsia" w:ascii="宋体" w:hAnsi="宋体" w:eastAsia="宋体" w:cs="宋体"/>
                <w:kern w:val="0"/>
                <w:sz w:val="24"/>
                <w:szCs w:val="24"/>
              </w:rPr>
              <w:t>空调内机型号：MCK063VP</w:t>
            </w:r>
          </w:p>
        </w:tc>
        <w:tc>
          <w:tcPr>
            <w:tcW w:w="1132" w:type="pct"/>
            <w:noWrap w:val="0"/>
            <w:vAlign w:val="center"/>
          </w:tcPr>
          <w:p w14:paraId="732B525F">
            <w:pPr>
              <w:jc w:val="center"/>
              <w:rPr>
                <w:rFonts w:hint="eastAsia" w:ascii="宋体" w:hAnsi="宋体" w:eastAsia="宋体" w:cs="宋体"/>
                <w:kern w:val="0"/>
                <w:sz w:val="24"/>
                <w:szCs w:val="24"/>
              </w:rPr>
            </w:pPr>
            <w:r>
              <w:rPr>
                <w:rFonts w:hint="eastAsia" w:ascii="宋体" w:hAnsi="宋体" w:eastAsia="宋体" w:cs="宋体"/>
                <w:kern w:val="0"/>
                <w:sz w:val="24"/>
                <w:szCs w:val="24"/>
              </w:rPr>
              <w:t>14</w:t>
            </w:r>
          </w:p>
        </w:tc>
        <w:tc>
          <w:tcPr>
            <w:tcW w:w="942" w:type="pct"/>
            <w:noWrap w:val="0"/>
            <w:vAlign w:val="center"/>
          </w:tcPr>
          <w:p w14:paraId="151556DA">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0F300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center"/>
          </w:tcPr>
          <w:p w14:paraId="01C1C3DA">
            <w:pPr>
              <w:jc w:val="center"/>
              <w:rPr>
                <w:rFonts w:hint="eastAsia" w:ascii="宋体" w:hAnsi="宋体" w:eastAsia="宋体" w:cs="宋体"/>
                <w:kern w:val="0"/>
                <w:sz w:val="24"/>
                <w:szCs w:val="24"/>
              </w:rPr>
            </w:pPr>
            <w:r>
              <w:rPr>
                <w:rFonts w:hint="eastAsia" w:ascii="宋体" w:hAnsi="宋体" w:eastAsia="宋体" w:cs="宋体"/>
                <w:kern w:val="0"/>
                <w:sz w:val="24"/>
                <w:szCs w:val="24"/>
              </w:rPr>
              <w:t>29</w:t>
            </w:r>
          </w:p>
        </w:tc>
        <w:tc>
          <w:tcPr>
            <w:tcW w:w="2254" w:type="pct"/>
            <w:noWrap w:val="0"/>
            <w:vAlign w:val="center"/>
          </w:tcPr>
          <w:p w14:paraId="76C6FA38">
            <w:pPr>
              <w:jc w:val="center"/>
              <w:rPr>
                <w:rFonts w:hint="eastAsia" w:ascii="宋体" w:hAnsi="宋体" w:eastAsia="宋体" w:cs="宋体"/>
                <w:kern w:val="0"/>
                <w:sz w:val="24"/>
                <w:szCs w:val="24"/>
              </w:rPr>
            </w:pPr>
            <w:r>
              <w:rPr>
                <w:rFonts w:hint="eastAsia" w:ascii="宋体" w:hAnsi="宋体" w:eastAsia="宋体" w:cs="宋体"/>
                <w:kern w:val="0"/>
                <w:sz w:val="24"/>
                <w:szCs w:val="24"/>
              </w:rPr>
              <w:t>空调内机型号：MCK071VP</w:t>
            </w:r>
          </w:p>
        </w:tc>
        <w:tc>
          <w:tcPr>
            <w:tcW w:w="1132" w:type="pct"/>
            <w:noWrap w:val="0"/>
            <w:vAlign w:val="center"/>
          </w:tcPr>
          <w:p w14:paraId="577CB075">
            <w:pPr>
              <w:jc w:val="center"/>
              <w:rPr>
                <w:rFonts w:hint="eastAsia" w:ascii="宋体" w:hAnsi="宋体" w:eastAsia="宋体" w:cs="宋体"/>
                <w:kern w:val="0"/>
                <w:sz w:val="24"/>
                <w:szCs w:val="24"/>
              </w:rPr>
            </w:pPr>
            <w:r>
              <w:rPr>
                <w:rFonts w:hint="eastAsia" w:ascii="宋体" w:hAnsi="宋体" w:eastAsia="宋体" w:cs="宋体"/>
                <w:kern w:val="0"/>
                <w:sz w:val="24"/>
                <w:szCs w:val="24"/>
              </w:rPr>
              <w:t>134</w:t>
            </w:r>
          </w:p>
        </w:tc>
        <w:tc>
          <w:tcPr>
            <w:tcW w:w="942" w:type="pct"/>
            <w:noWrap w:val="0"/>
            <w:vAlign w:val="center"/>
          </w:tcPr>
          <w:p w14:paraId="23FBE0B0">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4875C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center"/>
          </w:tcPr>
          <w:p w14:paraId="67252D0B">
            <w:pPr>
              <w:jc w:val="center"/>
              <w:rPr>
                <w:rFonts w:hint="eastAsia" w:ascii="宋体" w:hAnsi="宋体" w:eastAsia="宋体" w:cs="宋体"/>
                <w:kern w:val="0"/>
                <w:sz w:val="24"/>
                <w:szCs w:val="24"/>
              </w:rPr>
            </w:pPr>
            <w:r>
              <w:rPr>
                <w:rFonts w:hint="eastAsia" w:ascii="宋体" w:hAnsi="宋体" w:eastAsia="宋体" w:cs="宋体"/>
                <w:kern w:val="0"/>
                <w:sz w:val="24"/>
                <w:szCs w:val="24"/>
              </w:rPr>
              <w:t>30</w:t>
            </w:r>
          </w:p>
        </w:tc>
        <w:tc>
          <w:tcPr>
            <w:tcW w:w="2254" w:type="pct"/>
            <w:noWrap w:val="0"/>
            <w:vAlign w:val="center"/>
          </w:tcPr>
          <w:p w14:paraId="53167BEC">
            <w:pPr>
              <w:jc w:val="center"/>
              <w:rPr>
                <w:rFonts w:hint="eastAsia" w:ascii="宋体" w:hAnsi="宋体" w:eastAsia="宋体" w:cs="宋体"/>
                <w:kern w:val="0"/>
                <w:sz w:val="24"/>
                <w:szCs w:val="24"/>
              </w:rPr>
            </w:pPr>
            <w:r>
              <w:rPr>
                <w:rFonts w:hint="eastAsia" w:ascii="宋体" w:hAnsi="宋体" w:eastAsia="宋体" w:cs="宋体"/>
                <w:kern w:val="0"/>
                <w:sz w:val="24"/>
                <w:szCs w:val="24"/>
              </w:rPr>
              <w:t>空调内机型号：MCK080VP</w:t>
            </w:r>
          </w:p>
        </w:tc>
        <w:tc>
          <w:tcPr>
            <w:tcW w:w="1132" w:type="pct"/>
            <w:noWrap w:val="0"/>
            <w:vAlign w:val="center"/>
          </w:tcPr>
          <w:p w14:paraId="54E736A8">
            <w:pPr>
              <w:jc w:val="center"/>
              <w:rPr>
                <w:rFonts w:hint="eastAsia" w:ascii="宋体" w:hAnsi="宋体" w:eastAsia="宋体" w:cs="宋体"/>
                <w:kern w:val="0"/>
                <w:sz w:val="24"/>
                <w:szCs w:val="24"/>
              </w:rPr>
            </w:pPr>
            <w:r>
              <w:rPr>
                <w:rFonts w:hint="eastAsia" w:ascii="宋体" w:hAnsi="宋体" w:eastAsia="宋体" w:cs="宋体"/>
                <w:kern w:val="0"/>
                <w:sz w:val="24"/>
                <w:szCs w:val="24"/>
              </w:rPr>
              <w:t>10</w:t>
            </w:r>
          </w:p>
        </w:tc>
        <w:tc>
          <w:tcPr>
            <w:tcW w:w="942" w:type="pct"/>
            <w:noWrap w:val="0"/>
            <w:vAlign w:val="center"/>
          </w:tcPr>
          <w:p w14:paraId="31185EF9">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480E0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center"/>
          </w:tcPr>
          <w:p w14:paraId="46491946">
            <w:pPr>
              <w:jc w:val="center"/>
              <w:rPr>
                <w:rFonts w:hint="eastAsia" w:ascii="宋体" w:hAnsi="宋体" w:eastAsia="宋体" w:cs="宋体"/>
                <w:kern w:val="0"/>
                <w:sz w:val="24"/>
                <w:szCs w:val="24"/>
              </w:rPr>
            </w:pPr>
            <w:r>
              <w:rPr>
                <w:rFonts w:hint="eastAsia" w:ascii="宋体" w:hAnsi="宋体" w:eastAsia="宋体" w:cs="宋体"/>
                <w:kern w:val="0"/>
                <w:sz w:val="24"/>
                <w:szCs w:val="24"/>
              </w:rPr>
              <w:t>31</w:t>
            </w:r>
          </w:p>
        </w:tc>
        <w:tc>
          <w:tcPr>
            <w:tcW w:w="2254" w:type="pct"/>
            <w:noWrap w:val="0"/>
            <w:vAlign w:val="center"/>
          </w:tcPr>
          <w:p w14:paraId="3081D8A5">
            <w:pPr>
              <w:jc w:val="center"/>
              <w:rPr>
                <w:rFonts w:hint="eastAsia" w:ascii="宋体" w:hAnsi="宋体" w:eastAsia="宋体" w:cs="宋体"/>
                <w:kern w:val="0"/>
                <w:sz w:val="24"/>
                <w:szCs w:val="24"/>
              </w:rPr>
            </w:pPr>
            <w:r>
              <w:rPr>
                <w:rFonts w:hint="eastAsia" w:ascii="宋体" w:hAnsi="宋体" w:eastAsia="宋体" w:cs="宋体"/>
                <w:kern w:val="0"/>
                <w:sz w:val="24"/>
                <w:szCs w:val="24"/>
              </w:rPr>
              <w:t>空调内机型号：MCK090VP</w:t>
            </w:r>
          </w:p>
        </w:tc>
        <w:tc>
          <w:tcPr>
            <w:tcW w:w="1132" w:type="pct"/>
            <w:noWrap w:val="0"/>
            <w:vAlign w:val="center"/>
          </w:tcPr>
          <w:p w14:paraId="79C3BF36">
            <w:pPr>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942" w:type="pct"/>
            <w:noWrap w:val="0"/>
            <w:vAlign w:val="center"/>
          </w:tcPr>
          <w:p w14:paraId="5BD9EFFA">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501D3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center"/>
          </w:tcPr>
          <w:p w14:paraId="3DAA2FBD">
            <w:pPr>
              <w:jc w:val="center"/>
              <w:rPr>
                <w:rFonts w:hint="eastAsia" w:ascii="宋体" w:hAnsi="宋体" w:eastAsia="宋体" w:cs="宋体"/>
                <w:kern w:val="0"/>
                <w:sz w:val="24"/>
                <w:szCs w:val="24"/>
              </w:rPr>
            </w:pPr>
            <w:r>
              <w:rPr>
                <w:rFonts w:hint="eastAsia" w:ascii="宋体" w:hAnsi="宋体" w:eastAsia="宋体" w:cs="宋体"/>
                <w:kern w:val="0"/>
                <w:sz w:val="24"/>
                <w:szCs w:val="24"/>
              </w:rPr>
              <w:t>32</w:t>
            </w:r>
          </w:p>
        </w:tc>
        <w:tc>
          <w:tcPr>
            <w:tcW w:w="2254" w:type="pct"/>
            <w:noWrap w:val="0"/>
            <w:vAlign w:val="center"/>
          </w:tcPr>
          <w:p w14:paraId="55A9EE1F">
            <w:pPr>
              <w:jc w:val="center"/>
              <w:rPr>
                <w:rFonts w:hint="eastAsia" w:ascii="宋体" w:hAnsi="宋体" w:eastAsia="宋体" w:cs="宋体"/>
                <w:kern w:val="0"/>
                <w:sz w:val="24"/>
                <w:szCs w:val="24"/>
              </w:rPr>
            </w:pPr>
            <w:r>
              <w:rPr>
                <w:rFonts w:hint="eastAsia" w:ascii="宋体" w:hAnsi="宋体" w:eastAsia="宋体" w:cs="宋体"/>
                <w:kern w:val="0"/>
                <w:sz w:val="24"/>
                <w:szCs w:val="24"/>
              </w:rPr>
              <w:t>空调内机型号：MCK100VP</w:t>
            </w:r>
          </w:p>
        </w:tc>
        <w:tc>
          <w:tcPr>
            <w:tcW w:w="1132" w:type="pct"/>
            <w:noWrap w:val="0"/>
            <w:vAlign w:val="center"/>
          </w:tcPr>
          <w:p w14:paraId="225A2899">
            <w:pPr>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942" w:type="pct"/>
            <w:noWrap w:val="0"/>
            <w:vAlign w:val="center"/>
          </w:tcPr>
          <w:p w14:paraId="51C70EE7">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792CE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center"/>
          </w:tcPr>
          <w:p w14:paraId="0DD5E508">
            <w:pPr>
              <w:jc w:val="center"/>
              <w:rPr>
                <w:rFonts w:hint="eastAsia" w:ascii="宋体" w:hAnsi="宋体" w:eastAsia="宋体" w:cs="宋体"/>
                <w:kern w:val="0"/>
                <w:sz w:val="24"/>
                <w:szCs w:val="24"/>
              </w:rPr>
            </w:pPr>
            <w:r>
              <w:rPr>
                <w:rFonts w:hint="eastAsia" w:ascii="宋体" w:hAnsi="宋体" w:eastAsia="宋体" w:cs="宋体"/>
                <w:kern w:val="0"/>
                <w:sz w:val="24"/>
                <w:szCs w:val="24"/>
              </w:rPr>
              <w:t>33</w:t>
            </w:r>
          </w:p>
        </w:tc>
        <w:tc>
          <w:tcPr>
            <w:tcW w:w="2254" w:type="pct"/>
            <w:noWrap w:val="0"/>
            <w:vAlign w:val="center"/>
          </w:tcPr>
          <w:p w14:paraId="481DD3F4">
            <w:pPr>
              <w:jc w:val="center"/>
              <w:rPr>
                <w:rFonts w:hint="eastAsia" w:ascii="宋体" w:hAnsi="宋体" w:eastAsia="宋体" w:cs="宋体"/>
                <w:kern w:val="0"/>
                <w:sz w:val="24"/>
                <w:szCs w:val="24"/>
              </w:rPr>
            </w:pPr>
            <w:r>
              <w:rPr>
                <w:rFonts w:hint="eastAsia" w:ascii="宋体" w:hAnsi="宋体" w:eastAsia="宋体" w:cs="宋体"/>
                <w:kern w:val="0"/>
                <w:sz w:val="24"/>
                <w:szCs w:val="24"/>
              </w:rPr>
              <w:t>空调内机型号：MCK112VP</w:t>
            </w:r>
          </w:p>
        </w:tc>
        <w:tc>
          <w:tcPr>
            <w:tcW w:w="1132" w:type="pct"/>
            <w:noWrap w:val="0"/>
            <w:vAlign w:val="center"/>
          </w:tcPr>
          <w:p w14:paraId="30BAA5DC">
            <w:pPr>
              <w:jc w:val="center"/>
              <w:rPr>
                <w:rFonts w:hint="eastAsia" w:ascii="宋体" w:hAnsi="宋体" w:eastAsia="宋体" w:cs="宋体"/>
                <w:kern w:val="0"/>
                <w:sz w:val="24"/>
                <w:szCs w:val="24"/>
              </w:rPr>
            </w:pPr>
            <w:r>
              <w:rPr>
                <w:rFonts w:hint="eastAsia" w:ascii="宋体" w:hAnsi="宋体" w:eastAsia="宋体" w:cs="宋体"/>
                <w:kern w:val="0"/>
                <w:sz w:val="24"/>
                <w:szCs w:val="24"/>
              </w:rPr>
              <w:t>38</w:t>
            </w:r>
          </w:p>
        </w:tc>
        <w:tc>
          <w:tcPr>
            <w:tcW w:w="942" w:type="pct"/>
            <w:noWrap w:val="0"/>
            <w:vAlign w:val="center"/>
          </w:tcPr>
          <w:p w14:paraId="57C076FC">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4CD6C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center"/>
          </w:tcPr>
          <w:p w14:paraId="14BFB3A3">
            <w:pPr>
              <w:jc w:val="center"/>
              <w:rPr>
                <w:rFonts w:hint="eastAsia" w:ascii="宋体" w:hAnsi="宋体" w:eastAsia="宋体" w:cs="宋体"/>
                <w:kern w:val="0"/>
                <w:sz w:val="24"/>
                <w:szCs w:val="24"/>
              </w:rPr>
            </w:pPr>
            <w:r>
              <w:rPr>
                <w:rFonts w:hint="eastAsia" w:ascii="宋体" w:hAnsi="宋体" w:eastAsia="宋体" w:cs="宋体"/>
                <w:kern w:val="0"/>
                <w:sz w:val="24"/>
                <w:szCs w:val="24"/>
              </w:rPr>
              <w:t>35</w:t>
            </w:r>
          </w:p>
        </w:tc>
        <w:tc>
          <w:tcPr>
            <w:tcW w:w="2254" w:type="pct"/>
            <w:noWrap w:val="0"/>
            <w:vAlign w:val="center"/>
          </w:tcPr>
          <w:p w14:paraId="4CE00F69">
            <w:pPr>
              <w:jc w:val="center"/>
              <w:rPr>
                <w:rFonts w:hint="eastAsia" w:ascii="宋体" w:hAnsi="宋体" w:eastAsia="宋体" w:cs="宋体"/>
                <w:kern w:val="0"/>
                <w:sz w:val="24"/>
                <w:szCs w:val="24"/>
              </w:rPr>
            </w:pPr>
            <w:r>
              <w:rPr>
                <w:rFonts w:hint="eastAsia" w:ascii="宋体" w:hAnsi="宋体" w:eastAsia="宋体" w:cs="宋体"/>
                <w:kern w:val="0"/>
                <w:sz w:val="24"/>
                <w:szCs w:val="24"/>
              </w:rPr>
              <w:t>新风机组型号：MSW030X120F</w:t>
            </w:r>
          </w:p>
        </w:tc>
        <w:tc>
          <w:tcPr>
            <w:tcW w:w="1132" w:type="pct"/>
            <w:noWrap w:val="0"/>
            <w:vAlign w:val="center"/>
          </w:tcPr>
          <w:p w14:paraId="3688BDD1">
            <w:pPr>
              <w:jc w:val="center"/>
              <w:rPr>
                <w:rFonts w:hint="eastAsia" w:ascii="宋体" w:hAnsi="宋体" w:eastAsia="宋体" w:cs="宋体"/>
                <w:kern w:val="0"/>
                <w:sz w:val="24"/>
                <w:szCs w:val="24"/>
              </w:rPr>
            </w:pPr>
            <w:r>
              <w:rPr>
                <w:rFonts w:hint="eastAsia" w:ascii="宋体" w:hAnsi="宋体" w:eastAsia="宋体" w:cs="宋体"/>
                <w:kern w:val="0"/>
                <w:sz w:val="24"/>
                <w:szCs w:val="24"/>
              </w:rPr>
              <w:t>13</w:t>
            </w:r>
          </w:p>
        </w:tc>
        <w:tc>
          <w:tcPr>
            <w:tcW w:w="942" w:type="pct"/>
            <w:noWrap w:val="0"/>
            <w:vAlign w:val="center"/>
          </w:tcPr>
          <w:p w14:paraId="1F158E1B">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0B5D5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center"/>
          </w:tcPr>
          <w:p w14:paraId="734B5D66">
            <w:pPr>
              <w:jc w:val="center"/>
              <w:rPr>
                <w:rFonts w:hint="eastAsia" w:ascii="宋体" w:hAnsi="宋体" w:eastAsia="宋体" w:cs="宋体"/>
                <w:kern w:val="0"/>
                <w:sz w:val="24"/>
                <w:szCs w:val="24"/>
              </w:rPr>
            </w:pPr>
            <w:r>
              <w:rPr>
                <w:rFonts w:hint="eastAsia" w:ascii="宋体" w:hAnsi="宋体" w:eastAsia="宋体" w:cs="宋体"/>
                <w:kern w:val="0"/>
                <w:sz w:val="24"/>
                <w:szCs w:val="24"/>
              </w:rPr>
              <w:t>36</w:t>
            </w:r>
          </w:p>
        </w:tc>
        <w:tc>
          <w:tcPr>
            <w:tcW w:w="2254" w:type="pct"/>
            <w:noWrap w:val="0"/>
            <w:vAlign w:val="center"/>
          </w:tcPr>
          <w:p w14:paraId="7D74CC86">
            <w:pPr>
              <w:jc w:val="center"/>
              <w:rPr>
                <w:rFonts w:hint="eastAsia" w:ascii="宋体" w:hAnsi="宋体" w:eastAsia="宋体" w:cs="宋体"/>
                <w:kern w:val="0"/>
                <w:sz w:val="24"/>
                <w:szCs w:val="24"/>
              </w:rPr>
            </w:pPr>
            <w:r>
              <w:rPr>
                <w:rFonts w:hint="eastAsia" w:ascii="宋体" w:hAnsi="宋体" w:eastAsia="宋体" w:cs="宋体"/>
                <w:kern w:val="0"/>
                <w:sz w:val="24"/>
                <w:szCs w:val="24"/>
              </w:rPr>
              <w:t>新风机组型号：MSW030F</w:t>
            </w:r>
          </w:p>
        </w:tc>
        <w:tc>
          <w:tcPr>
            <w:tcW w:w="1132" w:type="pct"/>
            <w:noWrap w:val="0"/>
            <w:vAlign w:val="center"/>
          </w:tcPr>
          <w:p w14:paraId="168B083A">
            <w:pPr>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942" w:type="pct"/>
            <w:noWrap w:val="0"/>
            <w:vAlign w:val="center"/>
          </w:tcPr>
          <w:p w14:paraId="4A4ACD79">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40A5D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center"/>
          </w:tcPr>
          <w:p w14:paraId="49814E9A">
            <w:pPr>
              <w:jc w:val="center"/>
              <w:rPr>
                <w:rFonts w:hint="eastAsia" w:ascii="宋体" w:hAnsi="宋体" w:eastAsia="宋体" w:cs="宋体"/>
                <w:kern w:val="0"/>
                <w:sz w:val="24"/>
                <w:szCs w:val="24"/>
              </w:rPr>
            </w:pPr>
            <w:r>
              <w:rPr>
                <w:rFonts w:hint="eastAsia" w:ascii="宋体" w:hAnsi="宋体" w:eastAsia="宋体" w:cs="宋体"/>
                <w:kern w:val="0"/>
                <w:sz w:val="24"/>
                <w:szCs w:val="24"/>
              </w:rPr>
              <w:t>37</w:t>
            </w:r>
          </w:p>
        </w:tc>
        <w:tc>
          <w:tcPr>
            <w:tcW w:w="2254" w:type="pct"/>
            <w:noWrap w:val="0"/>
            <w:vAlign w:val="center"/>
          </w:tcPr>
          <w:p w14:paraId="51EF8B63">
            <w:pPr>
              <w:jc w:val="center"/>
              <w:rPr>
                <w:rFonts w:hint="eastAsia" w:ascii="宋体" w:hAnsi="宋体" w:eastAsia="宋体" w:cs="宋体"/>
                <w:kern w:val="0"/>
                <w:sz w:val="24"/>
                <w:szCs w:val="24"/>
              </w:rPr>
            </w:pPr>
            <w:r>
              <w:rPr>
                <w:rFonts w:hint="eastAsia" w:ascii="宋体" w:hAnsi="宋体" w:eastAsia="宋体" w:cs="宋体"/>
                <w:kern w:val="0"/>
                <w:sz w:val="24"/>
                <w:szCs w:val="24"/>
              </w:rPr>
              <w:t>卧式新风箱MDW150D</w:t>
            </w:r>
          </w:p>
        </w:tc>
        <w:tc>
          <w:tcPr>
            <w:tcW w:w="1132" w:type="pct"/>
            <w:noWrap w:val="0"/>
            <w:vAlign w:val="center"/>
          </w:tcPr>
          <w:p w14:paraId="3B7610A5">
            <w:pPr>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942" w:type="pct"/>
            <w:noWrap w:val="0"/>
            <w:vAlign w:val="center"/>
          </w:tcPr>
          <w:p w14:paraId="2C7362C0">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3C3DF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center"/>
          </w:tcPr>
          <w:p w14:paraId="6CD460D1">
            <w:pPr>
              <w:jc w:val="center"/>
              <w:rPr>
                <w:rFonts w:hint="eastAsia" w:ascii="宋体" w:hAnsi="宋体" w:eastAsia="宋体" w:cs="宋体"/>
                <w:kern w:val="0"/>
                <w:sz w:val="24"/>
                <w:szCs w:val="24"/>
              </w:rPr>
            </w:pPr>
            <w:r>
              <w:rPr>
                <w:rFonts w:hint="eastAsia" w:ascii="宋体" w:hAnsi="宋体" w:eastAsia="宋体" w:cs="宋体"/>
                <w:kern w:val="0"/>
                <w:sz w:val="24"/>
                <w:szCs w:val="24"/>
              </w:rPr>
              <w:t>38</w:t>
            </w:r>
          </w:p>
        </w:tc>
        <w:tc>
          <w:tcPr>
            <w:tcW w:w="2254" w:type="pct"/>
            <w:noWrap w:val="0"/>
            <w:vAlign w:val="center"/>
          </w:tcPr>
          <w:p w14:paraId="64AA8ACE">
            <w:pPr>
              <w:jc w:val="center"/>
              <w:rPr>
                <w:rFonts w:hint="eastAsia" w:ascii="宋体" w:hAnsi="宋体" w:eastAsia="宋体" w:cs="宋体"/>
                <w:kern w:val="0"/>
                <w:sz w:val="24"/>
                <w:szCs w:val="24"/>
              </w:rPr>
            </w:pPr>
            <w:r>
              <w:rPr>
                <w:rFonts w:hint="eastAsia" w:ascii="宋体" w:hAnsi="宋体" w:eastAsia="宋体" w:cs="宋体"/>
                <w:kern w:val="0"/>
                <w:sz w:val="24"/>
                <w:szCs w:val="24"/>
              </w:rPr>
              <w:t>转轮式能量回收机组：MDM1116-E5</w:t>
            </w:r>
          </w:p>
        </w:tc>
        <w:tc>
          <w:tcPr>
            <w:tcW w:w="1132" w:type="pct"/>
            <w:noWrap w:val="0"/>
            <w:vAlign w:val="center"/>
          </w:tcPr>
          <w:p w14:paraId="46E204CA">
            <w:pPr>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942" w:type="pct"/>
            <w:noWrap w:val="0"/>
            <w:vAlign w:val="center"/>
          </w:tcPr>
          <w:p w14:paraId="794BF4BC">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6804D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noWrap w:val="0"/>
            <w:vAlign w:val="center"/>
          </w:tcPr>
          <w:p w14:paraId="0674FBFB">
            <w:pPr>
              <w:jc w:val="center"/>
              <w:rPr>
                <w:rFonts w:hint="eastAsia" w:ascii="宋体" w:hAnsi="宋体" w:eastAsia="宋体" w:cs="宋体"/>
                <w:kern w:val="0"/>
                <w:sz w:val="24"/>
                <w:szCs w:val="24"/>
              </w:rPr>
            </w:pPr>
            <w:r>
              <w:rPr>
                <w:rFonts w:hint="eastAsia" w:ascii="宋体" w:hAnsi="宋体" w:eastAsia="宋体" w:cs="宋体"/>
                <w:kern w:val="0"/>
                <w:sz w:val="24"/>
                <w:szCs w:val="24"/>
              </w:rPr>
              <w:t>39</w:t>
            </w:r>
          </w:p>
        </w:tc>
        <w:tc>
          <w:tcPr>
            <w:tcW w:w="2254" w:type="pct"/>
            <w:noWrap w:val="0"/>
            <w:vAlign w:val="center"/>
          </w:tcPr>
          <w:p w14:paraId="4F4513DA">
            <w:pPr>
              <w:jc w:val="center"/>
              <w:rPr>
                <w:rFonts w:hint="eastAsia" w:ascii="宋体" w:hAnsi="宋体" w:eastAsia="宋体" w:cs="宋体"/>
                <w:kern w:val="0"/>
                <w:sz w:val="24"/>
                <w:szCs w:val="24"/>
              </w:rPr>
            </w:pPr>
            <w:r>
              <w:rPr>
                <w:rFonts w:hint="eastAsia" w:ascii="宋体" w:hAnsi="宋体" w:eastAsia="宋体" w:cs="宋体"/>
                <w:kern w:val="0"/>
                <w:sz w:val="24"/>
                <w:szCs w:val="24"/>
              </w:rPr>
              <w:t>热泵主机型号：MAC450DR5</w:t>
            </w:r>
          </w:p>
        </w:tc>
        <w:tc>
          <w:tcPr>
            <w:tcW w:w="1132" w:type="pct"/>
            <w:noWrap w:val="0"/>
            <w:vAlign w:val="center"/>
          </w:tcPr>
          <w:p w14:paraId="154A254C">
            <w:pPr>
              <w:jc w:val="center"/>
              <w:rPr>
                <w:rFonts w:hint="eastAsia" w:ascii="宋体" w:hAnsi="宋体" w:eastAsia="宋体" w:cs="宋体"/>
                <w:kern w:val="0"/>
                <w:sz w:val="24"/>
                <w:szCs w:val="24"/>
              </w:rPr>
            </w:pPr>
            <w:r>
              <w:rPr>
                <w:rFonts w:hint="eastAsia" w:ascii="宋体" w:hAnsi="宋体" w:eastAsia="宋体" w:cs="宋体"/>
                <w:kern w:val="0"/>
                <w:sz w:val="24"/>
                <w:szCs w:val="24"/>
              </w:rPr>
              <w:t>7</w:t>
            </w:r>
          </w:p>
        </w:tc>
        <w:tc>
          <w:tcPr>
            <w:tcW w:w="942" w:type="pct"/>
            <w:noWrap w:val="0"/>
            <w:vAlign w:val="center"/>
          </w:tcPr>
          <w:p w14:paraId="5A798973">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bl>
    <w:p w14:paraId="540825F3">
      <w:pPr>
        <w:jc w:val="left"/>
        <w:rPr>
          <w:rFonts w:hint="eastAsia" w:ascii="宋体" w:hAnsi="宋体" w:eastAsia="宋体" w:cs="宋体"/>
          <w:kern w:val="0"/>
          <w:sz w:val="24"/>
          <w:szCs w:val="24"/>
        </w:rPr>
      </w:pPr>
      <w:r>
        <w:rPr>
          <w:rFonts w:hint="eastAsia" w:ascii="宋体" w:hAnsi="宋体" w:eastAsia="宋体" w:cs="宋体"/>
          <w:kern w:val="0"/>
          <w:sz w:val="24"/>
          <w:szCs w:val="24"/>
        </w:rPr>
        <w:t>注：以上数据以实际数量为准。质保开始时间以竣工验收时间为准。</w:t>
      </w:r>
    </w:p>
    <w:p w14:paraId="5F331CE9">
      <w:pPr>
        <w:spacing w:line="400" w:lineRule="exact"/>
        <w:ind w:firstLine="241" w:firstLineChars="100"/>
        <w:outlineLvl w:val="2"/>
        <w:rPr>
          <w:rFonts w:hint="eastAsia" w:ascii="宋体" w:hAnsi="宋体" w:eastAsia="宋体" w:cs="宋体"/>
          <w:b/>
          <w:bCs/>
          <w:sz w:val="24"/>
          <w:szCs w:val="24"/>
        </w:rPr>
      </w:pPr>
      <w:r>
        <w:rPr>
          <w:rFonts w:hint="eastAsia" w:ascii="宋体" w:hAnsi="宋体" w:eastAsia="宋体" w:cs="宋体"/>
          <w:b/>
          <w:bCs/>
          <w:sz w:val="24"/>
          <w:szCs w:val="24"/>
        </w:rPr>
        <w:t>3.电梯（10台）</w:t>
      </w:r>
    </w:p>
    <w:tbl>
      <w:tblPr>
        <w:tblStyle w:val="10"/>
        <w:tblW w:w="491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694"/>
        <w:gridCol w:w="933"/>
        <w:gridCol w:w="1112"/>
        <w:gridCol w:w="2078"/>
        <w:gridCol w:w="1788"/>
      </w:tblGrid>
      <w:tr w14:paraId="1F606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461" w:type="pct"/>
            <w:tcBorders>
              <w:top w:val="single" w:color="auto" w:sz="4" w:space="0"/>
              <w:left w:val="single" w:color="auto" w:sz="4" w:space="0"/>
              <w:bottom w:val="single" w:color="auto" w:sz="4" w:space="0"/>
              <w:right w:val="single" w:color="auto" w:sz="4" w:space="0"/>
            </w:tcBorders>
            <w:noWrap/>
            <w:vAlign w:val="center"/>
          </w:tcPr>
          <w:p w14:paraId="68389B43">
            <w:pPr>
              <w:jc w:val="center"/>
              <w:rPr>
                <w:rFonts w:hint="eastAsia" w:ascii="宋体" w:hAnsi="宋体" w:eastAsia="宋体" w:cs="宋体"/>
                <w:b/>
                <w:sz w:val="24"/>
                <w:szCs w:val="24"/>
              </w:rPr>
            </w:pPr>
            <w:r>
              <w:rPr>
                <w:rFonts w:hint="eastAsia" w:ascii="宋体" w:hAnsi="宋体" w:eastAsia="宋体" w:cs="宋体"/>
                <w:b/>
                <w:sz w:val="24"/>
                <w:szCs w:val="24"/>
              </w:rPr>
              <w:t>序号</w:t>
            </w:r>
          </w:p>
        </w:tc>
        <w:tc>
          <w:tcPr>
            <w:tcW w:w="1010" w:type="pct"/>
            <w:tcBorders>
              <w:top w:val="single" w:color="auto" w:sz="4" w:space="0"/>
              <w:left w:val="nil"/>
              <w:bottom w:val="single" w:color="auto" w:sz="4" w:space="0"/>
              <w:right w:val="single" w:color="auto" w:sz="4" w:space="0"/>
            </w:tcBorders>
            <w:noWrap/>
            <w:vAlign w:val="center"/>
          </w:tcPr>
          <w:p w14:paraId="2A5FFCB2">
            <w:pPr>
              <w:jc w:val="center"/>
              <w:rPr>
                <w:rFonts w:hint="eastAsia" w:ascii="宋体" w:hAnsi="宋体" w:eastAsia="宋体" w:cs="宋体"/>
                <w:b/>
                <w:sz w:val="24"/>
                <w:szCs w:val="24"/>
              </w:rPr>
            </w:pPr>
            <w:r>
              <w:rPr>
                <w:rFonts w:hint="eastAsia" w:ascii="宋体" w:hAnsi="宋体" w:eastAsia="宋体" w:cs="宋体"/>
                <w:b/>
                <w:sz w:val="24"/>
                <w:szCs w:val="24"/>
              </w:rPr>
              <w:t>电梯名称及型号</w:t>
            </w:r>
          </w:p>
        </w:tc>
        <w:tc>
          <w:tcPr>
            <w:tcW w:w="556" w:type="pct"/>
            <w:tcBorders>
              <w:top w:val="single" w:color="auto" w:sz="4" w:space="0"/>
              <w:left w:val="nil"/>
              <w:bottom w:val="single" w:color="auto" w:sz="4" w:space="0"/>
              <w:right w:val="single" w:color="auto" w:sz="4" w:space="0"/>
            </w:tcBorders>
            <w:noWrap/>
            <w:vAlign w:val="center"/>
          </w:tcPr>
          <w:p w14:paraId="5B67B289">
            <w:pPr>
              <w:jc w:val="center"/>
              <w:rPr>
                <w:rFonts w:hint="eastAsia" w:ascii="宋体" w:hAnsi="宋体" w:eastAsia="宋体" w:cs="宋体"/>
                <w:b/>
                <w:sz w:val="24"/>
                <w:szCs w:val="24"/>
              </w:rPr>
            </w:pPr>
            <w:r>
              <w:rPr>
                <w:rFonts w:hint="eastAsia" w:ascii="宋体" w:hAnsi="宋体" w:eastAsia="宋体" w:cs="宋体"/>
                <w:b/>
                <w:sz w:val="24"/>
                <w:szCs w:val="24"/>
              </w:rPr>
              <w:t>负载</w:t>
            </w:r>
          </w:p>
        </w:tc>
        <w:tc>
          <w:tcPr>
            <w:tcW w:w="664" w:type="pct"/>
            <w:tcBorders>
              <w:top w:val="single" w:color="auto" w:sz="4" w:space="0"/>
              <w:left w:val="nil"/>
              <w:bottom w:val="single" w:color="auto" w:sz="4" w:space="0"/>
              <w:right w:val="single" w:color="auto" w:sz="4" w:space="0"/>
            </w:tcBorders>
            <w:noWrap/>
            <w:vAlign w:val="center"/>
          </w:tcPr>
          <w:p w14:paraId="607ADB2F">
            <w:pPr>
              <w:jc w:val="center"/>
              <w:rPr>
                <w:rFonts w:hint="eastAsia" w:ascii="宋体" w:hAnsi="宋体" w:eastAsia="宋体" w:cs="宋体"/>
                <w:b/>
                <w:sz w:val="24"/>
                <w:szCs w:val="24"/>
              </w:rPr>
            </w:pPr>
            <w:r>
              <w:rPr>
                <w:rFonts w:hint="eastAsia" w:ascii="宋体" w:hAnsi="宋体" w:eastAsia="宋体" w:cs="宋体"/>
                <w:b/>
                <w:sz w:val="24"/>
                <w:szCs w:val="24"/>
              </w:rPr>
              <w:t>层/站</w:t>
            </w:r>
          </w:p>
        </w:tc>
        <w:tc>
          <w:tcPr>
            <w:tcW w:w="1240" w:type="pct"/>
            <w:tcBorders>
              <w:top w:val="single" w:color="auto" w:sz="4" w:space="0"/>
              <w:left w:val="nil"/>
              <w:bottom w:val="single" w:color="auto" w:sz="4" w:space="0"/>
              <w:right w:val="single" w:color="auto" w:sz="4" w:space="0"/>
            </w:tcBorders>
            <w:noWrap/>
            <w:vAlign w:val="center"/>
          </w:tcPr>
          <w:p w14:paraId="432B1060">
            <w:pPr>
              <w:ind w:firstLine="422"/>
              <w:jc w:val="center"/>
              <w:rPr>
                <w:rFonts w:hint="eastAsia" w:ascii="宋体" w:hAnsi="宋体" w:eastAsia="宋体" w:cs="宋体"/>
                <w:b/>
                <w:sz w:val="24"/>
                <w:szCs w:val="24"/>
              </w:rPr>
            </w:pPr>
            <w:r>
              <w:rPr>
                <w:rFonts w:hint="eastAsia" w:ascii="宋体" w:hAnsi="宋体" w:eastAsia="宋体" w:cs="宋体"/>
                <w:b/>
                <w:sz w:val="24"/>
                <w:szCs w:val="24"/>
              </w:rPr>
              <w:t>安装日期</w:t>
            </w:r>
          </w:p>
        </w:tc>
        <w:tc>
          <w:tcPr>
            <w:tcW w:w="1067" w:type="pct"/>
            <w:tcBorders>
              <w:top w:val="single" w:color="auto" w:sz="4" w:space="0"/>
              <w:left w:val="nil"/>
              <w:bottom w:val="single" w:color="auto" w:sz="4" w:space="0"/>
              <w:right w:val="single" w:color="auto" w:sz="4" w:space="0"/>
            </w:tcBorders>
            <w:noWrap/>
            <w:vAlign w:val="center"/>
          </w:tcPr>
          <w:p w14:paraId="24F580CE">
            <w:pPr>
              <w:ind w:firstLine="422"/>
              <w:jc w:val="center"/>
              <w:rPr>
                <w:rFonts w:hint="eastAsia" w:ascii="宋体" w:hAnsi="宋体" w:eastAsia="宋体" w:cs="宋体"/>
                <w:b/>
                <w:sz w:val="24"/>
                <w:szCs w:val="24"/>
              </w:rPr>
            </w:pPr>
            <w:r>
              <w:rPr>
                <w:rFonts w:hint="eastAsia" w:ascii="宋体" w:hAnsi="宋体" w:eastAsia="宋体" w:cs="宋体"/>
                <w:b/>
                <w:sz w:val="24"/>
                <w:szCs w:val="24"/>
              </w:rPr>
              <w:t>备注</w:t>
            </w:r>
          </w:p>
        </w:tc>
      </w:tr>
      <w:tr w14:paraId="2374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61" w:type="pct"/>
            <w:tcBorders>
              <w:top w:val="single" w:color="auto" w:sz="4" w:space="0"/>
              <w:left w:val="single" w:color="auto" w:sz="4" w:space="0"/>
              <w:bottom w:val="single" w:color="auto" w:sz="4" w:space="0"/>
              <w:right w:val="single" w:color="auto" w:sz="4" w:space="0"/>
            </w:tcBorders>
            <w:noWrap/>
            <w:vAlign w:val="center"/>
          </w:tcPr>
          <w:p w14:paraId="3CE4DE58">
            <w:pPr>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010" w:type="pct"/>
            <w:tcBorders>
              <w:top w:val="single" w:color="auto" w:sz="4" w:space="0"/>
              <w:left w:val="nil"/>
              <w:bottom w:val="single" w:color="auto" w:sz="4" w:space="0"/>
              <w:right w:val="single" w:color="auto" w:sz="4" w:space="0"/>
            </w:tcBorders>
            <w:noWrap/>
            <w:vAlign w:val="center"/>
          </w:tcPr>
          <w:p w14:paraId="3C98096B">
            <w:pPr>
              <w:jc w:val="center"/>
              <w:rPr>
                <w:rFonts w:hint="eastAsia" w:ascii="宋体" w:hAnsi="宋体" w:eastAsia="宋体" w:cs="宋体"/>
                <w:kern w:val="0"/>
                <w:sz w:val="24"/>
                <w:szCs w:val="24"/>
              </w:rPr>
            </w:pPr>
            <w:r>
              <w:rPr>
                <w:rFonts w:hint="eastAsia" w:ascii="宋体" w:hAnsi="宋体" w:eastAsia="宋体" w:cs="宋体"/>
                <w:kern w:val="0"/>
                <w:sz w:val="24"/>
                <w:szCs w:val="24"/>
              </w:rPr>
              <w:t>客梯/Gen3</w:t>
            </w:r>
          </w:p>
        </w:tc>
        <w:tc>
          <w:tcPr>
            <w:tcW w:w="556" w:type="pct"/>
            <w:tcBorders>
              <w:top w:val="single" w:color="auto" w:sz="4" w:space="0"/>
              <w:left w:val="nil"/>
              <w:bottom w:val="single" w:color="auto" w:sz="4" w:space="0"/>
              <w:right w:val="single" w:color="auto" w:sz="4" w:space="0"/>
            </w:tcBorders>
            <w:noWrap/>
            <w:vAlign w:val="center"/>
          </w:tcPr>
          <w:p w14:paraId="74F28CFE">
            <w:pPr>
              <w:jc w:val="center"/>
              <w:rPr>
                <w:rFonts w:hint="eastAsia" w:ascii="宋体" w:hAnsi="宋体" w:eastAsia="宋体" w:cs="宋体"/>
                <w:kern w:val="0"/>
                <w:sz w:val="24"/>
                <w:szCs w:val="24"/>
              </w:rPr>
            </w:pPr>
            <w:r>
              <w:rPr>
                <w:rFonts w:hint="eastAsia" w:ascii="宋体" w:hAnsi="宋体" w:eastAsia="宋体" w:cs="宋体"/>
                <w:kern w:val="0"/>
                <w:sz w:val="24"/>
                <w:szCs w:val="24"/>
              </w:rPr>
              <w:t>1350</w:t>
            </w:r>
          </w:p>
        </w:tc>
        <w:tc>
          <w:tcPr>
            <w:tcW w:w="664" w:type="pct"/>
            <w:tcBorders>
              <w:top w:val="single" w:color="auto" w:sz="4" w:space="0"/>
              <w:left w:val="nil"/>
              <w:bottom w:val="single" w:color="auto" w:sz="4" w:space="0"/>
              <w:right w:val="single" w:color="auto" w:sz="4" w:space="0"/>
            </w:tcBorders>
            <w:noWrap/>
            <w:vAlign w:val="center"/>
          </w:tcPr>
          <w:p w14:paraId="51E04873">
            <w:pPr>
              <w:jc w:val="center"/>
              <w:rPr>
                <w:rFonts w:hint="eastAsia" w:ascii="宋体" w:hAnsi="宋体" w:eastAsia="宋体" w:cs="宋体"/>
                <w:kern w:val="0"/>
                <w:sz w:val="24"/>
                <w:szCs w:val="24"/>
              </w:rPr>
            </w:pPr>
            <w:r>
              <w:rPr>
                <w:rFonts w:hint="eastAsia" w:ascii="宋体" w:hAnsi="宋体" w:eastAsia="宋体" w:cs="宋体"/>
                <w:kern w:val="0"/>
                <w:sz w:val="24"/>
                <w:szCs w:val="24"/>
              </w:rPr>
              <w:t>26/11</w:t>
            </w:r>
          </w:p>
        </w:tc>
        <w:tc>
          <w:tcPr>
            <w:tcW w:w="1240" w:type="pct"/>
            <w:tcBorders>
              <w:top w:val="single" w:color="auto" w:sz="4" w:space="0"/>
              <w:left w:val="nil"/>
              <w:bottom w:val="single" w:color="auto" w:sz="4" w:space="0"/>
              <w:right w:val="single" w:color="auto" w:sz="4" w:space="0"/>
            </w:tcBorders>
            <w:noWrap/>
            <w:vAlign w:val="center"/>
          </w:tcPr>
          <w:p w14:paraId="3B803FE7">
            <w:pPr>
              <w:jc w:val="center"/>
              <w:rPr>
                <w:rFonts w:hint="eastAsia" w:ascii="宋体" w:hAnsi="宋体" w:eastAsia="宋体" w:cs="宋体"/>
                <w:kern w:val="0"/>
                <w:sz w:val="24"/>
                <w:szCs w:val="24"/>
              </w:rPr>
            </w:pPr>
            <w:r>
              <w:rPr>
                <w:rFonts w:hint="eastAsia" w:ascii="宋体" w:hAnsi="宋体" w:eastAsia="宋体" w:cs="宋体"/>
                <w:kern w:val="0"/>
                <w:sz w:val="24"/>
                <w:szCs w:val="24"/>
              </w:rPr>
              <w:t>2023年10月11日</w:t>
            </w:r>
          </w:p>
        </w:tc>
        <w:tc>
          <w:tcPr>
            <w:tcW w:w="1067" w:type="pct"/>
            <w:tcBorders>
              <w:top w:val="single" w:color="auto" w:sz="4" w:space="0"/>
              <w:left w:val="nil"/>
              <w:bottom w:val="single" w:color="auto" w:sz="4" w:space="0"/>
              <w:right w:val="single" w:color="auto" w:sz="4" w:space="0"/>
            </w:tcBorders>
            <w:noWrap/>
            <w:vAlign w:val="center"/>
          </w:tcPr>
          <w:p w14:paraId="61DF150A">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1A797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61" w:type="pct"/>
            <w:tcBorders>
              <w:top w:val="single" w:color="auto" w:sz="4" w:space="0"/>
              <w:left w:val="single" w:color="auto" w:sz="4" w:space="0"/>
              <w:bottom w:val="single" w:color="auto" w:sz="4" w:space="0"/>
              <w:right w:val="single" w:color="auto" w:sz="4" w:space="0"/>
            </w:tcBorders>
            <w:noWrap/>
            <w:vAlign w:val="center"/>
          </w:tcPr>
          <w:p w14:paraId="257C9D6E">
            <w:pPr>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010" w:type="pct"/>
            <w:tcBorders>
              <w:top w:val="single" w:color="auto" w:sz="4" w:space="0"/>
              <w:left w:val="nil"/>
              <w:bottom w:val="single" w:color="auto" w:sz="4" w:space="0"/>
              <w:right w:val="single" w:color="auto" w:sz="4" w:space="0"/>
            </w:tcBorders>
            <w:noWrap/>
            <w:vAlign w:val="center"/>
          </w:tcPr>
          <w:p w14:paraId="1357D53E">
            <w:pPr>
              <w:jc w:val="center"/>
              <w:rPr>
                <w:rFonts w:hint="eastAsia" w:ascii="宋体" w:hAnsi="宋体" w:eastAsia="宋体" w:cs="宋体"/>
                <w:kern w:val="0"/>
                <w:sz w:val="24"/>
                <w:szCs w:val="24"/>
              </w:rPr>
            </w:pPr>
            <w:r>
              <w:rPr>
                <w:rFonts w:hint="eastAsia" w:ascii="宋体" w:hAnsi="宋体" w:eastAsia="宋体" w:cs="宋体"/>
                <w:kern w:val="0"/>
                <w:sz w:val="24"/>
                <w:szCs w:val="24"/>
              </w:rPr>
              <w:t>客梯/Gen3</w:t>
            </w:r>
          </w:p>
        </w:tc>
        <w:tc>
          <w:tcPr>
            <w:tcW w:w="556" w:type="pct"/>
            <w:tcBorders>
              <w:top w:val="single" w:color="auto" w:sz="4" w:space="0"/>
              <w:left w:val="nil"/>
              <w:bottom w:val="single" w:color="auto" w:sz="4" w:space="0"/>
              <w:right w:val="single" w:color="auto" w:sz="4" w:space="0"/>
            </w:tcBorders>
            <w:noWrap/>
            <w:vAlign w:val="center"/>
          </w:tcPr>
          <w:p w14:paraId="1E717C49">
            <w:pPr>
              <w:jc w:val="center"/>
              <w:rPr>
                <w:rFonts w:hint="eastAsia" w:ascii="宋体" w:hAnsi="宋体" w:eastAsia="宋体" w:cs="宋体"/>
                <w:kern w:val="0"/>
                <w:sz w:val="24"/>
                <w:szCs w:val="24"/>
              </w:rPr>
            </w:pPr>
            <w:r>
              <w:rPr>
                <w:rFonts w:hint="eastAsia" w:ascii="宋体" w:hAnsi="宋体" w:eastAsia="宋体" w:cs="宋体"/>
                <w:kern w:val="0"/>
                <w:sz w:val="24"/>
                <w:szCs w:val="24"/>
              </w:rPr>
              <w:t>1350</w:t>
            </w:r>
          </w:p>
        </w:tc>
        <w:tc>
          <w:tcPr>
            <w:tcW w:w="664" w:type="pct"/>
            <w:tcBorders>
              <w:top w:val="single" w:color="auto" w:sz="4" w:space="0"/>
              <w:left w:val="nil"/>
              <w:bottom w:val="single" w:color="auto" w:sz="4" w:space="0"/>
              <w:right w:val="single" w:color="auto" w:sz="4" w:space="0"/>
            </w:tcBorders>
            <w:noWrap/>
            <w:vAlign w:val="center"/>
          </w:tcPr>
          <w:p w14:paraId="116AC830">
            <w:pPr>
              <w:jc w:val="center"/>
              <w:rPr>
                <w:rFonts w:hint="eastAsia" w:ascii="宋体" w:hAnsi="宋体" w:eastAsia="宋体" w:cs="宋体"/>
                <w:kern w:val="0"/>
                <w:sz w:val="24"/>
                <w:szCs w:val="24"/>
              </w:rPr>
            </w:pPr>
            <w:r>
              <w:rPr>
                <w:rFonts w:hint="eastAsia" w:ascii="宋体" w:hAnsi="宋体" w:eastAsia="宋体" w:cs="宋体"/>
                <w:kern w:val="0"/>
                <w:sz w:val="24"/>
                <w:szCs w:val="24"/>
              </w:rPr>
              <w:t>26/11</w:t>
            </w:r>
          </w:p>
        </w:tc>
        <w:tc>
          <w:tcPr>
            <w:tcW w:w="1240" w:type="pct"/>
            <w:tcBorders>
              <w:top w:val="single" w:color="auto" w:sz="4" w:space="0"/>
              <w:left w:val="nil"/>
              <w:bottom w:val="single" w:color="auto" w:sz="4" w:space="0"/>
              <w:right w:val="single" w:color="auto" w:sz="4" w:space="0"/>
            </w:tcBorders>
            <w:noWrap/>
            <w:vAlign w:val="center"/>
          </w:tcPr>
          <w:p w14:paraId="4B29A717">
            <w:pPr>
              <w:jc w:val="center"/>
              <w:rPr>
                <w:rFonts w:hint="eastAsia" w:ascii="宋体" w:hAnsi="宋体" w:eastAsia="宋体" w:cs="宋体"/>
                <w:kern w:val="0"/>
                <w:sz w:val="24"/>
                <w:szCs w:val="24"/>
              </w:rPr>
            </w:pPr>
            <w:r>
              <w:rPr>
                <w:rFonts w:hint="eastAsia" w:ascii="宋体" w:hAnsi="宋体" w:eastAsia="宋体" w:cs="宋体"/>
                <w:kern w:val="0"/>
                <w:sz w:val="24"/>
                <w:szCs w:val="24"/>
              </w:rPr>
              <w:t>2023年10月11日</w:t>
            </w:r>
          </w:p>
        </w:tc>
        <w:tc>
          <w:tcPr>
            <w:tcW w:w="1067" w:type="pct"/>
            <w:tcBorders>
              <w:top w:val="single" w:color="auto" w:sz="4" w:space="0"/>
              <w:left w:val="nil"/>
              <w:bottom w:val="single" w:color="auto" w:sz="4" w:space="0"/>
              <w:right w:val="single" w:color="auto" w:sz="4" w:space="0"/>
            </w:tcBorders>
            <w:noWrap/>
            <w:vAlign w:val="center"/>
          </w:tcPr>
          <w:p w14:paraId="08B4EEC3">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07403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61" w:type="pct"/>
            <w:noWrap w:val="0"/>
            <w:vAlign w:val="center"/>
          </w:tcPr>
          <w:p w14:paraId="4C36E43A">
            <w:pPr>
              <w:jc w:val="center"/>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1010" w:type="pct"/>
            <w:noWrap w:val="0"/>
            <w:vAlign w:val="center"/>
          </w:tcPr>
          <w:p w14:paraId="75904F40">
            <w:pPr>
              <w:jc w:val="center"/>
              <w:rPr>
                <w:rFonts w:hint="eastAsia" w:ascii="宋体" w:hAnsi="宋体" w:eastAsia="宋体" w:cs="宋体"/>
                <w:kern w:val="0"/>
                <w:sz w:val="24"/>
                <w:szCs w:val="24"/>
              </w:rPr>
            </w:pPr>
            <w:r>
              <w:rPr>
                <w:rFonts w:hint="eastAsia" w:ascii="宋体" w:hAnsi="宋体" w:eastAsia="宋体" w:cs="宋体"/>
                <w:kern w:val="0"/>
                <w:sz w:val="24"/>
                <w:szCs w:val="24"/>
              </w:rPr>
              <w:t>客梯/Gen3</w:t>
            </w:r>
          </w:p>
        </w:tc>
        <w:tc>
          <w:tcPr>
            <w:tcW w:w="556" w:type="pct"/>
            <w:noWrap w:val="0"/>
            <w:vAlign w:val="center"/>
          </w:tcPr>
          <w:p w14:paraId="1A092A7F">
            <w:pPr>
              <w:jc w:val="center"/>
              <w:rPr>
                <w:rFonts w:hint="eastAsia" w:ascii="宋体" w:hAnsi="宋体" w:eastAsia="宋体" w:cs="宋体"/>
                <w:kern w:val="0"/>
                <w:sz w:val="24"/>
                <w:szCs w:val="24"/>
              </w:rPr>
            </w:pPr>
            <w:r>
              <w:rPr>
                <w:rFonts w:hint="eastAsia" w:ascii="宋体" w:hAnsi="宋体" w:eastAsia="宋体" w:cs="宋体"/>
                <w:kern w:val="0"/>
                <w:sz w:val="24"/>
                <w:szCs w:val="24"/>
              </w:rPr>
              <w:t>1350</w:t>
            </w:r>
          </w:p>
        </w:tc>
        <w:tc>
          <w:tcPr>
            <w:tcW w:w="664" w:type="pct"/>
            <w:noWrap w:val="0"/>
            <w:vAlign w:val="center"/>
          </w:tcPr>
          <w:p w14:paraId="49B4A67D">
            <w:pPr>
              <w:jc w:val="center"/>
              <w:rPr>
                <w:rFonts w:hint="eastAsia" w:ascii="宋体" w:hAnsi="宋体" w:eastAsia="宋体" w:cs="宋体"/>
                <w:kern w:val="0"/>
                <w:sz w:val="24"/>
                <w:szCs w:val="24"/>
              </w:rPr>
            </w:pPr>
            <w:r>
              <w:rPr>
                <w:rFonts w:hint="eastAsia" w:ascii="宋体" w:hAnsi="宋体" w:eastAsia="宋体" w:cs="宋体"/>
                <w:kern w:val="0"/>
                <w:sz w:val="24"/>
                <w:szCs w:val="24"/>
              </w:rPr>
              <w:t>19/19</w:t>
            </w:r>
          </w:p>
        </w:tc>
        <w:tc>
          <w:tcPr>
            <w:tcW w:w="1240" w:type="pct"/>
            <w:noWrap w:val="0"/>
            <w:vAlign w:val="center"/>
          </w:tcPr>
          <w:p w14:paraId="727B0A80">
            <w:pPr>
              <w:jc w:val="center"/>
              <w:rPr>
                <w:rFonts w:hint="eastAsia" w:ascii="宋体" w:hAnsi="宋体" w:eastAsia="宋体" w:cs="宋体"/>
                <w:kern w:val="0"/>
                <w:sz w:val="24"/>
                <w:szCs w:val="24"/>
              </w:rPr>
            </w:pPr>
            <w:r>
              <w:rPr>
                <w:rFonts w:hint="eastAsia" w:ascii="宋体" w:hAnsi="宋体" w:eastAsia="宋体" w:cs="宋体"/>
                <w:kern w:val="0"/>
                <w:sz w:val="24"/>
                <w:szCs w:val="24"/>
              </w:rPr>
              <w:t>2023年6月2日</w:t>
            </w:r>
          </w:p>
        </w:tc>
        <w:tc>
          <w:tcPr>
            <w:tcW w:w="1067" w:type="pct"/>
            <w:noWrap w:val="0"/>
            <w:vAlign w:val="center"/>
          </w:tcPr>
          <w:p w14:paraId="1F48A342">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3A1F1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461" w:type="pct"/>
            <w:noWrap w:val="0"/>
            <w:vAlign w:val="center"/>
          </w:tcPr>
          <w:p w14:paraId="59FAD758">
            <w:pPr>
              <w:jc w:val="center"/>
              <w:rPr>
                <w:rFonts w:hint="eastAsia" w:ascii="宋体" w:hAnsi="宋体" w:eastAsia="宋体" w:cs="宋体"/>
                <w:kern w:val="0"/>
                <w:sz w:val="24"/>
                <w:szCs w:val="24"/>
              </w:rPr>
            </w:pPr>
            <w:r>
              <w:rPr>
                <w:rFonts w:hint="eastAsia" w:ascii="宋体" w:hAnsi="宋体" w:eastAsia="宋体" w:cs="宋体"/>
                <w:kern w:val="0"/>
                <w:sz w:val="24"/>
                <w:szCs w:val="24"/>
              </w:rPr>
              <w:t>4</w:t>
            </w:r>
          </w:p>
        </w:tc>
        <w:tc>
          <w:tcPr>
            <w:tcW w:w="1010" w:type="pct"/>
            <w:noWrap w:val="0"/>
            <w:vAlign w:val="center"/>
          </w:tcPr>
          <w:p w14:paraId="417E2D4E">
            <w:pPr>
              <w:jc w:val="center"/>
              <w:rPr>
                <w:rFonts w:hint="eastAsia" w:ascii="宋体" w:hAnsi="宋体" w:eastAsia="宋体" w:cs="宋体"/>
                <w:kern w:val="0"/>
                <w:sz w:val="24"/>
                <w:szCs w:val="24"/>
              </w:rPr>
            </w:pPr>
            <w:r>
              <w:rPr>
                <w:rFonts w:hint="eastAsia" w:ascii="宋体" w:hAnsi="宋体" w:eastAsia="宋体" w:cs="宋体"/>
                <w:kern w:val="0"/>
                <w:sz w:val="24"/>
                <w:szCs w:val="24"/>
              </w:rPr>
              <w:t>客梯/Gen3</w:t>
            </w:r>
          </w:p>
        </w:tc>
        <w:tc>
          <w:tcPr>
            <w:tcW w:w="556" w:type="pct"/>
            <w:noWrap w:val="0"/>
            <w:vAlign w:val="center"/>
          </w:tcPr>
          <w:p w14:paraId="69FE2BAA">
            <w:pPr>
              <w:jc w:val="center"/>
              <w:rPr>
                <w:rFonts w:hint="eastAsia" w:ascii="宋体" w:hAnsi="宋体" w:eastAsia="宋体" w:cs="宋体"/>
                <w:kern w:val="0"/>
                <w:sz w:val="24"/>
                <w:szCs w:val="24"/>
              </w:rPr>
            </w:pPr>
            <w:r>
              <w:rPr>
                <w:rFonts w:hint="eastAsia" w:ascii="宋体" w:hAnsi="宋体" w:eastAsia="宋体" w:cs="宋体"/>
                <w:kern w:val="0"/>
                <w:sz w:val="24"/>
                <w:szCs w:val="24"/>
              </w:rPr>
              <w:t>1350</w:t>
            </w:r>
          </w:p>
        </w:tc>
        <w:tc>
          <w:tcPr>
            <w:tcW w:w="664" w:type="pct"/>
            <w:noWrap w:val="0"/>
            <w:vAlign w:val="center"/>
          </w:tcPr>
          <w:p w14:paraId="0F1B4638">
            <w:pPr>
              <w:jc w:val="center"/>
              <w:rPr>
                <w:rFonts w:hint="eastAsia" w:ascii="宋体" w:hAnsi="宋体" w:eastAsia="宋体" w:cs="宋体"/>
                <w:kern w:val="0"/>
                <w:sz w:val="24"/>
                <w:szCs w:val="24"/>
              </w:rPr>
            </w:pPr>
            <w:r>
              <w:rPr>
                <w:rFonts w:hint="eastAsia" w:ascii="宋体" w:hAnsi="宋体" w:eastAsia="宋体" w:cs="宋体"/>
                <w:kern w:val="0"/>
                <w:sz w:val="24"/>
                <w:szCs w:val="24"/>
              </w:rPr>
              <w:t>19/19</w:t>
            </w:r>
          </w:p>
        </w:tc>
        <w:tc>
          <w:tcPr>
            <w:tcW w:w="1240" w:type="pct"/>
            <w:noWrap w:val="0"/>
            <w:vAlign w:val="center"/>
          </w:tcPr>
          <w:p w14:paraId="4912F922">
            <w:pPr>
              <w:jc w:val="center"/>
              <w:rPr>
                <w:rFonts w:hint="eastAsia" w:ascii="宋体" w:hAnsi="宋体" w:eastAsia="宋体" w:cs="宋体"/>
                <w:kern w:val="0"/>
                <w:sz w:val="24"/>
                <w:szCs w:val="24"/>
              </w:rPr>
            </w:pPr>
            <w:r>
              <w:rPr>
                <w:rFonts w:hint="eastAsia" w:ascii="宋体" w:hAnsi="宋体" w:eastAsia="宋体" w:cs="宋体"/>
                <w:kern w:val="0"/>
                <w:sz w:val="24"/>
                <w:szCs w:val="24"/>
              </w:rPr>
              <w:t>2023年10月11日</w:t>
            </w:r>
          </w:p>
        </w:tc>
        <w:tc>
          <w:tcPr>
            <w:tcW w:w="1067" w:type="pct"/>
            <w:noWrap w:val="0"/>
            <w:vAlign w:val="center"/>
          </w:tcPr>
          <w:p w14:paraId="7D499570">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33E8C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461" w:type="pct"/>
            <w:noWrap w:val="0"/>
            <w:vAlign w:val="center"/>
          </w:tcPr>
          <w:p w14:paraId="0D69C63C">
            <w:pPr>
              <w:jc w:val="center"/>
              <w:rPr>
                <w:rFonts w:hint="eastAsia" w:ascii="宋体" w:hAnsi="宋体" w:eastAsia="宋体" w:cs="宋体"/>
                <w:kern w:val="0"/>
                <w:sz w:val="24"/>
                <w:szCs w:val="24"/>
              </w:rPr>
            </w:pPr>
            <w:r>
              <w:rPr>
                <w:rFonts w:hint="eastAsia" w:ascii="宋体" w:hAnsi="宋体" w:eastAsia="宋体" w:cs="宋体"/>
                <w:kern w:val="0"/>
                <w:sz w:val="24"/>
                <w:szCs w:val="24"/>
              </w:rPr>
              <w:t>5</w:t>
            </w:r>
          </w:p>
        </w:tc>
        <w:tc>
          <w:tcPr>
            <w:tcW w:w="1010" w:type="pct"/>
            <w:noWrap w:val="0"/>
            <w:vAlign w:val="center"/>
          </w:tcPr>
          <w:p w14:paraId="4FD45ED5">
            <w:pPr>
              <w:jc w:val="center"/>
              <w:rPr>
                <w:rFonts w:hint="eastAsia" w:ascii="宋体" w:hAnsi="宋体" w:eastAsia="宋体" w:cs="宋体"/>
                <w:kern w:val="0"/>
                <w:sz w:val="24"/>
                <w:szCs w:val="24"/>
              </w:rPr>
            </w:pPr>
            <w:r>
              <w:rPr>
                <w:rFonts w:hint="eastAsia" w:ascii="宋体" w:hAnsi="宋体" w:eastAsia="宋体" w:cs="宋体"/>
                <w:kern w:val="0"/>
                <w:sz w:val="24"/>
                <w:szCs w:val="24"/>
              </w:rPr>
              <w:t>客梯/Gen3</w:t>
            </w:r>
          </w:p>
        </w:tc>
        <w:tc>
          <w:tcPr>
            <w:tcW w:w="556" w:type="pct"/>
            <w:noWrap w:val="0"/>
            <w:vAlign w:val="center"/>
          </w:tcPr>
          <w:p w14:paraId="4D9B3D96">
            <w:pPr>
              <w:jc w:val="center"/>
              <w:rPr>
                <w:rFonts w:hint="eastAsia" w:ascii="宋体" w:hAnsi="宋体" w:eastAsia="宋体" w:cs="宋体"/>
                <w:kern w:val="0"/>
                <w:sz w:val="24"/>
                <w:szCs w:val="24"/>
              </w:rPr>
            </w:pPr>
            <w:r>
              <w:rPr>
                <w:rFonts w:hint="eastAsia" w:ascii="宋体" w:hAnsi="宋体" w:eastAsia="宋体" w:cs="宋体"/>
                <w:kern w:val="0"/>
                <w:sz w:val="24"/>
                <w:szCs w:val="24"/>
              </w:rPr>
              <w:t>1350</w:t>
            </w:r>
          </w:p>
        </w:tc>
        <w:tc>
          <w:tcPr>
            <w:tcW w:w="664" w:type="pct"/>
            <w:noWrap w:val="0"/>
            <w:vAlign w:val="center"/>
          </w:tcPr>
          <w:p w14:paraId="40FB4157">
            <w:pPr>
              <w:jc w:val="center"/>
              <w:rPr>
                <w:rFonts w:hint="eastAsia" w:ascii="宋体" w:hAnsi="宋体" w:eastAsia="宋体" w:cs="宋体"/>
                <w:kern w:val="0"/>
                <w:sz w:val="24"/>
                <w:szCs w:val="24"/>
              </w:rPr>
            </w:pPr>
            <w:r>
              <w:rPr>
                <w:rFonts w:hint="eastAsia" w:ascii="宋体" w:hAnsi="宋体" w:eastAsia="宋体" w:cs="宋体"/>
                <w:kern w:val="0"/>
                <w:sz w:val="24"/>
                <w:szCs w:val="24"/>
              </w:rPr>
              <w:t>19/19</w:t>
            </w:r>
          </w:p>
        </w:tc>
        <w:tc>
          <w:tcPr>
            <w:tcW w:w="1240" w:type="pct"/>
            <w:noWrap w:val="0"/>
            <w:vAlign w:val="center"/>
          </w:tcPr>
          <w:p w14:paraId="6E004677">
            <w:pPr>
              <w:jc w:val="center"/>
              <w:rPr>
                <w:rFonts w:hint="eastAsia" w:ascii="宋体" w:hAnsi="宋体" w:eastAsia="宋体" w:cs="宋体"/>
                <w:kern w:val="0"/>
                <w:sz w:val="24"/>
                <w:szCs w:val="24"/>
              </w:rPr>
            </w:pPr>
            <w:r>
              <w:rPr>
                <w:rFonts w:hint="eastAsia" w:ascii="宋体" w:hAnsi="宋体" w:eastAsia="宋体" w:cs="宋体"/>
                <w:kern w:val="0"/>
                <w:sz w:val="24"/>
                <w:szCs w:val="24"/>
              </w:rPr>
              <w:t>2023年10月11日</w:t>
            </w:r>
          </w:p>
        </w:tc>
        <w:tc>
          <w:tcPr>
            <w:tcW w:w="1067" w:type="pct"/>
            <w:noWrap w:val="0"/>
            <w:vAlign w:val="center"/>
          </w:tcPr>
          <w:p w14:paraId="76D48695">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2AAAF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461" w:type="pct"/>
            <w:noWrap w:val="0"/>
            <w:vAlign w:val="center"/>
          </w:tcPr>
          <w:p w14:paraId="0F042B6A">
            <w:pPr>
              <w:jc w:val="center"/>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1010" w:type="pct"/>
            <w:noWrap w:val="0"/>
            <w:vAlign w:val="center"/>
          </w:tcPr>
          <w:p w14:paraId="0C33C9A7">
            <w:pPr>
              <w:jc w:val="center"/>
              <w:rPr>
                <w:rFonts w:hint="eastAsia" w:ascii="宋体" w:hAnsi="宋体" w:eastAsia="宋体" w:cs="宋体"/>
                <w:kern w:val="0"/>
                <w:sz w:val="24"/>
                <w:szCs w:val="24"/>
              </w:rPr>
            </w:pPr>
            <w:r>
              <w:rPr>
                <w:rFonts w:hint="eastAsia" w:ascii="宋体" w:hAnsi="宋体" w:eastAsia="宋体" w:cs="宋体"/>
                <w:kern w:val="0"/>
                <w:sz w:val="24"/>
                <w:szCs w:val="24"/>
              </w:rPr>
              <w:t>客梯/Gen3</w:t>
            </w:r>
          </w:p>
        </w:tc>
        <w:tc>
          <w:tcPr>
            <w:tcW w:w="556" w:type="pct"/>
            <w:noWrap w:val="0"/>
            <w:vAlign w:val="center"/>
          </w:tcPr>
          <w:p w14:paraId="512E05E7">
            <w:pPr>
              <w:jc w:val="center"/>
              <w:rPr>
                <w:rFonts w:hint="eastAsia" w:ascii="宋体" w:hAnsi="宋体" w:eastAsia="宋体" w:cs="宋体"/>
                <w:kern w:val="0"/>
                <w:sz w:val="24"/>
                <w:szCs w:val="24"/>
              </w:rPr>
            </w:pPr>
            <w:r>
              <w:rPr>
                <w:rFonts w:hint="eastAsia" w:ascii="宋体" w:hAnsi="宋体" w:eastAsia="宋体" w:cs="宋体"/>
                <w:kern w:val="0"/>
                <w:sz w:val="24"/>
                <w:szCs w:val="24"/>
              </w:rPr>
              <w:t>1350</w:t>
            </w:r>
          </w:p>
        </w:tc>
        <w:tc>
          <w:tcPr>
            <w:tcW w:w="664" w:type="pct"/>
            <w:noWrap w:val="0"/>
            <w:vAlign w:val="center"/>
          </w:tcPr>
          <w:p w14:paraId="32EDD9E9">
            <w:pPr>
              <w:jc w:val="center"/>
              <w:rPr>
                <w:rFonts w:hint="eastAsia" w:ascii="宋体" w:hAnsi="宋体" w:eastAsia="宋体" w:cs="宋体"/>
                <w:kern w:val="0"/>
                <w:sz w:val="24"/>
                <w:szCs w:val="24"/>
              </w:rPr>
            </w:pPr>
            <w:r>
              <w:rPr>
                <w:rFonts w:hint="eastAsia" w:ascii="宋体" w:hAnsi="宋体" w:eastAsia="宋体" w:cs="宋体"/>
                <w:kern w:val="0"/>
                <w:sz w:val="24"/>
                <w:szCs w:val="24"/>
              </w:rPr>
              <w:t>5/5</w:t>
            </w:r>
          </w:p>
        </w:tc>
        <w:tc>
          <w:tcPr>
            <w:tcW w:w="1240" w:type="pct"/>
            <w:noWrap w:val="0"/>
            <w:vAlign w:val="center"/>
          </w:tcPr>
          <w:p w14:paraId="5D6016D7">
            <w:pPr>
              <w:jc w:val="center"/>
              <w:rPr>
                <w:rFonts w:hint="eastAsia" w:ascii="宋体" w:hAnsi="宋体" w:eastAsia="宋体" w:cs="宋体"/>
                <w:kern w:val="0"/>
                <w:sz w:val="24"/>
                <w:szCs w:val="24"/>
              </w:rPr>
            </w:pPr>
            <w:r>
              <w:rPr>
                <w:rFonts w:hint="eastAsia" w:ascii="宋体" w:hAnsi="宋体" w:eastAsia="宋体" w:cs="宋体"/>
                <w:kern w:val="0"/>
                <w:sz w:val="24"/>
                <w:szCs w:val="24"/>
              </w:rPr>
              <w:t>2023年10月11日</w:t>
            </w:r>
          </w:p>
        </w:tc>
        <w:tc>
          <w:tcPr>
            <w:tcW w:w="1067" w:type="pct"/>
            <w:noWrap w:val="0"/>
            <w:vAlign w:val="center"/>
          </w:tcPr>
          <w:p w14:paraId="62F79F65">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76FEE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461" w:type="pct"/>
            <w:noWrap w:val="0"/>
            <w:vAlign w:val="center"/>
          </w:tcPr>
          <w:p w14:paraId="05EB028D">
            <w:pPr>
              <w:jc w:val="center"/>
              <w:rPr>
                <w:rFonts w:hint="eastAsia" w:ascii="宋体" w:hAnsi="宋体" w:eastAsia="宋体" w:cs="宋体"/>
                <w:kern w:val="0"/>
                <w:sz w:val="24"/>
                <w:szCs w:val="24"/>
              </w:rPr>
            </w:pPr>
            <w:r>
              <w:rPr>
                <w:rFonts w:hint="eastAsia" w:ascii="宋体" w:hAnsi="宋体" w:eastAsia="宋体" w:cs="宋体"/>
                <w:kern w:val="0"/>
                <w:sz w:val="24"/>
                <w:szCs w:val="24"/>
              </w:rPr>
              <w:t>7</w:t>
            </w:r>
          </w:p>
        </w:tc>
        <w:tc>
          <w:tcPr>
            <w:tcW w:w="1010" w:type="pct"/>
            <w:noWrap w:val="0"/>
            <w:vAlign w:val="center"/>
          </w:tcPr>
          <w:p w14:paraId="70A81ED6">
            <w:pPr>
              <w:jc w:val="center"/>
              <w:rPr>
                <w:rFonts w:hint="eastAsia" w:ascii="宋体" w:hAnsi="宋体" w:eastAsia="宋体" w:cs="宋体"/>
                <w:kern w:val="0"/>
                <w:sz w:val="24"/>
                <w:szCs w:val="24"/>
              </w:rPr>
            </w:pPr>
            <w:r>
              <w:rPr>
                <w:rFonts w:hint="eastAsia" w:ascii="宋体" w:hAnsi="宋体" w:eastAsia="宋体" w:cs="宋体"/>
                <w:kern w:val="0"/>
                <w:sz w:val="24"/>
                <w:szCs w:val="24"/>
              </w:rPr>
              <w:t>客梯/Gen3</w:t>
            </w:r>
          </w:p>
        </w:tc>
        <w:tc>
          <w:tcPr>
            <w:tcW w:w="556" w:type="pct"/>
            <w:noWrap w:val="0"/>
            <w:vAlign w:val="center"/>
          </w:tcPr>
          <w:p w14:paraId="6A43D78A">
            <w:pPr>
              <w:jc w:val="center"/>
              <w:rPr>
                <w:rFonts w:hint="eastAsia" w:ascii="宋体" w:hAnsi="宋体" w:eastAsia="宋体" w:cs="宋体"/>
                <w:kern w:val="0"/>
                <w:sz w:val="24"/>
                <w:szCs w:val="24"/>
              </w:rPr>
            </w:pPr>
            <w:r>
              <w:rPr>
                <w:rFonts w:hint="eastAsia" w:ascii="宋体" w:hAnsi="宋体" w:eastAsia="宋体" w:cs="宋体"/>
                <w:kern w:val="0"/>
                <w:sz w:val="24"/>
                <w:szCs w:val="24"/>
              </w:rPr>
              <w:t>1350</w:t>
            </w:r>
          </w:p>
        </w:tc>
        <w:tc>
          <w:tcPr>
            <w:tcW w:w="664" w:type="pct"/>
            <w:noWrap w:val="0"/>
            <w:vAlign w:val="center"/>
          </w:tcPr>
          <w:p w14:paraId="3963B245">
            <w:pPr>
              <w:jc w:val="center"/>
              <w:rPr>
                <w:rFonts w:hint="eastAsia" w:ascii="宋体" w:hAnsi="宋体" w:eastAsia="宋体" w:cs="宋体"/>
                <w:kern w:val="0"/>
                <w:sz w:val="24"/>
                <w:szCs w:val="24"/>
              </w:rPr>
            </w:pPr>
            <w:r>
              <w:rPr>
                <w:rFonts w:hint="eastAsia" w:ascii="宋体" w:hAnsi="宋体" w:eastAsia="宋体" w:cs="宋体"/>
                <w:kern w:val="0"/>
                <w:sz w:val="24"/>
                <w:szCs w:val="24"/>
              </w:rPr>
              <w:t>5/5</w:t>
            </w:r>
          </w:p>
        </w:tc>
        <w:tc>
          <w:tcPr>
            <w:tcW w:w="1240" w:type="pct"/>
            <w:noWrap w:val="0"/>
            <w:vAlign w:val="center"/>
          </w:tcPr>
          <w:p w14:paraId="6D4B8BA0">
            <w:pPr>
              <w:jc w:val="center"/>
              <w:rPr>
                <w:rFonts w:hint="eastAsia" w:ascii="宋体" w:hAnsi="宋体" w:eastAsia="宋体" w:cs="宋体"/>
                <w:kern w:val="0"/>
                <w:sz w:val="24"/>
                <w:szCs w:val="24"/>
              </w:rPr>
            </w:pPr>
            <w:r>
              <w:rPr>
                <w:rFonts w:hint="eastAsia" w:ascii="宋体" w:hAnsi="宋体" w:eastAsia="宋体" w:cs="宋体"/>
                <w:kern w:val="0"/>
                <w:sz w:val="24"/>
                <w:szCs w:val="24"/>
              </w:rPr>
              <w:t>2023年10月11日</w:t>
            </w:r>
          </w:p>
        </w:tc>
        <w:tc>
          <w:tcPr>
            <w:tcW w:w="1067" w:type="pct"/>
            <w:noWrap w:val="0"/>
            <w:vAlign w:val="center"/>
          </w:tcPr>
          <w:p w14:paraId="0B15FC74">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23647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461" w:type="pct"/>
            <w:noWrap w:val="0"/>
            <w:vAlign w:val="center"/>
          </w:tcPr>
          <w:p w14:paraId="3F26F1D1">
            <w:pPr>
              <w:jc w:val="center"/>
              <w:rPr>
                <w:rFonts w:hint="eastAsia" w:ascii="宋体" w:hAnsi="宋体" w:eastAsia="宋体" w:cs="宋体"/>
                <w:kern w:val="0"/>
                <w:sz w:val="24"/>
                <w:szCs w:val="24"/>
              </w:rPr>
            </w:pPr>
            <w:r>
              <w:rPr>
                <w:rFonts w:hint="eastAsia" w:ascii="宋体" w:hAnsi="宋体" w:eastAsia="宋体" w:cs="宋体"/>
                <w:kern w:val="0"/>
                <w:sz w:val="24"/>
                <w:szCs w:val="24"/>
              </w:rPr>
              <w:t>8</w:t>
            </w:r>
          </w:p>
        </w:tc>
        <w:tc>
          <w:tcPr>
            <w:tcW w:w="1010" w:type="pct"/>
            <w:noWrap w:val="0"/>
            <w:vAlign w:val="center"/>
          </w:tcPr>
          <w:p w14:paraId="339354CF">
            <w:pPr>
              <w:jc w:val="center"/>
              <w:rPr>
                <w:rFonts w:hint="eastAsia" w:ascii="宋体" w:hAnsi="宋体" w:eastAsia="宋体" w:cs="宋体"/>
                <w:kern w:val="0"/>
                <w:sz w:val="24"/>
                <w:szCs w:val="24"/>
              </w:rPr>
            </w:pPr>
            <w:r>
              <w:rPr>
                <w:rFonts w:hint="eastAsia" w:ascii="宋体" w:hAnsi="宋体" w:eastAsia="宋体" w:cs="宋体"/>
                <w:kern w:val="0"/>
                <w:sz w:val="24"/>
                <w:szCs w:val="24"/>
              </w:rPr>
              <w:t>送餐梯/Gen3</w:t>
            </w:r>
          </w:p>
        </w:tc>
        <w:tc>
          <w:tcPr>
            <w:tcW w:w="556" w:type="pct"/>
            <w:noWrap w:val="0"/>
            <w:vAlign w:val="center"/>
          </w:tcPr>
          <w:p w14:paraId="342EA4FD">
            <w:pPr>
              <w:jc w:val="center"/>
              <w:rPr>
                <w:rFonts w:hint="eastAsia" w:ascii="宋体" w:hAnsi="宋体" w:eastAsia="宋体" w:cs="宋体"/>
                <w:kern w:val="0"/>
                <w:sz w:val="24"/>
                <w:szCs w:val="24"/>
              </w:rPr>
            </w:pPr>
            <w:r>
              <w:rPr>
                <w:rFonts w:hint="eastAsia" w:ascii="宋体" w:hAnsi="宋体" w:eastAsia="宋体" w:cs="宋体"/>
                <w:kern w:val="0"/>
                <w:sz w:val="24"/>
                <w:szCs w:val="24"/>
              </w:rPr>
              <w:t>1000</w:t>
            </w:r>
          </w:p>
        </w:tc>
        <w:tc>
          <w:tcPr>
            <w:tcW w:w="664" w:type="pct"/>
            <w:noWrap w:val="0"/>
            <w:vAlign w:val="center"/>
          </w:tcPr>
          <w:p w14:paraId="1494828E">
            <w:pPr>
              <w:jc w:val="center"/>
              <w:rPr>
                <w:rFonts w:hint="eastAsia" w:ascii="宋体" w:hAnsi="宋体" w:eastAsia="宋体" w:cs="宋体"/>
                <w:kern w:val="0"/>
                <w:sz w:val="24"/>
                <w:szCs w:val="24"/>
              </w:rPr>
            </w:pPr>
            <w:r>
              <w:rPr>
                <w:rFonts w:hint="eastAsia" w:ascii="宋体" w:hAnsi="宋体" w:eastAsia="宋体" w:cs="宋体"/>
                <w:kern w:val="0"/>
                <w:sz w:val="24"/>
                <w:szCs w:val="24"/>
              </w:rPr>
              <w:t>3/3</w:t>
            </w:r>
          </w:p>
        </w:tc>
        <w:tc>
          <w:tcPr>
            <w:tcW w:w="1240" w:type="pct"/>
            <w:noWrap w:val="0"/>
            <w:vAlign w:val="center"/>
          </w:tcPr>
          <w:p w14:paraId="1652E85D">
            <w:pPr>
              <w:jc w:val="center"/>
              <w:rPr>
                <w:rFonts w:hint="eastAsia" w:ascii="宋体" w:hAnsi="宋体" w:eastAsia="宋体" w:cs="宋体"/>
                <w:kern w:val="0"/>
                <w:sz w:val="24"/>
                <w:szCs w:val="24"/>
              </w:rPr>
            </w:pPr>
            <w:r>
              <w:rPr>
                <w:rFonts w:hint="eastAsia" w:ascii="宋体" w:hAnsi="宋体" w:eastAsia="宋体" w:cs="宋体"/>
                <w:kern w:val="0"/>
                <w:sz w:val="24"/>
                <w:szCs w:val="24"/>
              </w:rPr>
              <w:t>2023年10月11日</w:t>
            </w:r>
          </w:p>
        </w:tc>
        <w:tc>
          <w:tcPr>
            <w:tcW w:w="1067" w:type="pct"/>
            <w:noWrap w:val="0"/>
            <w:vAlign w:val="center"/>
          </w:tcPr>
          <w:p w14:paraId="64432FD1">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411BE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461" w:type="pct"/>
            <w:noWrap w:val="0"/>
            <w:vAlign w:val="center"/>
          </w:tcPr>
          <w:p w14:paraId="7326B079">
            <w:pPr>
              <w:jc w:val="center"/>
              <w:rPr>
                <w:rFonts w:hint="eastAsia" w:ascii="宋体" w:hAnsi="宋体" w:eastAsia="宋体" w:cs="宋体"/>
                <w:kern w:val="0"/>
                <w:sz w:val="24"/>
                <w:szCs w:val="24"/>
              </w:rPr>
            </w:pPr>
            <w:r>
              <w:rPr>
                <w:rFonts w:hint="eastAsia" w:ascii="宋体" w:hAnsi="宋体" w:eastAsia="宋体" w:cs="宋体"/>
                <w:kern w:val="0"/>
                <w:sz w:val="24"/>
                <w:szCs w:val="24"/>
              </w:rPr>
              <w:t>9</w:t>
            </w:r>
          </w:p>
        </w:tc>
        <w:tc>
          <w:tcPr>
            <w:tcW w:w="1010" w:type="pct"/>
            <w:noWrap w:val="0"/>
            <w:vAlign w:val="center"/>
          </w:tcPr>
          <w:p w14:paraId="2A522944">
            <w:pPr>
              <w:jc w:val="center"/>
              <w:rPr>
                <w:rFonts w:hint="eastAsia" w:ascii="宋体" w:hAnsi="宋体" w:eastAsia="宋体" w:cs="宋体"/>
                <w:kern w:val="0"/>
                <w:sz w:val="24"/>
                <w:szCs w:val="24"/>
              </w:rPr>
            </w:pPr>
            <w:r>
              <w:rPr>
                <w:rFonts w:hint="eastAsia" w:ascii="宋体" w:hAnsi="宋体" w:eastAsia="宋体" w:cs="宋体"/>
                <w:kern w:val="0"/>
                <w:sz w:val="24"/>
                <w:szCs w:val="24"/>
              </w:rPr>
              <w:t>消防梯/Gen3</w:t>
            </w:r>
          </w:p>
        </w:tc>
        <w:tc>
          <w:tcPr>
            <w:tcW w:w="556" w:type="pct"/>
            <w:noWrap w:val="0"/>
            <w:vAlign w:val="center"/>
          </w:tcPr>
          <w:p w14:paraId="618C842F">
            <w:pPr>
              <w:jc w:val="center"/>
              <w:rPr>
                <w:rFonts w:hint="eastAsia" w:ascii="宋体" w:hAnsi="宋体" w:eastAsia="宋体" w:cs="宋体"/>
                <w:kern w:val="0"/>
                <w:sz w:val="24"/>
                <w:szCs w:val="24"/>
              </w:rPr>
            </w:pPr>
            <w:r>
              <w:rPr>
                <w:rFonts w:hint="eastAsia" w:ascii="宋体" w:hAnsi="宋体" w:eastAsia="宋体" w:cs="宋体"/>
                <w:kern w:val="0"/>
                <w:sz w:val="24"/>
                <w:szCs w:val="24"/>
              </w:rPr>
              <w:t>1050</w:t>
            </w:r>
          </w:p>
        </w:tc>
        <w:tc>
          <w:tcPr>
            <w:tcW w:w="664" w:type="pct"/>
            <w:noWrap w:val="0"/>
            <w:vAlign w:val="center"/>
          </w:tcPr>
          <w:p w14:paraId="515F5189">
            <w:pPr>
              <w:jc w:val="center"/>
              <w:rPr>
                <w:rFonts w:hint="eastAsia" w:ascii="宋体" w:hAnsi="宋体" w:eastAsia="宋体" w:cs="宋体"/>
                <w:kern w:val="0"/>
                <w:sz w:val="24"/>
                <w:szCs w:val="24"/>
              </w:rPr>
            </w:pPr>
            <w:r>
              <w:rPr>
                <w:rFonts w:hint="eastAsia" w:ascii="宋体" w:hAnsi="宋体" w:eastAsia="宋体" w:cs="宋体"/>
                <w:kern w:val="0"/>
                <w:sz w:val="24"/>
                <w:szCs w:val="24"/>
              </w:rPr>
              <w:t>28/28</w:t>
            </w:r>
          </w:p>
        </w:tc>
        <w:tc>
          <w:tcPr>
            <w:tcW w:w="1240" w:type="pct"/>
            <w:noWrap w:val="0"/>
            <w:vAlign w:val="center"/>
          </w:tcPr>
          <w:p w14:paraId="74CB0B1B">
            <w:pPr>
              <w:jc w:val="center"/>
              <w:rPr>
                <w:rFonts w:hint="eastAsia" w:ascii="宋体" w:hAnsi="宋体" w:eastAsia="宋体" w:cs="宋体"/>
                <w:kern w:val="0"/>
                <w:sz w:val="24"/>
                <w:szCs w:val="24"/>
              </w:rPr>
            </w:pPr>
            <w:r>
              <w:rPr>
                <w:rFonts w:hint="eastAsia" w:ascii="宋体" w:hAnsi="宋体" w:eastAsia="宋体" w:cs="宋体"/>
                <w:kern w:val="0"/>
                <w:sz w:val="24"/>
                <w:szCs w:val="24"/>
              </w:rPr>
              <w:t>2023年6月2日</w:t>
            </w:r>
          </w:p>
        </w:tc>
        <w:tc>
          <w:tcPr>
            <w:tcW w:w="1067" w:type="pct"/>
            <w:noWrap w:val="0"/>
            <w:vAlign w:val="center"/>
          </w:tcPr>
          <w:p w14:paraId="45429A15">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r w14:paraId="24265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461" w:type="pct"/>
            <w:noWrap w:val="0"/>
            <w:vAlign w:val="center"/>
          </w:tcPr>
          <w:p w14:paraId="080A35EC">
            <w:pPr>
              <w:jc w:val="center"/>
              <w:rPr>
                <w:rFonts w:hint="eastAsia" w:ascii="宋体" w:hAnsi="宋体" w:eastAsia="宋体" w:cs="宋体"/>
                <w:kern w:val="0"/>
                <w:sz w:val="24"/>
                <w:szCs w:val="24"/>
              </w:rPr>
            </w:pPr>
            <w:r>
              <w:rPr>
                <w:rFonts w:hint="eastAsia" w:ascii="宋体" w:hAnsi="宋体" w:eastAsia="宋体" w:cs="宋体"/>
                <w:kern w:val="0"/>
                <w:sz w:val="24"/>
                <w:szCs w:val="24"/>
              </w:rPr>
              <w:t>10</w:t>
            </w:r>
          </w:p>
        </w:tc>
        <w:tc>
          <w:tcPr>
            <w:tcW w:w="1010" w:type="pct"/>
            <w:noWrap w:val="0"/>
            <w:vAlign w:val="center"/>
          </w:tcPr>
          <w:p w14:paraId="49873E15">
            <w:pPr>
              <w:jc w:val="center"/>
              <w:rPr>
                <w:rFonts w:hint="eastAsia" w:ascii="宋体" w:hAnsi="宋体" w:eastAsia="宋体" w:cs="宋体"/>
                <w:kern w:val="0"/>
                <w:sz w:val="24"/>
                <w:szCs w:val="24"/>
              </w:rPr>
            </w:pPr>
            <w:r>
              <w:rPr>
                <w:rFonts w:hint="eastAsia" w:ascii="宋体" w:hAnsi="宋体" w:eastAsia="宋体" w:cs="宋体"/>
                <w:kern w:val="0"/>
                <w:sz w:val="24"/>
                <w:szCs w:val="24"/>
              </w:rPr>
              <w:t>货梯/Gen3</w:t>
            </w:r>
          </w:p>
        </w:tc>
        <w:tc>
          <w:tcPr>
            <w:tcW w:w="556" w:type="pct"/>
            <w:noWrap w:val="0"/>
            <w:vAlign w:val="center"/>
          </w:tcPr>
          <w:p w14:paraId="16CCD06C">
            <w:pPr>
              <w:jc w:val="center"/>
              <w:rPr>
                <w:rFonts w:hint="eastAsia" w:ascii="宋体" w:hAnsi="宋体" w:eastAsia="宋体" w:cs="宋体"/>
                <w:kern w:val="0"/>
                <w:sz w:val="24"/>
                <w:szCs w:val="24"/>
              </w:rPr>
            </w:pPr>
            <w:r>
              <w:rPr>
                <w:rFonts w:hint="eastAsia" w:ascii="宋体" w:hAnsi="宋体" w:eastAsia="宋体" w:cs="宋体"/>
                <w:kern w:val="0"/>
                <w:sz w:val="24"/>
                <w:szCs w:val="24"/>
              </w:rPr>
              <w:t>1600</w:t>
            </w:r>
          </w:p>
        </w:tc>
        <w:tc>
          <w:tcPr>
            <w:tcW w:w="664" w:type="pct"/>
            <w:noWrap w:val="0"/>
            <w:vAlign w:val="center"/>
          </w:tcPr>
          <w:p w14:paraId="52EB2B15">
            <w:pPr>
              <w:jc w:val="center"/>
              <w:rPr>
                <w:rFonts w:hint="eastAsia" w:ascii="宋体" w:hAnsi="宋体" w:eastAsia="宋体" w:cs="宋体"/>
                <w:kern w:val="0"/>
                <w:sz w:val="24"/>
                <w:szCs w:val="24"/>
              </w:rPr>
            </w:pPr>
            <w:r>
              <w:rPr>
                <w:rFonts w:hint="eastAsia" w:ascii="宋体" w:hAnsi="宋体" w:eastAsia="宋体" w:cs="宋体"/>
                <w:kern w:val="0"/>
                <w:sz w:val="24"/>
                <w:szCs w:val="24"/>
              </w:rPr>
              <w:t>4/3</w:t>
            </w:r>
          </w:p>
        </w:tc>
        <w:tc>
          <w:tcPr>
            <w:tcW w:w="1240" w:type="pct"/>
            <w:noWrap w:val="0"/>
            <w:vAlign w:val="center"/>
          </w:tcPr>
          <w:p w14:paraId="09805915">
            <w:pPr>
              <w:jc w:val="center"/>
              <w:rPr>
                <w:rFonts w:hint="eastAsia" w:ascii="宋体" w:hAnsi="宋体" w:eastAsia="宋体" w:cs="宋体"/>
                <w:kern w:val="0"/>
                <w:sz w:val="24"/>
                <w:szCs w:val="24"/>
              </w:rPr>
            </w:pPr>
            <w:r>
              <w:rPr>
                <w:rFonts w:hint="eastAsia" w:ascii="宋体" w:hAnsi="宋体" w:eastAsia="宋体" w:cs="宋体"/>
                <w:kern w:val="0"/>
                <w:sz w:val="24"/>
                <w:szCs w:val="24"/>
              </w:rPr>
              <w:t>2024年5月25日</w:t>
            </w:r>
          </w:p>
        </w:tc>
        <w:tc>
          <w:tcPr>
            <w:tcW w:w="1067" w:type="pct"/>
            <w:noWrap w:val="0"/>
            <w:vAlign w:val="center"/>
          </w:tcPr>
          <w:p w14:paraId="3E55671A">
            <w:pPr>
              <w:jc w:val="center"/>
              <w:rPr>
                <w:rFonts w:hint="eastAsia" w:ascii="宋体" w:hAnsi="宋体" w:eastAsia="宋体" w:cs="宋体"/>
                <w:kern w:val="0"/>
                <w:sz w:val="24"/>
                <w:szCs w:val="24"/>
              </w:rPr>
            </w:pPr>
            <w:r>
              <w:rPr>
                <w:rFonts w:hint="eastAsia" w:ascii="宋体" w:hAnsi="宋体" w:eastAsia="宋体" w:cs="宋体"/>
                <w:kern w:val="0"/>
                <w:sz w:val="24"/>
                <w:szCs w:val="24"/>
              </w:rPr>
              <w:t>免费维保2年</w:t>
            </w:r>
          </w:p>
        </w:tc>
      </w:tr>
    </w:tbl>
    <w:p w14:paraId="2E6058B3">
      <w:pPr>
        <w:widowControl/>
        <w:spacing w:line="400" w:lineRule="exact"/>
        <w:ind w:firstLine="480" w:firstLineChars="20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rPr>
        <w:t>注 ：以上数据以实际数量为准。质保开始时间以竣工验收时间为准。</w:t>
      </w:r>
    </w:p>
    <w:p w14:paraId="08BDD75E">
      <w:pPr>
        <w:spacing w:line="400" w:lineRule="exact"/>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4.公共楼宇电开水器</w:t>
      </w:r>
    </w:p>
    <w:tbl>
      <w:tblPr>
        <w:tblStyle w:val="10"/>
        <w:tblW w:w="4930" w:type="pct"/>
        <w:jc w:val="center"/>
        <w:tblLayout w:type="autofit"/>
        <w:tblCellMar>
          <w:top w:w="0" w:type="dxa"/>
          <w:left w:w="108" w:type="dxa"/>
          <w:bottom w:w="0" w:type="dxa"/>
          <w:right w:w="108" w:type="dxa"/>
        </w:tblCellMar>
      </w:tblPr>
      <w:tblGrid>
        <w:gridCol w:w="2535"/>
        <w:gridCol w:w="2513"/>
        <w:gridCol w:w="3355"/>
      </w:tblGrid>
      <w:tr w14:paraId="03BDE5F7">
        <w:trPr>
          <w:trHeight w:val="270" w:hRule="atLeast"/>
          <w:jc w:val="center"/>
        </w:trPr>
        <w:tc>
          <w:tcPr>
            <w:tcW w:w="1508" w:type="pct"/>
            <w:tcBorders>
              <w:top w:val="single" w:color="000000" w:sz="4" w:space="0"/>
              <w:left w:val="single" w:color="000000" w:sz="4" w:space="0"/>
              <w:bottom w:val="single" w:color="000000" w:sz="4" w:space="0"/>
              <w:right w:val="single" w:color="000000" w:sz="4" w:space="0"/>
            </w:tcBorders>
            <w:noWrap/>
            <w:vAlign w:val="top"/>
          </w:tcPr>
          <w:p w14:paraId="46A4A087">
            <w:pPr>
              <w:widowControl/>
              <w:jc w:val="center"/>
              <w:textAlignment w:val="top"/>
              <w:rPr>
                <w:rFonts w:hint="eastAsia" w:ascii="宋体" w:hAnsi="宋体" w:eastAsia="宋体" w:cs="宋体"/>
                <w:b/>
                <w:bCs/>
                <w:sz w:val="24"/>
                <w:szCs w:val="24"/>
              </w:rPr>
            </w:pPr>
            <w:r>
              <w:rPr>
                <w:rFonts w:hint="eastAsia" w:ascii="宋体" w:hAnsi="宋体" w:eastAsia="宋体" w:cs="宋体"/>
                <w:b/>
                <w:bCs/>
                <w:kern w:val="0"/>
                <w:sz w:val="24"/>
                <w:szCs w:val="24"/>
                <w:lang w:bidi="ar"/>
              </w:rPr>
              <w:t>位置</w:t>
            </w:r>
          </w:p>
        </w:tc>
        <w:tc>
          <w:tcPr>
            <w:tcW w:w="1495" w:type="pct"/>
            <w:tcBorders>
              <w:top w:val="single" w:color="000000" w:sz="4" w:space="0"/>
              <w:left w:val="single" w:color="000000" w:sz="4" w:space="0"/>
              <w:bottom w:val="single" w:color="000000" w:sz="4" w:space="0"/>
              <w:right w:val="single" w:color="000000" w:sz="4" w:space="0"/>
            </w:tcBorders>
            <w:noWrap/>
            <w:vAlign w:val="top"/>
          </w:tcPr>
          <w:p w14:paraId="7CC90FDA">
            <w:pPr>
              <w:widowControl/>
              <w:jc w:val="center"/>
              <w:textAlignment w:val="top"/>
              <w:rPr>
                <w:rFonts w:hint="eastAsia" w:ascii="宋体" w:hAnsi="宋体" w:eastAsia="宋体" w:cs="宋体"/>
                <w:b/>
                <w:bCs/>
                <w:sz w:val="24"/>
                <w:szCs w:val="24"/>
              </w:rPr>
            </w:pPr>
            <w:r>
              <w:rPr>
                <w:rFonts w:hint="eastAsia" w:ascii="宋体" w:hAnsi="宋体" w:eastAsia="宋体" w:cs="宋体"/>
                <w:b/>
                <w:bCs/>
                <w:kern w:val="0"/>
                <w:sz w:val="24"/>
                <w:szCs w:val="24"/>
                <w:lang w:bidi="ar"/>
              </w:rPr>
              <w:t>电开水器数量（台）</w:t>
            </w:r>
          </w:p>
        </w:tc>
        <w:tc>
          <w:tcPr>
            <w:tcW w:w="1995" w:type="pct"/>
            <w:tcBorders>
              <w:top w:val="single" w:color="000000" w:sz="4" w:space="0"/>
              <w:left w:val="single" w:color="000000" w:sz="4" w:space="0"/>
              <w:bottom w:val="single" w:color="000000" w:sz="4" w:space="0"/>
              <w:right w:val="single" w:color="000000" w:sz="4" w:space="0"/>
            </w:tcBorders>
            <w:noWrap/>
            <w:vAlign w:val="top"/>
          </w:tcPr>
          <w:p w14:paraId="6D2689E2">
            <w:pPr>
              <w:widowControl/>
              <w:ind w:firstLine="422"/>
              <w:jc w:val="center"/>
              <w:textAlignment w:val="top"/>
              <w:rPr>
                <w:rFonts w:hint="eastAsia" w:ascii="宋体" w:hAnsi="宋体" w:eastAsia="宋体" w:cs="宋体"/>
                <w:b/>
                <w:bCs/>
                <w:sz w:val="24"/>
                <w:szCs w:val="24"/>
              </w:rPr>
            </w:pPr>
            <w:r>
              <w:rPr>
                <w:rFonts w:hint="eastAsia" w:ascii="宋体" w:hAnsi="宋体" w:eastAsia="宋体" w:cs="宋体"/>
                <w:b/>
                <w:bCs/>
                <w:kern w:val="0"/>
                <w:sz w:val="24"/>
                <w:szCs w:val="24"/>
                <w:lang w:bidi="ar"/>
              </w:rPr>
              <w:t>备注</w:t>
            </w:r>
          </w:p>
        </w:tc>
      </w:tr>
      <w:tr w14:paraId="321AC29D">
        <w:tblPrEx>
          <w:tblCellMar>
            <w:top w:w="0" w:type="dxa"/>
            <w:left w:w="108" w:type="dxa"/>
            <w:bottom w:w="0" w:type="dxa"/>
            <w:right w:w="108" w:type="dxa"/>
          </w:tblCellMar>
        </w:tblPrEx>
        <w:trPr>
          <w:trHeight w:val="270" w:hRule="atLeast"/>
          <w:jc w:val="center"/>
        </w:trPr>
        <w:tc>
          <w:tcPr>
            <w:tcW w:w="1508" w:type="pct"/>
            <w:tcBorders>
              <w:top w:val="single" w:color="000000" w:sz="4" w:space="0"/>
              <w:left w:val="single" w:color="000000" w:sz="4" w:space="0"/>
              <w:bottom w:val="single" w:color="000000" w:sz="4" w:space="0"/>
              <w:right w:val="single" w:color="000000" w:sz="4" w:space="0"/>
            </w:tcBorders>
            <w:noWrap/>
            <w:vAlign w:val="top"/>
          </w:tcPr>
          <w:p w14:paraId="69B28347">
            <w:pPr>
              <w:widowControl/>
              <w:jc w:val="center"/>
              <w:textAlignment w:val="top"/>
              <w:rPr>
                <w:rFonts w:hint="eastAsia" w:ascii="宋体" w:hAnsi="宋体" w:eastAsia="宋体" w:cs="宋体"/>
                <w:kern w:val="0"/>
                <w:sz w:val="24"/>
                <w:szCs w:val="24"/>
                <w:lang w:bidi="ar"/>
              </w:rPr>
            </w:pPr>
            <w:r>
              <w:rPr>
                <w:rFonts w:hint="eastAsia" w:ascii="宋体" w:hAnsi="宋体" w:eastAsia="宋体" w:cs="宋体"/>
                <w:kern w:val="0"/>
                <w:sz w:val="24"/>
                <w:szCs w:val="24"/>
                <w:lang w:bidi="ar"/>
              </w:rPr>
              <w:t>2层、5-18层开水间</w:t>
            </w:r>
          </w:p>
        </w:tc>
        <w:tc>
          <w:tcPr>
            <w:tcW w:w="1495" w:type="pct"/>
            <w:tcBorders>
              <w:top w:val="single" w:color="000000" w:sz="4" w:space="0"/>
              <w:left w:val="single" w:color="000000" w:sz="4" w:space="0"/>
              <w:bottom w:val="single" w:color="000000" w:sz="4" w:space="0"/>
              <w:right w:val="single" w:color="000000" w:sz="4" w:space="0"/>
            </w:tcBorders>
            <w:noWrap/>
            <w:vAlign w:val="top"/>
          </w:tcPr>
          <w:p w14:paraId="3E5182D9">
            <w:pPr>
              <w:widowControl/>
              <w:jc w:val="center"/>
              <w:textAlignment w:val="top"/>
              <w:rPr>
                <w:rFonts w:hint="eastAsia" w:ascii="宋体" w:hAnsi="宋体" w:eastAsia="宋体" w:cs="宋体"/>
                <w:kern w:val="0"/>
                <w:sz w:val="24"/>
                <w:szCs w:val="24"/>
                <w:lang w:bidi="ar"/>
              </w:rPr>
            </w:pPr>
            <w:r>
              <w:rPr>
                <w:rFonts w:hint="eastAsia" w:ascii="宋体" w:hAnsi="宋体" w:eastAsia="宋体" w:cs="宋体"/>
                <w:kern w:val="0"/>
                <w:sz w:val="24"/>
                <w:szCs w:val="24"/>
                <w:lang w:bidi="ar"/>
              </w:rPr>
              <w:t>15</w:t>
            </w:r>
          </w:p>
        </w:tc>
        <w:tc>
          <w:tcPr>
            <w:tcW w:w="1995" w:type="pct"/>
            <w:tcBorders>
              <w:top w:val="single" w:color="000000" w:sz="4" w:space="0"/>
              <w:left w:val="single" w:color="000000" w:sz="4" w:space="0"/>
              <w:bottom w:val="single" w:color="000000" w:sz="4" w:space="0"/>
              <w:right w:val="single" w:color="000000" w:sz="4" w:space="0"/>
            </w:tcBorders>
            <w:noWrap/>
            <w:vAlign w:val="top"/>
          </w:tcPr>
          <w:p w14:paraId="2CEDB10D">
            <w:pPr>
              <w:widowControl/>
              <w:jc w:val="center"/>
              <w:textAlignment w:val="top"/>
              <w:rPr>
                <w:rFonts w:hint="eastAsia" w:ascii="宋体" w:hAnsi="宋体" w:eastAsia="宋体" w:cs="宋体"/>
                <w:kern w:val="0"/>
                <w:sz w:val="24"/>
                <w:szCs w:val="24"/>
                <w:lang w:bidi="ar"/>
              </w:rPr>
            </w:pPr>
          </w:p>
        </w:tc>
      </w:tr>
    </w:tbl>
    <w:p w14:paraId="29255243">
      <w:pPr>
        <w:spacing w:line="40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注：以上数据以实际数量为准。</w:t>
      </w:r>
    </w:p>
    <w:tbl>
      <w:tblPr>
        <w:tblStyle w:val="10"/>
        <w:tblpPr w:leftFromText="180" w:rightFromText="180" w:vertAnchor="text" w:horzAnchor="page" w:tblpX="1500" w:tblpY="400"/>
        <w:tblOverlap w:val="never"/>
        <w:tblW w:w="491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3369"/>
        <w:gridCol w:w="1147"/>
        <w:gridCol w:w="2708"/>
      </w:tblGrid>
      <w:tr w14:paraId="146B2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90" w:type="pct"/>
            <w:noWrap/>
            <w:vAlign w:val="center"/>
          </w:tcPr>
          <w:p w14:paraId="6969A26F">
            <w:pPr>
              <w:jc w:val="center"/>
              <w:rPr>
                <w:rFonts w:hint="eastAsia" w:ascii="宋体" w:hAnsi="宋体" w:eastAsia="宋体" w:cs="宋体"/>
                <w:b/>
                <w:bCs/>
                <w:sz w:val="24"/>
                <w:szCs w:val="24"/>
              </w:rPr>
            </w:pPr>
            <w:r>
              <w:rPr>
                <w:rFonts w:hint="eastAsia" w:ascii="宋体" w:hAnsi="宋体" w:eastAsia="宋体" w:cs="宋体"/>
                <w:b/>
                <w:bCs/>
                <w:sz w:val="24"/>
                <w:szCs w:val="24"/>
              </w:rPr>
              <w:t>水泵地点</w:t>
            </w:r>
          </w:p>
        </w:tc>
        <w:tc>
          <w:tcPr>
            <w:tcW w:w="2009" w:type="pct"/>
            <w:noWrap/>
            <w:vAlign w:val="center"/>
          </w:tcPr>
          <w:p w14:paraId="6048632B">
            <w:pPr>
              <w:jc w:val="center"/>
              <w:rPr>
                <w:rFonts w:hint="eastAsia" w:ascii="宋体" w:hAnsi="宋体" w:eastAsia="宋体" w:cs="宋体"/>
                <w:b/>
                <w:bCs/>
                <w:sz w:val="24"/>
                <w:szCs w:val="24"/>
              </w:rPr>
            </w:pPr>
            <w:r>
              <w:rPr>
                <w:rFonts w:hint="eastAsia" w:ascii="宋体" w:hAnsi="宋体" w:eastAsia="宋体" w:cs="宋体"/>
                <w:b/>
                <w:bCs/>
                <w:sz w:val="24"/>
                <w:szCs w:val="24"/>
              </w:rPr>
              <w:t>数量、功率w</w:t>
            </w:r>
          </w:p>
        </w:tc>
        <w:tc>
          <w:tcPr>
            <w:tcW w:w="684" w:type="pct"/>
            <w:noWrap/>
            <w:vAlign w:val="center"/>
          </w:tcPr>
          <w:p w14:paraId="526143E7">
            <w:pPr>
              <w:jc w:val="center"/>
              <w:rPr>
                <w:rFonts w:hint="eastAsia" w:ascii="宋体" w:hAnsi="宋体" w:eastAsia="宋体" w:cs="宋体"/>
                <w:b/>
                <w:bCs/>
                <w:sz w:val="24"/>
                <w:szCs w:val="24"/>
              </w:rPr>
            </w:pPr>
            <w:r>
              <w:rPr>
                <w:rFonts w:hint="eastAsia" w:ascii="宋体" w:hAnsi="宋体" w:eastAsia="宋体" w:cs="宋体"/>
                <w:b/>
                <w:bCs/>
                <w:sz w:val="24"/>
                <w:szCs w:val="24"/>
              </w:rPr>
              <w:t>控制柜（台）</w:t>
            </w:r>
          </w:p>
        </w:tc>
        <w:tc>
          <w:tcPr>
            <w:tcW w:w="1615" w:type="pct"/>
            <w:noWrap/>
            <w:vAlign w:val="center"/>
          </w:tcPr>
          <w:p w14:paraId="2540E77B">
            <w:pPr>
              <w:jc w:val="center"/>
              <w:rPr>
                <w:rFonts w:hint="eastAsia" w:ascii="宋体" w:hAnsi="宋体" w:eastAsia="宋体" w:cs="宋体"/>
                <w:b/>
                <w:bCs/>
                <w:sz w:val="24"/>
                <w:szCs w:val="24"/>
              </w:rPr>
            </w:pPr>
            <w:r>
              <w:rPr>
                <w:rFonts w:hint="eastAsia" w:ascii="宋体" w:hAnsi="宋体" w:eastAsia="宋体" w:cs="宋体"/>
                <w:b/>
                <w:bCs/>
                <w:sz w:val="24"/>
                <w:szCs w:val="24"/>
              </w:rPr>
              <w:t>水箱</w:t>
            </w:r>
          </w:p>
        </w:tc>
      </w:tr>
      <w:tr w14:paraId="15B33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90" w:type="pct"/>
            <w:noWrap/>
            <w:vAlign w:val="center"/>
          </w:tcPr>
          <w:p w14:paraId="111159DC">
            <w:pPr>
              <w:jc w:val="center"/>
              <w:rPr>
                <w:rFonts w:hint="eastAsia" w:ascii="宋体" w:hAnsi="宋体" w:eastAsia="宋体" w:cs="宋体"/>
                <w:sz w:val="24"/>
                <w:szCs w:val="24"/>
              </w:rPr>
            </w:pPr>
            <w:r>
              <w:rPr>
                <w:rFonts w:hint="eastAsia" w:ascii="宋体" w:hAnsi="宋体" w:eastAsia="宋体" w:cs="宋体"/>
                <w:sz w:val="24"/>
                <w:szCs w:val="24"/>
              </w:rPr>
              <w:t>裙楼屋面</w:t>
            </w:r>
          </w:p>
        </w:tc>
        <w:tc>
          <w:tcPr>
            <w:tcW w:w="2009" w:type="pct"/>
            <w:noWrap/>
            <w:vAlign w:val="center"/>
          </w:tcPr>
          <w:p w14:paraId="573B96F5">
            <w:pPr>
              <w:jc w:val="center"/>
              <w:rPr>
                <w:rFonts w:hint="eastAsia" w:ascii="宋体" w:hAnsi="宋体" w:eastAsia="宋体" w:cs="宋体"/>
                <w:sz w:val="24"/>
                <w:szCs w:val="24"/>
              </w:rPr>
            </w:pPr>
            <w:r>
              <w:rPr>
                <w:rFonts w:hint="eastAsia" w:ascii="宋体" w:hAnsi="宋体" w:eastAsia="宋体" w:cs="宋体"/>
                <w:sz w:val="24"/>
                <w:szCs w:val="24"/>
              </w:rPr>
              <w:t>0.22KW-2台,1.5KW-2台,0.75KW-4台,11KW-3台</w:t>
            </w:r>
          </w:p>
        </w:tc>
        <w:tc>
          <w:tcPr>
            <w:tcW w:w="684" w:type="pct"/>
            <w:noWrap/>
            <w:vAlign w:val="center"/>
          </w:tcPr>
          <w:p w14:paraId="3E2F6B9D">
            <w:pPr>
              <w:jc w:val="center"/>
              <w:rPr>
                <w:rFonts w:hint="eastAsia" w:ascii="宋体" w:hAnsi="宋体" w:eastAsia="宋体" w:cs="宋体"/>
                <w:sz w:val="24"/>
                <w:szCs w:val="24"/>
              </w:rPr>
            </w:pPr>
            <w:r>
              <w:rPr>
                <w:rFonts w:hint="eastAsia" w:ascii="宋体" w:hAnsi="宋体" w:eastAsia="宋体" w:cs="宋体"/>
                <w:sz w:val="24"/>
                <w:szCs w:val="24"/>
              </w:rPr>
              <w:t>1</w:t>
            </w:r>
          </w:p>
        </w:tc>
        <w:tc>
          <w:tcPr>
            <w:tcW w:w="1615" w:type="pct"/>
            <w:noWrap/>
            <w:vAlign w:val="center"/>
          </w:tcPr>
          <w:p w14:paraId="64ECA9AC">
            <w:pPr>
              <w:jc w:val="center"/>
              <w:rPr>
                <w:rFonts w:hint="eastAsia" w:ascii="宋体" w:hAnsi="宋体" w:eastAsia="宋体" w:cs="宋体"/>
                <w:sz w:val="24"/>
                <w:szCs w:val="24"/>
              </w:rPr>
            </w:pPr>
            <w:r>
              <w:rPr>
                <w:rFonts w:hint="eastAsia" w:ascii="宋体" w:hAnsi="宋体" w:eastAsia="宋体" w:cs="宋体"/>
                <w:sz w:val="24"/>
                <w:szCs w:val="24"/>
              </w:rPr>
              <w:t>2.5*1.5*2m -1个</w:t>
            </w:r>
          </w:p>
        </w:tc>
      </w:tr>
      <w:tr w14:paraId="1E3B7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90" w:type="pct"/>
            <w:noWrap/>
            <w:vAlign w:val="center"/>
          </w:tcPr>
          <w:p w14:paraId="1CAFE14E">
            <w:pPr>
              <w:jc w:val="center"/>
              <w:rPr>
                <w:rFonts w:hint="eastAsia" w:ascii="宋体" w:hAnsi="宋体" w:eastAsia="宋体" w:cs="宋体"/>
                <w:sz w:val="24"/>
                <w:szCs w:val="24"/>
              </w:rPr>
            </w:pPr>
            <w:r>
              <w:rPr>
                <w:rFonts w:hint="eastAsia" w:ascii="宋体" w:hAnsi="宋体" w:eastAsia="宋体" w:cs="宋体"/>
                <w:sz w:val="24"/>
                <w:szCs w:val="24"/>
              </w:rPr>
              <w:t>地下室</w:t>
            </w:r>
          </w:p>
          <w:p w14:paraId="277E93FB">
            <w:pPr>
              <w:jc w:val="center"/>
              <w:rPr>
                <w:rFonts w:hint="eastAsia" w:ascii="宋体" w:hAnsi="宋体" w:eastAsia="宋体" w:cs="宋体"/>
                <w:sz w:val="24"/>
                <w:szCs w:val="24"/>
              </w:rPr>
            </w:pPr>
            <w:r>
              <w:rPr>
                <w:rFonts w:hint="eastAsia" w:ascii="宋体" w:hAnsi="宋体" w:eastAsia="宋体" w:cs="宋体"/>
                <w:sz w:val="24"/>
                <w:szCs w:val="24"/>
              </w:rPr>
              <w:t>给水泵房</w:t>
            </w:r>
          </w:p>
        </w:tc>
        <w:tc>
          <w:tcPr>
            <w:tcW w:w="2009" w:type="pct"/>
            <w:noWrap/>
            <w:vAlign w:val="center"/>
          </w:tcPr>
          <w:p w14:paraId="4955E475">
            <w:pPr>
              <w:jc w:val="center"/>
              <w:rPr>
                <w:rFonts w:hint="eastAsia" w:ascii="宋体" w:hAnsi="宋体" w:eastAsia="宋体" w:cs="宋体"/>
                <w:sz w:val="24"/>
                <w:szCs w:val="24"/>
              </w:rPr>
            </w:pPr>
            <w:r>
              <w:rPr>
                <w:rFonts w:hint="eastAsia" w:ascii="宋体" w:hAnsi="宋体" w:eastAsia="宋体" w:cs="宋体"/>
                <w:sz w:val="24"/>
                <w:szCs w:val="24"/>
              </w:rPr>
              <w:t>4KW-2台，7.5KW-2台，11KW-3台</w:t>
            </w:r>
          </w:p>
        </w:tc>
        <w:tc>
          <w:tcPr>
            <w:tcW w:w="684" w:type="pct"/>
            <w:noWrap/>
            <w:vAlign w:val="center"/>
          </w:tcPr>
          <w:p w14:paraId="67004D53">
            <w:pPr>
              <w:jc w:val="center"/>
              <w:rPr>
                <w:rFonts w:hint="eastAsia" w:ascii="宋体" w:hAnsi="宋体" w:eastAsia="宋体" w:cs="宋体"/>
                <w:sz w:val="24"/>
                <w:szCs w:val="24"/>
              </w:rPr>
            </w:pPr>
            <w:r>
              <w:rPr>
                <w:rFonts w:hint="eastAsia" w:ascii="宋体" w:hAnsi="宋体" w:eastAsia="宋体" w:cs="宋体"/>
                <w:sz w:val="24"/>
                <w:szCs w:val="24"/>
              </w:rPr>
              <w:t>4</w:t>
            </w:r>
          </w:p>
        </w:tc>
        <w:tc>
          <w:tcPr>
            <w:tcW w:w="1615" w:type="pct"/>
            <w:noWrap/>
            <w:vAlign w:val="center"/>
          </w:tcPr>
          <w:p w14:paraId="34308FD5">
            <w:pPr>
              <w:jc w:val="center"/>
              <w:rPr>
                <w:rFonts w:hint="eastAsia" w:ascii="宋体" w:hAnsi="宋体" w:eastAsia="宋体" w:cs="宋体"/>
                <w:sz w:val="24"/>
                <w:szCs w:val="24"/>
              </w:rPr>
            </w:pPr>
            <w:r>
              <w:rPr>
                <w:rFonts w:hint="eastAsia" w:ascii="宋体" w:hAnsi="宋体" w:eastAsia="宋体" w:cs="宋体"/>
                <w:sz w:val="24"/>
                <w:szCs w:val="24"/>
              </w:rPr>
              <w:t>3*2.5*3m -1个；2.5*2*2.5m-1个</w:t>
            </w:r>
          </w:p>
        </w:tc>
      </w:tr>
      <w:tr w14:paraId="6A435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90" w:type="pct"/>
            <w:noWrap w:val="0"/>
            <w:vAlign w:val="center"/>
          </w:tcPr>
          <w:p w14:paraId="46590119">
            <w:pPr>
              <w:jc w:val="center"/>
              <w:rPr>
                <w:rFonts w:hint="eastAsia" w:ascii="宋体" w:hAnsi="宋体" w:eastAsia="宋体" w:cs="宋体"/>
                <w:sz w:val="24"/>
                <w:szCs w:val="24"/>
              </w:rPr>
            </w:pPr>
            <w:r>
              <w:rPr>
                <w:rFonts w:hint="eastAsia" w:ascii="宋体" w:hAnsi="宋体" w:eastAsia="宋体" w:cs="宋体"/>
                <w:sz w:val="24"/>
                <w:szCs w:val="24"/>
              </w:rPr>
              <w:t>地下室</w:t>
            </w:r>
          </w:p>
          <w:p w14:paraId="06DA7D6F">
            <w:pPr>
              <w:jc w:val="center"/>
              <w:rPr>
                <w:rFonts w:hint="eastAsia" w:ascii="宋体" w:hAnsi="宋体" w:eastAsia="宋体" w:cs="宋体"/>
                <w:sz w:val="24"/>
                <w:szCs w:val="24"/>
              </w:rPr>
            </w:pPr>
            <w:r>
              <w:rPr>
                <w:rFonts w:hint="eastAsia" w:ascii="宋体" w:hAnsi="宋体" w:eastAsia="宋体" w:cs="宋体"/>
                <w:sz w:val="24"/>
                <w:szCs w:val="24"/>
              </w:rPr>
              <w:t>给水泵房</w:t>
            </w:r>
          </w:p>
        </w:tc>
        <w:tc>
          <w:tcPr>
            <w:tcW w:w="2009" w:type="pct"/>
            <w:noWrap w:val="0"/>
            <w:vAlign w:val="center"/>
          </w:tcPr>
          <w:p w14:paraId="3E60A582">
            <w:pPr>
              <w:jc w:val="center"/>
              <w:rPr>
                <w:rFonts w:hint="eastAsia" w:ascii="宋体" w:hAnsi="宋体" w:eastAsia="宋体" w:cs="宋体"/>
                <w:sz w:val="24"/>
                <w:szCs w:val="24"/>
              </w:rPr>
            </w:pPr>
            <w:r>
              <w:rPr>
                <w:rFonts w:hint="eastAsia" w:ascii="宋体" w:hAnsi="宋体" w:eastAsia="宋体" w:cs="宋体"/>
                <w:sz w:val="24"/>
                <w:szCs w:val="24"/>
              </w:rPr>
              <w:t>4KW-2台，5.5KW-2台，11KW-2台</w:t>
            </w:r>
          </w:p>
        </w:tc>
        <w:tc>
          <w:tcPr>
            <w:tcW w:w="684" w:type="pct"/>
            <w:noWrap w:val="0"/>
            <w:vAlign w:val="center"/>
          </w:tcPr>
          <w:p w14:paraId="5DDD8F58">
            <w:pPr>
              <w:jc w:val="center"/>
              <w:rPr>
                <w:rFonts w:hint="eastAsia" w:ascii="宋体" w:hAnsi="宋体" w:eastAsia="宋体" w:cs="宋体"/>
                <w:sz w:val="24"/>
                <w:szCs w:val="24"/>
              </w:rPr>
            </w:pPr>
            <w:r>
              <w:rPr>
                <w:rFonts w:hint="eastAsia" w:ascii="宋体" w:hAnsi="宋体" w:eastAsia="宋体" w:cs="宋体"/>
                <w:sz w:val="24"/>
                <w:szCs w:val="24"/>
              </w:rPr>
              <w:t>4</w:t>
            </w:r>
          </w:p>
        </w:tc>
        <w:tc>
          <w:tcPr>
            <w:tcW w:w="1615" w:type="pct"/>
            <w:noWrap w:val="0"/>
            <w:vAlign w:val="center"/>
          </w:tcPr>
          <w:p w14:paraId="5332647A">
            <w:pPr>
              <w:jc w:val="center"/>
              <w:rPr>
                <w:rFonts w:hint="eastAsia" w:ascii="宋体" w:hAnsi="宋体" w:eastAsia="宋体" w:cs="宋体"/>
                <w:sz w:val="24"/>
                <w:szCs w:val="24"/>
              </w:rPr>
            </w:pPr>
            <w:r>
              <w:rPr>
                <w:rFonts w:hint="eastAsia" w:ascii="宋体" w:hAnsi="宋体" w:eastAsia="宋体" w:cs="宋体"/>
                <w:sz w:val="24"/>
                <w:szCs w:val="24"/>
              </w:rPr>
              <w:t>3*2*3m -1个</w:t>
            </w:r>
          </w:p>
        </w:tc>
      </w:tr>
      <w:tr w14:paraId="415FC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90" w:type="pct"/>
            <w:noWrap w:val="0"/>
            <w:vAlign w:val="center"/>
          </w:tcPr>
          <w:p w14:paraId="2168EAF6">
            <w:pPr>
              <w:jc w:val="center"/>
              <w:rPr>
                <w:rFonts w:hint="eastAsia" w:ascii="宋体" w:hAnsi="宋体" w:eastAsia="宋体" w:cs="宋体"/>
                <w:sz w:val="24"/>
                <w:szCs w:val="24"/>
              </w:rPr>
            </w:pPr>
            <w:r>
              <w:rPr>
                <w:rFonts w:hint="eastAsia" w:ascii="宋体" w:hAnsi="宋体" w:eastAsia="宋体" w:cs="宋体"/>
                <w:sz w:val="24"/>
                <w:szCs w:val="24"/>
              </w:rPr>
              <w:t>地下室</w:t>
            </w:r>
          </w:p>
          <w:p w14:paraId="17C85A0D">
            <w:pPr>
              <w:jc w:val="center"/>
              <w:rPr>
                <w:rFonts w:hint="eastAsia" w:ascii="宋体" w:hAnsi="宋体" w:eastAsia="宋体" w:cs="宋体"/>
                <w:sz w:val="24"/>
                <w:szCs w:val="24"/>
              </w:rPr>
            </w:pPr>
            <w:r>
              <w:rPr>
                <w:rFonts w:hint="eastAsia" w:ascii="宋体" w:hAnsi="宋体" w:eastAsia="宋体" w:cs="宋体"/>
                <w:sz w:val="24"/>
                <w:szCs w:val="24"/>
              </w:rPr>
              <w:t>集水坑</w:t>
            </w:r>
          </w:p>
          <w:p w14:paraId="56996B8C">
            <w:pPr>
              <w:jc w:val="center"/>
              <w:rPr>
                <w:rFonts w:hint="eastAsia" w:ascii="宋体" w:hAnsi="宋体" w:eastAsia="宋体" w:cs="宋体"/>
                <w:sz w:val="24"/>
                <w:szCs w:val="24"/>
              </w:rPr>
            </w:pPr>
            <w:r>
              <w:rPr>
                <w:rFonts w:hint="eastAsia" w:ascii="宋体" w:hAnsi="宋体" w:eastAsia="宋体" w:cs="宋体"/>
                <w:sz w:val="24"/>
                <w:szCs w:val="24"/>
              </w:rPr>
              <w:t>潜污泵</w:t>
            </w:r>
          </w:p>
        </w:tc>
        <w:tc>
          <w:tcPr>
            <w:tcW w:w="2009" w:type="pct"/>
            <w:noWrap w:val="0"/>
            <w:vAlign w:val="center"/>
          </w:tcPr>
          <w:p w14:paraId="0F0CD16F">
            <w:pPr>
              <w:jc w:val="center"/>
              <w:rPr>
                <w:rFonts w:hint="eastAsia" w:ascii="宋体" w:hAnsi="宋体" w:eastAsia="宋体" w:cs="宋体"/>
                <w:sz w:val="24"/>
                <w:szCs w:val="24"/>
              </w:rPr>
            </w:pPr>
            <w:r>
              <w:rPr>
                <w:rFonts w:hint="eastAsia" w:ascii="宋体" w:hAnsi="宋体" w:eastAsia="宋体" w:cs="宋体"/>
                <w:sz w:val="24"/>
                <w:szCs w:val="24"/>
              </w:rPr>
              <w:t>3KW-30台，4KW-4台，5.5KW-6台</w:t>
            </w:r>
          </w:p>
        </w:tc>
        <w:tc>
          <w:tcPr>
            <w:tcW w:w="684" w:type="pct"/>
            <w:noWrap w:val="0"/>
            <w:vAlign w:val="center"/>
          </w:tcPr>
          <w:p w14:paraId="53D824C7">
            <w:pPr>
              <w:jc w:val="center"/>
              <w:rPr>
                <w:rFonts w:hint="eastAsia" w:ascii="宋体" w:hAnsi="宋体" w:eastAsia="宋体" w:cs="宋体"/>
                <w:sz w:val="24"/>
                <w:szCs w:val="24"/>
              </w:rPr>
            </w:pPr>
            <w:r>
              <w:rPr>
                <w:rFonts w:hint="eastAsia" w:ascii="宋体" w:hAnsi="宋体" w:eastAsia="宋体" w:cs="宋体"/>
                <w:sz w:val="24"/>
                <w:szCs w:val="24"/>
              </w:rPr>
              <w:t>17</w:t>
            </w:r>
          </w:p>
        </w:tc>
        <w:tc>
          <w:tcPr>
            <w:tcW w:w="1615" w:type="pct"/>
            <w:noWrap w:val="0"/>
            <w:vAlign w:val="center"/>
          </w:tcPr>
          <w:p w14:paraId="7F4FA558">
            <w:pPr>
              <w:jc w:val="center"/>
              <w:rPr>
                <w:rFonts w:hint="eastAsia" w:ascii="宋体" w:hAnsi="宋体" w:eastAsia="宋体" w:cs="宋体"/>
                <w:sz w:val="24"/>
                <w:szCs w:val="24"/>
              </w:rPr>
            </w:pPr>
          </w:p>
        </w:tc>
      </w:tr>
      <w:tr w14:paraId="354E2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90" w:type="pct"/>
            <w:noWrap w:val="0"/>
            <w:vAlign w:val="center"/>
          </w:tcPr>
          <w:p w14:paraId="3DCC0464">
            <w:pPr>
              <w:jc w:val="center"/>
              <w:rPr>
                <w:rFonts w:hint="eastAsia" w:ascii="宋体" w:hAnsi="宋体" w:eastAsia="宋体" w:cs="宋体"/>
                <w:sz w:val="24"/>
                <w:szCs w:val="24"/>
              </w:rPr>
            </w:pPr>
            <w:r>
              <w:rPr>
                <w:rFonts w:hint="eastAsia" w:ascii="宋体" w:hAnsi="宋体" w:eastAsia="宋体" w:cs="宋体"/>
                <w:sz w:val="24"/>
                <w:szCs w:val="24"/>
              </w:rPr>
              <w:t>消防水泵</w:t>
            </w:r>
          </w:p>
        </w:tc>
        <w:tc>
          <w:tcPr>
            <w:tcW w:w="2009" w:type="pct"/>
            <w:noWrap w:val="0"/>
            <w:vAlign w:val="center"/>
          </w:tcPr>
          <w:p w14:paraId="4696158C">
            <w:pPr>
              <w:jc w:val="center"/>
              <w:rPr>
                <w:rFonts w:hint="eastAsia" w:ascii="宋体" w:hAnsi="宋体" w:eastAsia="宋体" w:cs="宋体"/>
                <w:sz w:val="24"/>
                <w:szCs w:val="24"/>
              </w:rPr>
            </w:pPr>
            <w:r>
              <w:rPr>
                <w:rFonts w:hint="eastAsia" w:ascii="宋体" w:hAnsi="宋体" w:eastAsia="宋体" w:cs="宋体"/>
                <w:sz w:val="24"/>
                <w:szCs w:val="24"/>
              </w:rPr>
              <w:t>2台；AC380V 110KW</w:t>
            </w:r>
          </w:p>
        </w:tc>
        <w:tc>
          <w:tcPr>
            <w:tcW w:w="684" w:type="pct"/>
            <w:noWrap w:val="0"/>
            <w:vAlign w:val="center"/>
          </w:tcPr>
          <w:p w14:paraId="61CBD109">
            <w:pPr>
              <w:jc w:val="center"/>
              <w:rPr>
                <w:rFonts w:hint="eastAsia" w:ascii="宋体" w:hAnsi="宋体" w:eastAsia="宋体" w:cs="宋体"/>
                <w:sz w:val="24"/>
                <w:szCs w:val="24"/>
              </w:rPr>
            </w:pPr>
            <w:r>
              <w:rPr>
                <w:rFonts w:hint="eastAsia" w:ascii="宋体" w:hAnsi="宋体" w:eastAsia="宋体" w:cs="宋体"/>
                <w:sz w:val="24"/>
                <w:szCs w:val="24"/>
              </w:rPr>
              <w:t>1</w:t>
            </w:r>
          </w:p>
        </w:tc>
        <w:tc>
          <w:tcPr>
            <w:tcW w:w="1615" w:type="pct"/>
            <w:noWrap w:val="0"/>
            <w:vAlign w:val="center"/>
          </w:tcPr>
          <w:p w14:paraId="342414B6">
            <w:pPr>
              <w:jc w:val="center"/>
              <w:rPr>
                <w:rFonts w:hint="eastAsia" w:ascii="宋体" w:hAnsi="宋体" w:eastAsia="宋体" w:cs="宋体"/>
                <w:sz w:val="24"/>
                <w:szCs w:val="24"/>
              </w:rPr>
            </w:pPr>
          </w:p>
        </w:tc>
      </w:tr>
      <w:tr w14:paraId="327F2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90" w:type="pct"/>
            <w:noWrap w:val="0"/>
            <w:vAlign w:val="center"/>
          </w:tcPr>
          <w:p w14:paraId="664E5A02">
            <w:pPr>
              <w:jc w:val="center"/>
              <w:rPr>
                <w:rFonts w:hint="eastAsia" w:ascii="宋体" w:hAnsi="宋体" w:eastAsia="宋体" w:cs="宋体"/>
                <w:sz w:val="24"/>
                <w:szCs w:val="24"/>
              </w:rPr>
            </w:pPr>
            <w:r>
              <w:rPr>
                <w:rFonts w:hint="eastAsia" w:ascii="宋体" w:hAnsi="宋体" w:eastAsia="宋体" w:cs="宋体"/>
                <w:sz w:val="24"/>
                <w:szCs w:val="24"/>
              </w:rPr>
              <w:t>喷淋水泵</w:t>
            </w:r>
          </w:p>
        </w:tc>
        <w:tc>
          <w:tcPr>
            <w:tcW w:w="2009" w:type="pct"/>
            <w:noWrap w:val="0"/>
            <w:vAlign w:val="center"/>
          </w:tcPr>
          <w:p w14:paraId="4BC9357E">
            <w:pPr>
              <w:jc w:val="center"/>
              <w:rPr>
                <w:rFonts w:hint="eastAsia" w:ascii="宋体" w:hAnsi="宋体" w:eastAsia="宋体" w:cs="宋体"/>
                <w:sz w:val="24"/>
                <w:szCs w:val="24"/>
              </w:rPr>
            </w:pPr>
            <w:r>
              <w:rPr>
                <w:rFonts w:hint="eastAsia" w:ascii="宋体" w:hAnsi="宋体" w:eastAsia="宋体" w:cs="宋体"/>
                <w:sz w:val="24"/>
                <w:szCs w:val="24"/>
              </w:rPr>
              <w:t>2台；AC380V 132KW</w:t>
            </w:r>
          </w:p>
        </w:tc>
        <w:tc>
          <w:tcPr>
            <w:tcW w:w="684" w:type="pct"/>
            <w:noWrap w:val="0"/>
            <w:vAlign w:val="center"/>
          </w:tcPr>
          <w:p w14:paraId="10B9A01C">
            <w:pPr>
              <w:jc w:val="center"/>
              <w:rPr>
                <w:rFonts w:hint="eastAsia" w:ascii="宋体" w:hAnsi="宋体" w:eastAsia="宋体" w:cs="宋体"/>
                <w:sz w:val="24"/>
                <w:szCs w:val="24"/>
              </w:rPr>
            </w:pPr>
            <w:r>
              <w:rPr>
                <w:rFonts w:hint="eastAsia" w:ascii="宋体" w:hAnsi="宋体" w:eastAsia="宋体" w:cs="宋体"/>
                <w:sz w:val="24"/>
                <w:szCs w:val="24"/>
              </w:rPr>
              <w:t>1</w:t>
            </w:r>
          </w:p>
        </w:tc>
        <w:tc>
          <w:tcPr>
            <w:tcW w:w="1615" w:type="pct"/>
            <w:noWrap w:val="0"/>
            <w:vAlign w:val="center"/>
          </w:tcPr>
          <w:p w14:paraId="0FA7092F">
            <w:pPr>
              <w:jc w:val="center"/>
              <w:rPr>
                <w:rFonts w:hint="eastAsia" w:ascii="宋体" w:hAnsi="宋体" w:eastAsia="宋体" w:cs="宋体"/>
                <w:sz w:val="24"/>
                <w:szCs w:val="24"/>
              </w:rPr>
            </w:pPr>
          </w:p>
        </w:tc>
      </w:tr>
    </w:tbl>
    <w:p w14:paraId="5C5B25A3">
      <w:pPr>
        <w:spacing w:line="400" w:lineRule="exact"/>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5.水泵、生活水箱、控制柜</w:t>
      </w:r>
    </w:p>
    <w:p w14:paraId="199FE5E3">
      <w:pPr>
        <w:spacing w:line="40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低区</w:t>
      </w:r>
      <w:bookmarkStart w:id="3" w:name="OLE_LINK1"/>
      <w:r>
        <w:rPr>
          <w:rFonts w:hint="eastAsia" w:ascii="宋体" w:hAnsi="宋体" w:eastAsia="宋体" w:cs="宋体"/>
          <w:bCs/>
          <w:sz w:val="24"/>
          <w:szCs w:val="24"/>
        </w:rPr>
        <w:t>办公水箱有效容积</w:t>
      </w:r>
      <w:bookmarkEnd w:id="3"/>
      <w:r>
        <w:rPr>
          <w:rFonts w:hint="eastAsia" w:ascii="宋体" w:hAnsi="宋体" w:eastAsia="宋体" w:cs="宋体"/>
          <w:bCs/>
          <w:sz w:val="24"/>
          <w:szCs w:val="24"/>
        </w:rPr>
        <w:t>10立方，高区办公水箱有效容积18</w:t>
      </w:r>
      <w:r>
        <w:rPr>
          <w:rFonts w:hint="eastAsia" w:ascii="宋体" w:hAnsi="宋体" w:eastAsia="宋体" w:cs="宋体"/>
          <w:bCs/>
          <w:sz w:val="24"/>
          <w:szCs w:val="24"/>
          <w:lang w:val="en-US" w:eastAsia="zh-CN"/>
        </w:rPr>
        <w:t>立方</w:t>
      </w:r>
      <w:r>
        <w:rPr>
          <w:rFonts w:hint="eastAsia" w:ascii="宋体" w:hAnsi="宋体" w:eastAsia="宋体" w:cs="宋体"/>
          <w:bCs/>
          <w:sz w:val="24"/>
          <w:szCs w:val="24"/>
        </w:rPr>
        <w:t>。</w:t>
      </w:r>
    </w:p>
    <w:p w14:paraId="1A4EDB2E">
      <w:pPr>
        <w:spacing w:line="40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注：以上数据以实际数量为准。</w:t>
      </w:r>
    </w:p>
    <w:p w14:paraId="2620ACC6">
      <w:pPr>
        <w:spacing w:line="400" w:lineRule="exact"/>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6.供配电设备</w:t>
      </w:r>
    </w:p>
    <w:tbl>
      <w:tblPr>
        <w:tblStyle w:val="10"/>
        <w:tblW w:w="90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403"/>
        <w:gridCol w:w="1956"/>
        <w:gridCol w:w="1496"/>
        <w:gridCol w:w="1643"/>
        <w:gridCol w:w="1707"/>
      </w:tblGrid>
      <w:tr w14:paraId="78E82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3" w:type="dxa"/>
            <w:noWrap/>
            <w:vAlign w:val="center"/>
          </w:tcPr>
          <w:p w14:paraId="4D5AE128">
            <w:pPr>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1403" w:type="dxa"/>
            <w:noWrap/>
            <w:vAlign w:val="center"/>
          </w:tcPr>
          <w:p w14:paraId="0BCC773F">
            <w:pPr>
              <w:widowControl/>
              <w:jc w:val="center"/>
              <w:textAlignment w:val="center"/>
              <w:rPr>
                <w:rFonts w:hint="eastAsia" w:ascii="宋体" w:hAnsi="宋体" w:eastAsia="宋体" w:cs="宋体"/>
                <w:b/>
                <w:bCs/>
                <w:sz w:val="24"/>
                <w:szCs w:val="24"/>
              </w:rPr>
            </w:pPr>
            <w:r>
              <w:rPr>
                <w:rFonts w:hint="eastAsia" w:ascii="宋体" w:hAnsi="宋体" w:eastAsia="宋体" w:cs="宋体"/>
                <w:b/>
                <w:bCs/>
                <w:kern w:val="0"/>
                <w:sz w:val="24"/>
                <w:szCs w:val="24"/>
              </w:rPr>
              <w:t>位置</w:t>
            </w:r>
          </w:p>
        </w:tc>
        <w:tc>
          <w:tcPr>
            <w:tcW w:w="1956" w:type="dxa"/>
            <w:noWrap/>
            <w:vAlign w:val="center"/>
          </w:tcPr>
          <w:p w14:paraId="2AC7F7A5">
            <w:pPr>
              <w:widowControl/>
              <w:jc w:val="center"/>
              <w:textAlignment w:val="center"/>
              <w:rPr>
                <w:rFonts w:hint="eastAsia" w:ascii="宋体" w:hAnsi="宋体" w:eastAsia="宋体" w:cs="宋体"/>
                <w:b/>
                <w:bCs/>
                <w:sz w:val="24"/>
                <w:szCs w:val="24"/>
              </w:rPr>
            </w:pPr>
            <w:r>
              <w:rPr>
                <w:rFonts w:hint="eastAsia" w:ascii="宋体" w:hAnsi="宋体" w:eastAsia="宋体" w:cs="宋体"/>
                <w:b/>
                <w:bCs/>
                <w:kern w:val="0"/>
                <w:sz w:val="24"/>
                <w:szCs w:val="24"/>
              </w:rPr>
              <w:t>设备名称及型号</w:t>
            </w:r>
          </w:p>
        </w:tc>
        <w:tc>
          <w:tcPr>
            <w:tcW w:w="1496" w:type="dxa"/>
            <w:noWrap/>
            <w:vAlign w:val="center"/>
          </w:tcPr>
          <w:p w14:paraId="33FC81A8">
            <w:pPr>
              <w:widowControl/>
              <w:jc w:val="center"/>
              <w:textAlignment w:val="center"/>
              <w:rPr>
                <w:rFonts w:hint="eastAsia" w:ascii="宋体" w:hAnsi="宋体" w:eastAsia="宋体" w:cs="宋体"/>
                <w:b/>
                <w:bCs/>
                <w:sz w:val="24"/>
                <w:szCs w:val="24"/>
              </w:rPr>
            </w:pPr>
            <w:r>
              <w:rPr>
                <w:rFonts w:hint="eastAsia" w:ascii="宋体" w:hAnsi="宋体" w:eastAsia="宋体" w:cs="宋体"/>
                <w:b/>
                <w:bCs/>
                <w:kern w:val="0"/>
                <w:sz w:val="24"/>
                <w:szCs w:val="24"/>
              </w:rPr>
              <w:t>数量（台）</w:t>
            </w:r>
          </w:p>
        </w:tc>
        <w:tc>
          <w:tcPr>
            <w:tcW w:w="1643" w:type="dxa"/>
            <w:noWrap/>
            <w:vAlign w:val="center"/>
          </w:tcPr>
          <w:p w14:paraId="7771E667">
            <w:pPr>
              <w:widowControl/>
              <w:jc w:val="center"/>
              <w:textAlignment w:val="center"/>
              <w:rPr>
                <w:rFonts w:hint="eastAsia" w:ascii="宋体" w:hAnsi="宋体" w:eastAsia="宋体" w:cs="宋体"/>
                <w:b/>
                <w:bCs/>
                <w:sz w:val="24"/>
                <w:szCs w:val="24"/>
              </w:rPr>
            </w:pPr>
            <w:r>
              <w:rPr>
                <w:rFonts w:hint="eastAsia" w:ascii="宋体" w:hAnsi="宋体" w:eastAsia="宋体" w:cs="宋体"/>
                <w:b/>
                <w:bCs/>
                <w:kern w:val="0"/>
                <w:sz w:val="24"/>
                <w:szCs w:val="24"/>
              </w:rPr>
              <w:t>生产日期</w:t>
            </w:r>
          </w:p>
        </w:tc>
        <w:tc>
          <w:tcPr>
            <w:tcW w:w="1707" w:type="dxa"/>
            <w:noWrap/>
            <w:vAlign w:val="center"/>
          </w:tcPr>
          <w:p w14:paraId="0F4699A3">
            <w:pPr>
              <w:widowControl/>
              <w:ind w:firstLine="422"/>
              <w:jc w:val="center"/>
              <w:textAlignment w:val="center"/>
              <w:rPr>
                <w:rFonts w:hint="eastAsia" w:ascii="宋体" w:hAnsi="宋体" w:eastAsia="宋体" w:cs="宋体"/>
                <w:b/>
                <w:bCs/>
                <w:kern w:val="0"/>
                <w:sz w:val="24"/>
                <w:szCs w:val="24"/>
              </w:rPr>
            </w:pPr>
            <w:r>
              <w:rPr>
                <w:rFonts w:hint="eastAsia" w:ascii="宋体" w:hAnsi="宋体" w:eastAsia="宋体" w:cs="宋体"/>
                <w:b/>
                <w:bCs/>
                <w:kern w:val="0"/>
                <w:sz w:val="24"/>
                <w:szCs w:val="24"/>
              </w:rPr>
              <w:t>备注</w:t>
            </w:r>
          </w:p>
        </w:tc>
      </w:tr>
      <w:tr w14:paraId="3C4B5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3" w:type="dxa"/>
            <w:noWrap/>
            <w:vAlign w:val="center"/>
          </w:tcPr>
          <w:p w14:paraId="277AE9E9">
            <w:pPr>
              <w:spacing w:line="160" w:lineRule="atLeast"/>
              <w:jc w:val="center"/>
              <w:rPr>
                <w:rFonts w:hint="eastAsia" w:ascii="宋体" w:hAnsi="宋体" w:eastAsia="宋体" w:cs="宋体"/>
                <w:sz w:val="24"/>
                <w:szCs w:val="24"/>
              </w:rPr>
            </w:pPr>
            <w:r>
              <w:rPr>
                <w:rFonts w:hint="eastAsia" w:ascii="宋体" w:hAnsi="宋体" w:eastAsia="宋体" w:cs="宋体"/>
                <w:sz w:val="24"/>
                <w:szCs w:val="24"/>
              </w:rPr>
              <w:t>1</w:t>
            </w:r>
          </w:p>
        </w:tc>
        <w:tc>
          <w:tcPr>
            <w:tcW w:w="1403" w:type="dxa"/>
            <w:noWrap/>
            <w:vAlign w:val="center"/>
          </w:tcPr>
          <w:p w14:paraId="77127FFB">
            <w:pPr>
              <w:widowControl/>
              <w:spacing w:line="160" w:lineRule="atLeast"/>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B1层变电所</w:t>
            </w:r>
          </w:p>
        </w:tc>
        <w:tc>
          <w:tcPr>
            <w:tcW w:w="1956" w:type="dxa"/>
            <w:noWrap/>
            <w:vAlign w:val="center"/>
          </w:tcPr>
          <w:p w14:paraId="0B1311AD">
            <w:pPr>
              <w:widowControl/>
              <w:spacing w:line="160" w:lineRule="atLeast"/>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高压开关柜</w:t>
            </w:r>
          </w:p>
        </w:tc>
        <w:tc>
          <w:tcPr>
            <w:tcW w:w="1496" w:type="dxa"/>
            <w:noWrap/>
            <w:vAlign w:val="center"/>
          </w:tcPr>
          <w:p w14:paraId="34CB8D61">
            <w:pPr>
              <w:widowControl/>
              <w:spacing w:line="160" w:lineRule="atLeast"/>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12</w:t>
            </w:r>
          </w:p>
        </w:tc>
        <w:tc>
          <w:tcPr>
            <w:tcW w:w="1643" w:type="dxa"/>
            <w:noWrap/>
            <w:vAlign w:val="center"/>
          </w:tcPr>
          <w:p w14:paraId="61F7955A">
            <w:pPr>
              <w:widowControl/>
              <w:spacing w:line="160" w:lineRule="atLeast"/>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2024年1月</w:t>
            </w:r>
          </w:p>
        </w:tc>
        <w:tc>
          <w:tcPr>
            <w:tcW w:w="1707" w:type="dxa"/>
            <w:noWrap/>
            <w:vAlign w:val="center"/>
          </w:tcPr>
          <w:p w14:paraId="53DE376E">
            <w:pPr>
              <w:widowControl/>
              <w:spacing w:line="160" w:lineRule="atLeast"/>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免费维保1年</w:t>
            </w:r>
          </w:p>
        </w:tc>
      </w:tr>
      <w:tr w14:paraId="533F9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3" w:type="dxa"/>
            <w:noWrap/>
            <w:vAlign w:val="center"/>
          </w:tcPr>
          <w:p w14:paraId="094330FD">
            <w:pPr>
              <w:spacing w:line="160" w:lineRule="atLeast"/>
              <w:jc w:val="center"/>
              <w:rPr>
                <w:rFonts w:hint="eastAsia" w:ascii="宋体" w:hAnsi="宋体" w:eastAsia="宋体" w:cs="宋体"/>
                <w:sz w:val="24"/>
                <w:szCs w:val="24"/>
              </w:rPr>
            </w:pPr>
            <w:r>
              <w:rPr>
                <w:rFonts w:hint="eastAsia" w:ascii="宋体" w:hAnsi="宋体" w:eastAsia="宋体" w:cs="宋体"/>
                <w:sz w:val="24"/>
                <w:szCs w:val="24"/>
              </w:rPr>
              <w:t>2</w:t>
            </w:r>
          </w:p>
        </w:tc>
        <w:tc>
          <w:tcPr>
            <w:tcW w:w="1403" w:type="dxa"/>
            <w:noWrap/>
            <w:vAlign w:val="center"/>
          </w:tcPr>
          <w:p w14:paraId="6810D55E">
            <w:pPr>
              <w:widowControl/>
              <w:spacing w:line="160" w:lineRule="atLeast"/>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B1层变电所</w:t>
            </w:r>
          </w:p>
        </w:tc>
        <w:tc>
          <w:tcPr>
            <w:tcW w:w="1956" w:type="dxa"/>
            <w:noWrap/>
            <w:vAlign w:val="center"/>
          </w:tcPr>
          <w:p w14:paraId="0F3408A5">
            <w:pPr>
              <w:widowControl/>
              <w:spacing w:line="160" w:lineRule="atLeast"/>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变压器</w:t>
            </w:r>
          </w:p>
        </w:tc>
        <w:tc>
          <w:tcPr>
            <w:tcW w:w="1496" w:type="dxa"/>
            <w:noWrap/>
            <w:vAlign w:val="center"/>
          </w:tcPr>
          <w:p w14:paraId="20755B0B">
            <w:pPr>
              <w:widowControl/>
              <w:spacing w:line="160" w:lineRule="atLeast"/>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4</w:t>
            </w:r>
          </w:p>
        </w:tc>
        <w:tc>
          <w:tcPr>
            <w:tcW w:w="1643" w:type="dxa"/>
            <w:noWrap/>
            <w:vAlign w:val="center"/>
          </w:tcPr>
          <w:p w14:paraId="437B37F2">
            <w:pPr>
              <w:widowControl/>
              <w:spacing w:line="160" w:lineRule="atLeast"/>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2024年1月</w:t>
            </w:r>
          </w:p>
        </w:tc>
        <w:tc>
          <w:tcPr>
            <w:tcW w:w="1707" w:type="dxa"/>
            <w:noWrap/>
            <w:vAlign w:val="center"/>
          </w:tcPr>
          <w:p w14:paraId="6A7E0985">
            <w:pPr>
              <w:widowControl/>
              <w:spacing w:line="160" w:lineRule="atLeast"/>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免费维保1年</w:t>
            </w:r>
          </w:p>
        </w:tc>
      </w:tr>
      <w:tr w14:paraId="16D8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3" w:type="dxa"/>
            <w:noWrap/>
            <w:vAlign w:val="center"/>
          </w:tcPr>
          <w:p w14:paraId="4D1A46B0">
            <w:pPr>
              <w:spacing w:line="160" w:lineRule="atLeast"/>
              <w:jc w:val="center"/>
              <w:rPr>
                <w:rFonts w:hint="eastAsia" w:ascii="宋体" w:hAnsi="宋体" w:eastAsia="宋体" w:cs="宋体"/>
                <w:sz w:val="24"/>
                <w:szCs w:val="24"/>
              </w:rPr>
            </w:pPr>
            <w:r>
              <w:rPr>
                <w:rFonts w:hint="eastAsia" w:ascii="宋体" w:hAnsi="宋体" w:eastAsia="宋体" w:cs="宋体"/>
                <w:sz w:val="24"/>
                <w:szCs w:val="24"/>
              </w:rPr>
              <w:t>3</w:t>
            </w:r>
          </w:p>
        </w:tc>
        <w:tc>
          <w:tcPr>
            <w:tcW w:w="1403" w:type="dxa"/>
            <w:noWrap/>
            <w:vAlign w:val="center"/>
          </w:tcPr>
          <w:p w14:paraId="666FDD2A">
            <w:pPr>
              <w:widowControl/>
              <w:spacing w:line="160" w:lineRule="atLeast"/>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B1层变电所</w:t>
            </w:r>
          </w:p>
        </w:tc>
        <w:tc>
          <w:tcPr>
            <w:tcW w:w="1956" w:type="dxa"/>
            <w:noWrap/>
            <w:vAlign w:val="center"/>
          </w:tcPr>
          <w:p w14:paraId="145A0EBB">
            <w:pPr>
              <w:widowControl/>
              <w:spacing w:line="160" w:lineRule="atLeast"/>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高压电缆</w:t>
            </w:r>
          </w:p>
        </w:tc>
        <w:tc>
          <w:tcPr>
            <w:tcW w:w="1496" w:type="dxa"/>
            <w:noWrap/>
            <w:vAlign w:val="center"/>
          </w:tcPr>
          <w:p w14:paraId="73C2CF1E">
            <w:pPr>
              <w:widowControl/>
              <w:spacing w:line="160" w:lineRule="atLeast"/>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108</w:t>
            </w:r>
          </w:p>
        </w:tc>
        <w:tc>
          <w:tcPr>
            <w:tcW w:w="1643" w:type="dxa"/>
            <w:noWrap/>
            <w:vAlign w:val="center"/>
          </w:tcPr>
          <w:p w14:paraId="3226AC04">
            <w:pPr>
              <w:widowControl/>
              <w:spacing w:line="160" w:lineRule="atLeast"/>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2024年9月</w:t>
            </w:r>
          </w:p>
        </w:tc>
        <w:tc>
          <w:tcPr>
            <w:tcW w:w="1707" w:type="dxa"/>
            <w:noWrap/>
            <w:vAlign w:val="center"/>
          </w:tcPr>
          <w:p w14:paraId="2197E5EC">
            <w:pPr>
              <w:widowControl/>
              <w:spacing w:line="160" w:lineRule="atLeast"/>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免费维保1年</w:t>
            </w:r>
          </w:p>
        </w:tc>
      </w:tr>
    </w:tbl>
    <w:p w14:paraId="588B78D0">
      <w:pPr>
        <w:spacing w:line="40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注：以上数据以实际数量为准。</w:t>
      </w:r>
      <w:r>
        <w:rPr>
          <w:rFonts w:hint="eastAsia" w:ascii="宋体" w:hAnsi="宋体" w:eastAsia="宋体" w:cs="宋体"/>
          <w:kern w:val="0"/>
          <w:sz w:val="24"/>
          <w:szCs w:val="24"/>
        </w:rPr>
        <w:t>质保开始时间以竣工验收时间为准。</w:t>
      </w:r>
    </w:p>
    <w:p w14:paraId="0CBC1F77">
      <w:pPr>
        <w:spacing w:line="400" w:lineRule="exact"/>
        <w:ind w:firstLine="482" w:firstLineChars="200"/>
        <w:jc w:val="left"/>
        <w:outlineLvl w:val="2"/>
        <w:rPr>
          <w:rFonts w:hint="eastAsia" w:ascii="宋体" w:hAnsi="宋体" w:eastAsia="宋体" w:cs="宋体"/>
          <w:b/>
          <w:bCs/>
          <w:sz w:val="24"/>
          <w:szCs w:val="24"/>
        </w:rPr>
      </w:pPr>
      <w:r>
        <w:rPr>
          <w:rFonts w:hint="eastAsia" w:ascii="宋体" w:hAnsi="宋体" w:eastAsia="宋体" w:cs="宋体"/>
          <w:b/>
          <w:bCs/>
          <w:sz w:val="24"/>
          <w:szCs w:val="24"/>
        </w:rPr>
        <w:t>7.二次供水系统</w:t>
      </w:r>
    </w:p>
    <w:tbl>
      <w:tblPr>
        <w:tblStyle w:val="10"/>
        <w:tblW w:w="87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924"/>
        <w:gridCol w:w="2213"/>
        <w:gridCol w:w="1344"/>
        <w:gridCol w:w="1849"/>
        <w:gridCol w:w="1760"/>
      </w:tblGrid>
      <w:tr w14:paraId="5EE83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49" w:type="dxa"/>
            <w:noWrap/>
            <w:vAlign w:val="center"/>
          </w:tcPr>
          <w:p w14:paraId="5A5B8E99">
            <w:pPr>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924" w:type="dxa"/>
            <w:noWrap/>
            <w:vAlign w:val="center"/>
          </w:tcPr>
          <w:p w14:paraId="62755736">
            <w:pPr>
              <w:widowControl/>
              <w:jc w:val="center"/>
              <w:textAlignment w:val="center"/>
              <w:rPr>
                <w:rFonts w:hint="eastAsia" w:ascii="宋体" w:hAnsi="宋体" w:eastAsia="宋体" w:cs="宋体"/>
                <w:b/>
                <w:bCs/>
                <w:sz w:val="24"/>
                <w:szCs w:val="24"/>
              </w:rPr>
            </w:pPr>
            <w:r>
              <w:rPr>
                <w:rFonts w:hint="eastAsia" w:ascii="宋体" w:hAnsi="宋体" w:eastAsia="宋体" w:cs="宋体"/>
                <w:b/>
                <w:bCs/>
                <w:kern w:val="0"/>
                <w:sz w:val="24"/>
                <w:szCs w:val="24"/>
              </w:rPr>
              <w:t>位置</w:t>
            </w:r>
          </w:p>
        </w:tc>
        <w:tc>
          <w:tcPr>
            <w:tcW w:w="2213" w:type="dxa"/>
            <w:noWrap/>
            <w:vAlign w:val="center"/>
          </w:tcPr>
          <w:p w14:paraId="67989B0B">
            <w:pPr>
              <w:widowControl/>
              <w:jc w:val="center"/>
              <w:textAlignment w:val="center"/>
              <w:rPr>
                <w:rFonts w:hint="eastAsia" w:ascii="宋体" w:hAnsi="宋体" w:eastAsia="宋体" w:cs="宋体"/>
                <w:b/>
                <w:bCs/>
                <w:sz w:val="24"/>
                <w:szCs w:val="24"/>
              </w:rPr>
            </w:pPr>
            <w:r>
              <w:rPr>
                <w:rFonts w:hint="eastAsia" w:ascii="宋体" w:hAnsi="宋体" w:eastAsia="宋体" w:cs="宋体"/>
                <w:b/>
                <w:bCs/>
                <w:kern w:val="0"/>
                <w:sz w:val="24"/>
                <w:szCs w:val="24"/>
              </w:rPr>
              <w:t>设备名称及型号</w:t>
            </w:r>
          </w:p>
        </w:tc>
        <w:tc>
          <w:tcPr>
            <w:tcW w:w="1344" w:type="dxa"/>
            <w:noWrap/>
            <w:vAlign w:val="center"/>
          </w:tcPr>
          <w:p w14:paraId="3D07665F">
            <w:pPr>
              <w:widowControl/>
              <w:jc w:val="center"/>
              <w:textAlignment w:val="center"/>
              <w:rPr>
                <w:rFonts w:hint="eastAsia" w:ascii="宋体" w:hAnsi="宋体" w:eastAsia="宋体" w:cs="宋体"/>
                <w:b/>
                <w:bCs/>
                <w:sz w:val="24"/>
                <w:szCs w:val="24"/>
              </w:rPr>
            </w:pPr>
            <w:r>
              <w:rPr>
                <w:rFonts w:hint="eastAsia" w:ascii="宋体" w:hAnsi="宋体" w:eastAsia="宋体" w:cs="宋体"/>
                <w:b/>
                <w:bCs/>
                <w:kern w:val="0"/>
                <w:sz w:val="24"/>
                <w:szCs w:val="24"/>
              </w:rPr>
              <w:t>数量（台）</w:t>
            </w:r>
          </w:p>
        </w:tc>
        <w:tc>
          <w:tcPr>
            <w:tcW w:w="1849" w:type="dxa"/>
            <w:noWrap/>
            <w:vAlign w:val="center"/>
          </w:tcPr>
          <w:p w14:paraId="00FC1668">
            <w:pPr>
              <w:widowControl/>
              <w:jc w:val="center"/>
              <w:textAlignment w:val="center"/>
              <w:rPr>
                <w:rFonts w:hint="eastAsia" w:ascii="宋体" w:hAnsi="宋体" w:eastAsia="宋体" w:cs="宋体"/>
                <w:b/>
                <w:bCs/>
                <w:sz w:val="24"/>
                <w:szCs w:val="24"/>
              </w:rPr>
            </w:pPr>
            <w:r>
              <w:rPr>
                <w:rFonts w:hint="eastAsia" w:ascii="宋体" w:hAnsi="宋体" w:eastAsia="宋体" w:cs="宋体"/>
                <w:b/>
                <w:bCs/>
                <w:kern w:val="0"/>
                <w:sz w:val="24"/>
                <w:szCs w:val="24"/>
              </w:rPr>
              <w:t>生产日期</w:t>
            </w:r>
          </w:p>
        </w:tc>
        <w:tc>
          <w:tcPr>
            <w:tcW w:w="1760" w:type="dxa"/>
            <w:noWrap/>
            <w:vAlign w:val="center"/>
          </w:tcPr>
          <w:p w14:paraId="54F19F65">
            <w:pPr>
              <w:widowControl/>
              <w:jc w:val="center"/>
              <w:textAlignment w:val="center"/>
              <w:rPr>
                <w:rFonts w:hint="eastAsia" w:ascii="宋体" w:hAnsi="宋体" w:eastAsia="宋体" w:cs="宋体"/>
                <w:b/>
                <w:bCs/>
                <w:kern w:val="0"/>
                <w:sz w:val="24"/>
                <w:szCs w:val="24"/>
              </w:rPr>
            </w:pPr>
            <w:r>
              <w:rPr>
                <w:rFonts w:hint="eastAsia" w:ascii="宋体" w:hAnsi="宋体" w:eastAsia="宋体" w:cs="宋体"/>
                <w:b/>
                <w:bCs/>
                <w:kern w:val="0"/>
                <w:sz w:val="24"/>
                <w:szCs w:val="24"/>
              </w:rPr>
              <w:t>备注</w:t>
            </w:r>
          </w:p>
        </w:tc>
      </w:tr>
      <w:tr w14:paraId="6A781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49" w:type="dxa"/>
            <w:noWrap/>
            <w:vAlign w:val="center"/>
          </w:tcPr>
          <w:p w14:paraId="7C7664F8">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1</w:t>
            </w:r>
          </w:p>
        </w:tc>
        <w:tc>
          <w:tcPr>
            <w:tcW w:w="924" w:type="dxa"/>
            <w:noWrap/>
            <w:vAlign w:val="center"/>
          </w:tcPr>
          <w:p w14:paraId="78BE1DAA">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热水泵</w:t>
            </w:r>
          </w:p>
        </w:tc>
        <w:tc>
          <w:tcPr>
            <w:tcW w:w="2213" w:type="dxa"/>
            <w:noWrap/>
            <w:vAlign w:val="center"/>
          </w:tcPr>
          <w:p w14:paraId="78D9A9E2">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机组循环泵：MHI1602</w:t>
            </w:r>
          </w:p>
        </w:tc>
        <w:tc>
          <w:tcPr>
            <w:tcW w:w="1344" w:type="dxa"/>
            <w:noWrap/>
            <w:vAlign w:val="center"/>
          </w:tcPr>
          <w:p w14:paraId="5F048921">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w:t>
            </w:r>
          </w:p>
        </w:tc>
        <w:tc>
          <w:tcPr>
            <w:tcW w:w="1849" w:type="dxa"/>
            <w:noWrap/>
            <w:vAlign w:val="center"/>
          </w:tcPr>
          <w:p w14:paraId="1F8C02D3">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2023年7月7日</w:t>
            </w:r>
          </w:p>
        </w:tc>
        <w:tc>
          <w:tcPr>
            <w:tcW w:w="1760" w:type="dxa"/>
            <w:noWrap/>
            <w:vAlign w:val="center"/>
          </w:tcPr>
          <w:p w14:paraId="2B8C6BC2">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免费维保2年</w:t>
            </w:r>
          </w:p>
        </w:tc>
      </w:tr>
      <w:tr w14:paraId="2D446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49" w:type="dxa"/>
            <w:noWrap/>
            <w:vAlign w:val="center"/>
          </w:tcPr>
          <w:p w14:paraId="48CE18C6">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2</w:t>
            </w:r>
          </w:p>
        </w:tc>
        <w:tc>
          <w:tcPr>
            <w:tcW w:w="924" w:type="dxa"/>
            <w:noWrap/>
            <w:vAlign w:val="center"/>
          </w:tcPr>
          <w:p w14:paraId="2963B968">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热水泵</w:t>
            </w:r>
          </w:p>
        </w:tc>
        <w:tc>
          <w:tcPr>
            <w:tcW w:w="2213" w:type="dxa"/>
            <w:noWrap/>
            <w:vAlign w:val="center"/>
          </w:tcPr>
          <w:p w14:paraId="0B1BA7C1">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热水回收循环泵：PUN750EH</w:t>
            </w:r>
          </w:p>
        </w:tc>
        <w:tc>
          <w:tcPr>
            <w:tcW w:w="1344" w:type="dxa"/>
            <w:noWrap/>
            <w:vAlign w:val="center"/>
          </w:tcPr>
          <w:p w14:paraId="190B7408">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w:t>
            </w:r>
          </w:p>
        </w:tc>
        <w:tc>
          <w:tcPr>
            <w:tcW w:w="1849" w:type="dxa"/>
            <w:noWrap/>
            <w:vAlign w:val="center"/>
          </w:tcPr>
          <w:p w14:paraId="61388A88">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2023年7月7日</w:t>
            </w:r>
          </w:p>
        </w:tc>
        <w:tc>
          <w:tcPr>
            <w:tcW w:w="1760" w:type="dxa"/>
            <w:noWrap/>
            <w:vAlign w:val="center"/>
          </w:tcPr>
          <w:p w14:paraId="4F0B8CC9">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免费维保2年</w:t>
            </w:r>
          </w:p>
        </w:tc>
      </w:tr>
      <w:tr w14:paraId="41C0E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49" w:type="dxa"/>
            <w:noWrap/>
            <w:vAlign w:val="center"/>
          </w:tcPr>
          <w:p w14:paraId="712F8163">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3</w:t>
            </w:r>
          </w:p>
        </w:tc>
        <w:tc>
          <w:tcPr>
            <w:tcW w:w="924" w:type="dxa"/>
            <w:noWrap/>
            <w:vAlign w:val="center"/>
          </w:tcPr>
          <w:p w14:paraId="27A56169">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热水泵</w:t>
            </w:r>
          </w:p>
        </w:tc>
        <w:tc>
          <w:tcPr>
            <w:tcW w:w="2213" w:type="dxa"/>
            <w:noWrap/>
            <w:vAlign w:val="center"/>
          </w:tcPr>
          <w:p w14:paraId="56DBC114">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水箱循环泵：PH150EH</w:t>
            </w:r>
          </w:p>
        </w:tc>
        <w:tc>
          <w:tcPr>
            <w:tcW w:w="1344" w:type="dxa"/>
            <w:noWrap/>
            <w:vAlign w:val="center"/>
          </w:tcPr>
          <w:p w14:paraId="3D7D7E53">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w:t>
            </w:r>
          </w:p>
        </w:tc>
        <w:tc>
          <w:tcPr>
            <w:tcW w:w="1849" w:type="dxa"/>
            <w:noWrap/>
            <w:vAlign w:val="center"/>
          </w:tcPr>
          <w:p w14:paraId="4B1B0905">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2023年7月7日</w:t>
            </w:r>
          </w:p>
        </w:tc>
        <w:tc>
          <w:tcPr>
            <w:tcW w:w="1760" w:type="dxa"/>
            <w:noWrap/>
            <w:vAlign w:val="center"/>
          </w:tcPr>
          <w:p w14:paraId="3C12F5FF">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免费维保2年</w:t>
            </w:r>
          </w:p>
        </w:tc>
      </w:tr>
      <w:tr w14:paraId="05C15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49" w:type="dxa"/>
            <w:noWrap w:val="0"/>
            <w:vAlign w:val="center"/>
          </w:tcPr>
          <w:p w14:paraId="777EB178">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4</w:t>
            </w:r>
          </w:p>
        </w:tc>
        <w:tc>
          <w:tcPr>
            <w:tcW w:w="924" w:type="dxa"/>
            <w:noWrap w:val="0"/>
            <w:vAlign w:val="center"/>
          </w:tcPr>
          <w:p w14:paraId="297A94C9">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热水泵</w:t>
            </w:r>
          </w:p>
        </w:tc>
        <w:tc>
          <w:tcPr>
            <w:tcW w:w="2213" w:type="dxa"/>
            <w:noWrap w:val="0"/>
            <w:vAlign w:val="center"/>
          </w:tcPr>
          <w:p w14:paraId="798B1CF6">
            <w:pPr>
              <w:widowControl/>
              <w:ind w:firstLine="442"/>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辅热泵：PH255EH</w:t>
            </w:r>
          </w:p>
        </w:tc>
        <w:tc>
          <w:tcPr>
            <w:tcW w:w="1344" w:type="dxa"/>
            <w:noWrap w:val="0"/>
            <w:vAlign w:val="center"/>
          </w:tcPr>
          <w:p w14:paraId="12A2564D">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w:t>
            </w:r>
          </w:p>
        </w:tc>
        <w:tc>
          <w:tcPr>
            <w:tcW w:w="1849" w:type="dxa"/>
            <w:noWrap w:val="0"/>
            <w:vAlign w:val="center"/>
          </w:tcPr>
          <w:p w14:paraId="52585018">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2023年7月7日</w:t>
            </w:r>
          </w:p>
        </w:tc>
        <w:tc>
          <w:tcPr>
            <w:tcW w:w="1760" w:type="dxa"/>
            <w:noWrap w:val="0"/>
            <w:vAlign w:val="center"/>
          </w:tcPr>
          <w:p w14:paraId="4D9A8A19">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免费维保2年</w:t>
            </w:r>
          </w:p>
        </w:tc>
      </w:tr>
      <w:tr w14:paraId="4ED41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49" w:type="dxa"/>
            <w:noWrap w:val="0"/>
            <w:vAlign w:val="center"/>
          </w:tcPr>
          <w:p w14:paraId="136840F3">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5</w:t>
            </w:r>
          </w:p>
        </w:tc>
        <w:tc>
          <w:tcPr>
            <w:tcW w:w="924" w:type="dxa"/>
            <w:noWrap w:val="0"/>
            <w:vAlign w:val="center"/>
          </w:tcPr>
          <w:p w14:paraId="38F1E056">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给水泵</w:t>
            </w:r>
          </w:p>
        </w:tc>
        <w:tc>
          <w:tcPr>
            <w:tcW w:w="2213" w:type="dxa"/>
            <w:noWrap w:val="0"/>
            <w:vAlign w:val="center"/>
          </w:tcPr>
          <w:p w14:paraId="30486E94">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二区成套恒压变频供水泵：MVI MVI1605</w:t>
            </w:r>
          </w:p>
        </w:tc>
        <w:tc>
          <w:tcPr>
            <w:tcW w:w="1344" w:type="dxa"/>
            <w:noWrap w:val="0"/>
            <w:vAlign w:val="center"/>
          </w:tcPr>
          <w:p w14:paraId="2767D7AE">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w:t>
            </w:r>
          </w:p>
        </w:tc>
        <w:tc>
          <w:tcPr>
            <w:tcW w:w="1849" w:type="dxa"/>
            <w:noWrap w:val="0"/>
            <w:vAlign w:val="center"/>
          </w:tcPr>
          <w:p w14:paraId="4FFBEE75">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2023年7月7日</w:t>
            </w:r>
          </w:p>
        </w:tc>
        <w:tc>
          <w:tcPr>
            <w:tcW w:w="1760" w:type="dxa"/>
            <w:noWrap w:val="0"/>
            <w:vAlign w:val="center"/>
          </w:tcPr>
          <w:p w14:paraId="1AA5362D">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免费维保2年</w:t>
            </w:r>
          </w:p>
        </w:tc>
      </w:tr>
      <w:tr w14:paraId="69E2A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49" w:type="dxa"/>
            <w:noWrap w:val="0"/>
            <w:vAlign w:val="center"/>
          </w:tcPr>
          <w:p w14:paraId="13989352">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6</w:t>
            </w:r>
          </w:p>
        </w:tc>
        <w:tc>
          <w:tcPr>
            <w:tcW w:w="924" w:type="dxa"/>
            <w:noWrap w:val="0"/>
            <w:vAlign w:val="center"/>
          </w:tcPr>
          <w:p w14:paraId="2F66822F">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给水泵</w:t>
            </w:r>
          </w:p>
        </w:tc>
        <w:tc>
          <w:tcPr>
            <w:tcW w:w="2213" w:type="dxa"/>
            <w:noWrap w:val="0"/>
            <w:vAlign w:val="center"/>
          </w:tcPr>
          <w:p w14:paraId="46FFFE81">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三区成套恒压变频供水泵：MVI MVI1607</w:t>
            </w:r>
          </w:p>
        </w:tc>
        <w:tc>
          <w:tcPr>
            <w:tcW w:w="1344" w:type="dxa"/>
            <w:noWrap w:val="0"/>
            <w:vAlign w:val="center"/>
          </w:tcPr>
          <w:p w14:paraId="30D8C99B">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w:t>
            </w:r>
          </w:p>
        </w:tc>
        <w:tc>
          <w:tcPr>
            <w:tcW w:w="1849" w:type="dxa"/>
            <w:noWrap w:val="0"/>
            <w:vAlign w:val="center"/>
          </w:tcPr>
          <w:p w14:paraId="757491CB">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2023年7月7日</w:t>
            </w:r>
          </w:p>
        </w:tc>
        <w:tc>
          <w:tcPr>
            <w:tcW w:w="1760" w:type="dxa"/>
            <w:noWrap w:val="0"/>
            <w:vAlign w:val="center"/>
          </w:tcPr>
          <w:p w14:paraId="3EB691EB">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免费维保2年</w:t>
            </w:r>
          </w:p>
        </w:tc>
      </w:tr>
      <w:tr w14:paraId="6F824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49" w:type="dxa"/>
            <w:noWrap w:val="0"/>
            <w:vAlign w:val="center"/>
          </w:tcPr>
          <w:p w14:paraId="606E6A81">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7</w:t>
            </w:r>
          </w:p>
        </w:tc>
        <w:tc>
          <w:tcPr>
            <w:tcW w:w="924" w:type="dxa"/>
            <w:noWrap w:val="0"/>
            <w:vAlign w:val="center"/>
          </w:tcPr>
          <w:p w14:paraId="7D09F1A6">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给水泵</w:t>
            </w:r>
          </w:p>
        </w:tc>
        <w:tc>
          <w:tcPr>
            <w:tcW w:w="2213" w:type="dxa"/>
            <w:noWrap w:val="0"/>
            <w:vAlign w:val="center"/>
          </w:tcPr>
          <w:p w14:paraId="0C91E472">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四区成套恒压变频供水泵：MVI MVI1610</w:t>
            </w:r>
          </w:p>
        </w:tc>
        <w:tc>
          <w:tcPr>
            <w:tcW w:w="1344" w:type="dxa"/>
            <w:noWrap w:val="0"/>
            <w:vAlign w:val="center"/>
          </w:tcPr>
          <w:p w14:paraId="40E684C5">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3</w:t>
            </w:r>
          </w:p>
        </w:tc>
        <w:tc>
          <w:tcPr>
            <w:tcW w:w="1849" w:type="dxa"/>
            <w:noWrap w:val="0"/>
            <w:vAlign w:val="center"/>
          </w:tcPr>
          <w:p w14:paraId="13DFBF43">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2023年7月7日</w:t>
            </w:r>
          </w:p>
        </w:tc>
        <w:tc>
          <w:tcPr>
            <w:tcW w:w="1760" w:type="dxa"/>
            <w:noWrap w:val="0"/>
            <w:vAlign w:val="center"/>
          </w:tcPr>
          <w:p w14:paraId="25225540">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免费维保2年</w:t>
            </w:r>
          </w:p>
        </w:tc>
      </w:tr>
      <w:tr w14:paraId="1C388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49" w:type="dxa"/>
            <w:noWrap w:val="0"/>
            <w:vAlign w:val="center"/>
          </w:tcPr>
          <w:p w14:paraId="0A25F980">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8</w:t>
            </w:r>
          </w:p>
        </w:tc>
        <w:tc>
          <w:tcPr>
            <w:tcW w:w="924" w:type="dxa"/>
            <w:noWrap w:val="0"/>
            <w:vAlign w:val="center"/>
          </w:tcPr>
          <w:p w14:paraId="54E0A1FD">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中水泵</w:t>
            </w:r>
          </w:p>
        </w:tc>
        <w:tc>
          <w:tcPr>
            <w:tcW w:w="2213" w:type="dxa"/>
            <w:noWrap w:val="0"/>
            <w:vAlign w:val="center"/>
          </w:tcPr>
          <w:p w14:paraId="04CCE601">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二区成套恒压变频供水泵：MVI MVI1605</w:t>
            </w:r>
          </w:p>
        </w:tc>
        <w:tc>
          <w:tcPr>
            <w:tcW w:w="1344" w:type="dxa"/>
            <w:noWrap w:val="0"/>
            <w:vAlign w:val="center"/>
          </w:tcPr>
          <w:p w14:paraId="6C4F3E78">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w:t>
            </w:r>
          </w:p>
        </w:tc>
        <w:tc>
          <w:tcPr>
            <w:tcW w:w="1849" w:type="dxa"/>
            <w:noWrap w:val="0"/>
            <w:vAlign w:val="center"/>
          </w:tcPr>
          <w:p w14:paraId="5C577447">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2023年7月7日</w:t>
            </w:r>
          </w:p>
        </w:tc>
        <w:tc>
          <w:tcPr>
            <w:tcW w:w="1760" w:type="dxa"/>
            <w:noWrap w:val="0"/>
            <w:vAlign w:val="center"/>
          </w:tcPr>
          <w:p w14:paraId="22EB3428">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免费维保2年</w:t>
            </w:r>
          </w:p>
        </w:tc>
      </w:tr>
      <w:tr w14:paraId="3C15B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49" w:type="dxa"/>
            <w:noWrap w:val="0"/>
            <w:vAlign w:val="center"/>
          </w:tcPr>
          <w:p w14:paraId="7E2C1F51">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9</w:t>
            </w:r>
          </w:p>
        </w:tc>
        <w:tc>
          <w:tcPr>
            <w:tcW w:w="924" w:type="dxa"/>
            <w:noWrap w:val="0"/>
            <w:vAlign w:val="center"/>
          </w:tcPr>
          <w:p w14:paraId="12E29890">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中水泵</w:t>
            </w:r>
          </w:p>
        </w:tc>
        <w:tc>
          <w:tcPr>
            <w:tcW w:w="2213" w:type="dxa"/>
            <w:noWrap w:val="0"/>
            <w:vAlign w:val="center"/>
          </w:tcPr>
          <w:p w14:paraId="69E498C5">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三区成套恒压变频供水泵：MVI MVI1607</w:t>
            </w:r>
          </w:p>
        </w:tc>
        <w:tc>
          <w:tcPr>
            <w:tcW w:w="1344" w:type="dxa"/>
            <w:noWrap w:val="0"/>
            <w:vAlign w:val="center"/>
          </w:tcPr>
          <w:p w14:paraId="13547617">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w:t>
            </w:r>
          </w:p>
        </w:tc>
        <w:tc>
          <w:tcPr>
            <w:tcW w:w="1849" w:type="dxa"/>
            <w:noWrap w:val="0"/>
            <w:vAlign w:val="center"/>
          </w:tcPr>
          <w:p w14:paraId="1DDCEF04">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2023年7月7日</w:t>
            </w:r>
          </w:p>
        </w:tc>
        <w:tc>
          <w:tcPr>
            <w:tcW w:w="1760" w:type="dxa"/>
            <w:noWrap w:val="0"/>
            <w:vAlign w:val="center"/>
          </w:tcPr>
          <w:p w14:paraId="2597A775">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免费维保2年</w:t>
            </w:r>
          </w:p>
        </w:tc>
      </w:tr>
      <w:tr w14:paraId="7B4E8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49" w:type="dxa"/>
            <w:noWrap w:val="0"/>
            <w:vAlign w:val="center"/>
          </w:tcPr>
          <w:p w14:paraId="6DE94EDC">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10</w:t>
            </w:r>
          </w:p>
        </w:tc>
        <w:tc>
          <w:tcPr>
            <w:tcW w:w="924" w:type="dxa"/>
            <w:noWrap w:val="0"/>
            <w:vAlign w:val="center"/>
          </w:tcPr>
          <w:p w14:paraId="1ACB5E6B">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中水泵</w:t>
            </w:r>
          </w:p>
        </w:tc>
        <w:tc>
          <w:tcPr>
            <w:tcW w:w="2213" w:type="dxa"/>
            <w:noWrap w:val="0"/>
            <w:vAlign w:val="center"/>
          </w:tcPr>
          <w:p w14:paraId="41A24C45">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四区成套恒压变频供水泵：MVI MVI1612</w:t>
            </w:r>
          </w:p>
        </w:tc>
        <w:tc>
          <w:tcPr>
            <w:tcW w:w="1344" w:type="dxa"/>
            <w:noWrap w:val="0"/>
            <w:vAlign w:val="center"/>
          </w:tcPr>
          <w:p w14:paraId="3422CB39">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w:t>
            </w:r>
          </w:p>
        </w:tc>
        <w:tc>
          <w:tcPr>
            <w:tcW w:w="1849" w:type="dxa"/>
            <w:noWrap w:val="0"/>
            <w:vAlign w:val="center"/>
          </w:tcPr>
          <w:p w14:paraId="6914A398">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2023年7月7日</w:t>
            </w:r>
          </w:p>
        </w:tc>
        <w:tc>
          <w:tcPr>
            <w:tcW w:w="1760" w:type="dxa"/>
            <w:noWrap w:val="0"/>
            <w:vAlign w:val="center"/>
          </w:tcPr>
          <w:p w14:paraId="7BD31AC1">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免费维保2年</w:t>
            </w:r>
          </w:p>
        </w:tc>
      </w:tr>
    </w:tbl>
    <w:p w14:paraId="66B7C6DB">
      <w:pPr>
        <w:spacing w:line="400" w:lineRule="exact"/>
        <w:ind w:firstLine="480" w:firstLineChars="200"/>
        <w:rPr>
          <w:rFonts w:ascii="宋体" w:hAnsi="宋体" w:eastAsia="宋体" w:cs="宋体"/>
          <w:bCs/>
          <w:szCs w:val="21"/>
        </w:rPr>
      </w:pPr>
      <w:r>
        <w:rPr>
          <w:rFonts w:hint="eastAsia" w:ascii="宋体" w:hAnsi="宋体" w:eastAsia="宋体" w:cs="宋体"/>
          <w:bCs/>
          <w:sz w:val="24"/>
          <w:szCs w:val="24"/>
        </w:rPr>
        <w:t>注：以上数据以实际数量为准。</w:t>
      </w:r>
      <w:r>
        <w:rPr>
          <w:rFonts w:hint="eastAsia" w:ascii="宋体" w:hAnsi="宋体" w:eastAsia="宋体" w:cs="宋体"/>
          <w:kern w:val="0"/>
          <w:sz w:val="24"/>
          <w:szCs w:val="24"/>
        </w:rPr>
        <w:t>质保开始时间以竣工验收时间为准。</w:t>
      </w:r>
    </w:p>
    <w:p w14:paraId="5F6C8625">
      <w:pPr>
        <w:pStyle w:val="4"/>
        <w:keepNext w:val="0"/>
        <w:keepLines w:val="0"/>
        <w:pageBreakBefore w:val="0"/>
        <w:widowControl w:val="0"/>
        <w:kinsoku/>
        <w:wordWrap/>
        <w:overflowPunct/>
        <w:topLinePunct w:val="0"/>
        <w:autoSpaceDE/>
        <w:autoSpaceDN/>
        <w:bidi w:val="0"/>
        <w:adjustRightInd/>
        <w:snapToGrid/>
        <w:spacing w:after="0" w:line="360" w:lineRule="auto"/>
        <w:ind w:firstLine="241" w:firstLineChars="1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rPr>
        <w:t>8</w:t>
      </w:r>
      <w:r>
        <w:rPr>
          <w:rFonts w:hint="eastAsia" w:ascii="宋体" w:hAnsi="宋体" w:eastAsia="宋体" w:cs="宋体"/>
          <w:b/>
          <w:bCs/>
          <w:color w:val="auto"/>
          <w:sz w:val="24"/>
          <w:szCs w:val="24"/>
        </w:rPr>
        <w:t>.</w:t>
      </w:r>
      <w:r>
        <w:rPr>
          <w:rFonts w:hint="eastAsia" w:ascii="宋体" w:hAnsi="宋体" w:eastAsia="宋体" w:cs="宋体"/>
          <w:b/>
          <w:bCs/>
          <w:sz w:val="24"/>
          <w:szCs w:val="24"/>
        </w:rPr>
        <w:t>消防系统</w:t>
      </w:r>
    </w:p>
    <w:p w14:paraId="1BE355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合肥工业大学产学研综合楼消防设施</w:t>
      </w:r>
      <w:r>
        <w:rPr>
          <w:rFonts w:hint="eastAsia" w:ascii="宋体" w:hAnsi="宋体" w:eastAsia="宋体" w:cs="宋体"/>
          <w:sz w:val="24"/>
          <w:szCs w:val="24"/>
          <w:lang w:eastAsia="zh-CN"/>
        </w:rPr>
        <w:t>物业</w:t>
      </w:r>
      <w:r>
        <w:rPr>
          <w:rFonts w:hint="eastAsia" w:ascii="宋体" w:hAnsi="宋体" w:eastAsia="宋体" w:cs="宋体"/>
          <w:sz w:val="24"/>
          <w:szCs w:val="24"/>
        </w:rPr>
        <w:t>服务，委托范围包括但不限于消控室值班、相关设施设备日常管理。依据《消防法》、《合肥工业大学消防安全管理规定（修订稿）》相关内容要求，物业服务企业应当遵守消防法律、法规和规章，贯彻“预防为主、防消结合”的方针，履行消防安全职责，保障消防安全。落实逐级消防安全责任制和岗位消防安全责任制，明确逐级和岗位消防安全职责，确定各级、各岗位消防安全责任人，实行消防安全责任追究制。</w:t>
      </w:r>
    </w:p>
    <w:p w14:paraId="37C1FA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消防控制室值班及操作处置内容及要求：依据GB25506-2010《消防控制室通用技术要求》相关规范标准执行，消防控制室实行每日24 h专人值班制度，值班人员应持有消防控制室操作职业资格证书，按要求做好消防巡查、检查工作。依法履行保护消防设施、预防火灾、报告火警和扑救初起火灾等维护消防安全的义务。</w:t>
      </w:r>
    </w:p>
    <w:p w14:paraId="5C3E27ED">
      <w:pPr>
        <w:pStyle w:val="9"/>
        <w:tabs>
          <w:tab w:val="left" w:pos="2760"/>
          <w:tab w:val="left" w:pos="8640"/>
        </w:tabs>
        <w:ind w:left="0" w:leftChars="0" w:firstLine="241" w:firstLineChars="100"/>
        <w:rPr>
          <w:rFonts w:hint="eastAsia" w:ascii="宋体" w:hAnsi="宋体" w:eastAsia="宋体" w:cs="宋体"/>
          <w:color w:val="auto"/>
          <w:sz w:val="24"/>
          <w:szCs w:val="24"/>
        </w:rPr>
      </w:pPr>
      <w:r>
        <w:rPr>
          <w:rFonts w:hint="eastAsia" w:ascii="宋体" w:hAnsi="宋体" w:eastAsia="宋体" w:cs="宋体"/>
          <w:b/>
          <w:bCs/>
          <w:color w:val="auto"/>
          <w:sz w:val="24"/>
          <w:szCs w:val="24"/>
        </w:rPr>
        <w:t>（1）消控室</w:t>
      </w:r>
      <w:r>
        <w:rPr>
          <w:rFonts w:hint="eastAsia" w:ascii="宋体" w:hAnsi="宋体" w:eastAsia="宋体" w:cs="宋体"/>
          <w:color w:val="auto"/>
          <w:sz w:val="24"/>
          <w:szCs w:val="24"/>
        </w:rPr>
        <w:t>（102平方米）</w:t>
      </w:r>
    </w:p>
    <w:tbl>
      <w:tblPr>
        <w:tblStyle w:val="10"/>
        <w:tblpPr w:leftFromText="180" w:rightFromText="180" w:vertAnchor="text" w:horzAnchor="page" w:tblpX="1425" w:tblpY="14"/>
        <w:tblOverlap w:val="never"/>
        <w:tblW w:w="470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3350"/>
        <w:gridCol w:w="3243"/>
      </w:tblGrid>
      <w:tr w14:paraId="675BA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92" w:type="pct"/>
            <w:noWrap/>
            <w:vAlign w:val="center"/>
          </w:tcPr>
          <w:p w14:paraId="02A2ADAB">
            <w:pPr>
              <w:ind w:firstLine="422"/>
              <w:jc w:val="both"/>
              <w:rPr>
                <w:rFonts w:hint="eastAsia" w:ascii="宋体" w:hAnsi="宋体" w:eastAsia="宋体" w:cs="宋体"/>
                <w:b/>
                <w:bCs/>
                <w:sz w:val="24"/>
                <w:szCs w:val="24"/>
              </w:rPr>
            </w:pPr>
            <w:r>
              <w:rPr>
                <w:rFonts w:hint="eastAsia" w:ascii="宋体" w:hAnsi="宋体" w:eastAsia="宋体" w:cs="宋体"/>
                <w:b/>
                <w:bCs/>
                <w:sz w:val="24"/>
                <w:szCs w:val="24"/>
              </w:rPr>
              <w:t>序号</w:t>
            </w:r>
          </w:p>
        </w:tc>
        <w:tc>
          <w:tcPr>
            <w:tcW w:w="2087" w:type="pct"/>
            <w:noWrap/>
            <w:vAlign w:val="center"/>
          </w:tcPr>
          <w:p w14:paraId="5BD0E304">
            <w:pPr>
              <w:widowControl/>
              <w:jc w:val="center"/>
              <w:textAlignment w:val="center"/>
              <w:rPr>
                <w:rFonts w:hint="eastAsia" w:ascii="宋体" w:hAnsi="宋体" w:eastAsia="宋体" w:cs="宋体"/>
                <w:b/>
                <w:bCs/>
                <w:sz w:val="24"/>
                <w:szCs w:val="24"/>
              </w:rPr>
            </w:pPr>
            <w:r>
              <w:rPr>
                <w:rFonts w:hint="eastAsia" w:ascii="宋体" w:hAnsi="宋体" w:eastAsia="宋体" w:cs="宋体"/>
                <w:b/>
                <w:bCs/>
                <w:sz w:val="24"/>
                <w:szCs w:val="24"/>
              </w:rPr>
              <w:t>设备</w:t>
            </w:r>
          </w:p>
        </w:tc>
        <w:tc>
          <w:tcPr>
            <w:tcW w:w="2020" w:type="pct"/>
            <w:noWrap/>
            <w:vAlign w:val="center"/>
          </w:tcPr>
          <w:p w14:paraId="2603D1E9">
            <w:pPr>
              <w:widowControl/>
              <w:ind w:firstLine="422"/>
              <w:jc w:val="center"/>
              <w:textAlignment w:val="center"/>
              <w:rPr>
                <w:rFonts w:hint="eastAsia" w:ascii="宋体" w:hAnsi="宋体" w:eastAsia="宋体" w:cs="宋体"/>
                <w:b/>
                <w:bCs/>
                <w:sz w:val="24"/>
                <w:szCs w:val="24"/>
              </w:rPr>
            </w:pPr>
            <w:r>
              <w:rPr>
                <w:rFonts w:hint="eastAsia" w:ascii="宋体" w:hAnsi="宋体" w:eastAsia="宋体" w:cs="宋体"/>
                <w:b/>
                <w:bCs/>
                <w:sz w:val="24"/>
                <w:szCs w:val="24"/>
              </w:rPr>
              <w:t>报警主机品牌型号</w:t>
            </w:r>
          </w:p>
        </w:tc>
      </w:tr>
      <w:tr w14:paraId="71410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92" w:type="pct"/>
            <w:noWrap/>
            <w:vAlign w:val="center"/>
          </w:tcPr>
          <w:p w14:paraId="1ADC3AB1">
            <w:pPr>
              <w:jc w:val="center"/>
              <w:rPr>
                <w:rFonts w:hint="eastAsia" w:ascii="宋体" w:hAnsi="宋体" w:eastAsia="宋体" w:cs="宋体"/>
                <w:sz w:val="24"/>
                <w:szCs w:val="24"/>
              </w:rPr>
            </w:pPr>
            <w:r>
              <w:rPr>
                <w:rFonts w:hint="eastAsia" w:ascii="宋体" w:hAnsi="宋体" w:eastAsia="宋体" w:cs="宋体"/>
                <w:sz w:val="24"/>
                <w:szCs w:val="24"/>
              </w:rPr>
              <w:t>1</w:t>
            </w:r>
          </w:p>
        </w:tc>
        <w:tc>
          <w:tcPr>
            <w:tcW w:w="2087" w:type="pct"/>
            <w:noWrap/>
            <w:vAlign w:val="center"/>
          </w:tcPr>
          <w:p w14:paraId="188AD0E5">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火灾报警主机</w:t>
            </w:r>
          </w:p>
        </w:tc>
        <w:tc>
          <w:tcPr>
            <w:tcW w:w="2020" w:type="pct"/>
            <w:noWrap/>
            <w:vAlign w:val="center"/>
          </w:tcPr>
          <w:p w14:paraId="14C10375">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蚌埠依爱JB-TGL-EI8000G</w:t>
            </w:r>
          </w:p>
        </w:tc>
      </w:tr>
      <w:tr w14:paraId="42203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92" w:type="pct"/>
            <w:noWrap/>
            <w:vAlign w:val="center"/>
          </w:tcPr>
          <w:p w14:paraId="49171A21">
            <w:pPr>
              <w:jc w:val="center"/>
              <w:rPr>
                <w:rFonts w:hint="eastAsia" w:ascii="宋体" w:hAnsi="宋体" w:eastAsia="宋体" w:cs="宋体"/>
                <w:sz w:val="24"/>
                <w:szCs w:val="24"/>
              </w:rPr>
            </w:pPr>
            <w:r>
              <w:rPr>
                <w:rFonts w:hint="eastAsia" w:ascii="宋体" w:hAnsi="宋体" w:eastAsia="宋体" w:cs="宋体"/>
                <w:sz w:val="24"/>
                <w:szCs w:val="24"/>
              </w:rPr>
              <w:t>2</w:t>
            </w:r>
          </w:p>
        </w:tc>
        <w:tc>
          <w:tcPr>
            <w:tcW w:w="2087" w:type="pct"/>
            <w:noWrap/>
            <w:vAlign w:val="center"/>
          </w:tcPr>
          <w:p w14:paraId="3DC711F3">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消防控制室图形显示装置</w:t>
            </w:r>
          </w:p>
        </w:tc>
        <w:tc>
          <w:tcPr>
            <w:tcW w:w="2020" w:type="pct"/>
            <w:noWrap/>
            <w:vAlign w:val="center"/>
          </w:tcPr>
          <w:p w14:paraId="3C94DB16">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蚌埠依爱EI-8402</w:t>
            </w:r>
          </w:p>
        </w:tc>
      </w:tr>
      <w:tr w14:paraId="35B74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92" w:type="pct"/>
            <w:noWrap w:val="0"/>
            <w:vAlign w:val="center"/>
          </w:tcPr>
          <w:p w14:paraId="6B09AF74">
            <w:pPr>
              <w:jc w:val="center"/>
              <w:rPr>
                <w:rFonts w:hint="eastAsia" w:ascii="宋体" w:hAnsi="宋体" w:eastAsia="宋体" w:cs="宋体"/>
                <w:sz w:val="24"/>
                <w:szCs w:val="24"/>
              </w:rPr>
            </w:pPr>
            <w:r>
              <w:rPr>
                <w:rFonts w:hint="eastAsia" w:ascii="宋体" w:hAnsi="宋体" w:eastAsia="宋体" w:cs="宋体"/>
                <w:sz w:val="24"/>
                <w:szCs w:val="24"/>
              </w:rPr>
              <w:t>3</w:t>
            </w:r>
          </w:p>
        </w:tc>
        <w:tc>
          <w:tcPr>
            <w:tcW w:w="2087" w:type="pct"/>
            <w:noWrap w:val="0"/>
            <w:vAlign w:val="center"/>
          </w:tcPr>
          <w:p w14:paraId="7E832DD6">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防火门监控主机</w:t>
            </w:r>
          </w:p>
        </w:tc>
        <w:tc>
          <w:tcPr>
            <w:tcW w:w="2020" w:type="pct"/>
            <w:noWrap w:val="0"/>
            <w:vAlign w:val="center"/>
          </w:tcPr>
          <w:p w14:paraId="30B18279">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蚌埠依爱EI-8300</w:t>
            </w:r>
          </w:p>
        </w:tc>
      </w:tr>
      <w:tr w14:paraId="167E2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92" w:type="pct"/>
            <w:noWrap w:val="0"/>
            <w:vAlign w:val="center"/>
          </w:tcPr>
          <w:p w14:paraId="76A0C1A2">
            <w:pPr>
              <w:jc w:val="center"/>
              <w:rPr>
                <w:rFonts w:hint="eastAsia" w:ascii="宋体" w:hAnsi="宋体" w:eastAsia="宋体" w:cs="宋体"/>
                <w:sz w:val="24"/>
                <w:szCs w:val="24"/>
              </w:rPr>
            </w:pPr>
            <w:r>
              <w:rPr>
                <w:rFonts w:hint="eastAsia" w:ascii="宋体" w:hAnsi="宋体" w:eastAsia="宋体" w:cs="宋体"/>
                <w:sz w:val="24"/>
                <w:szCs w:val="24"/>
              </w:rPr>
              <w:t>4</w:t>
            </w:r>
          </w:p>
        </w:tc>
        <w:tc>
          <w:tcPr>
            <w:tcW w:w="2087" w:type="pct"/>
            <w:noWrap w:val="0"/>
            <w:vAlign w:val="center"/>
          </w:tcPr>
          <w:p w14:paraId="20977409">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电气火灾主机</w:t>
            </w:r>
          </w:p>
        </w:tc>
        <w:tc>
          <w:tcPr>
            <w:tcW w:w="2020" w:type="pct"/>
            <w:noWrap w:val="0"/>
            <w:vAlign w:val="center"/>
          </w:tcPr>
          <w:p w14:paraId="5795900A">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上海新驰SSL-380</w:t>
            </w:r>
          </w:p>
        </w:tc>
      </w:tr>
      <w:tr w14:paraId="16C2B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92" w:type="pct"/>
            <w:noWrap w:val="0"/>
            <w:vAlign w:val="center"/>
          </w:tcPr>
          <w:p w14:paraId="7F105B3C">
            <w:pPr>
              <w:jc w:val="center"/>
              <w:rPr>
                <w:rFonts w:hint="eastAsia" w:ascii="宋体" w:hAnsi="宋体" w:eastAsia="宋体" w:cs="宋体"/>
                <w:sz w:val="24"/>
                <w:szCs w:val="24"/>
              </w:rPr>
            </w:pPr>
            <w:r>
              <w:rPr>
                <w:rFonts w:hint="eastAsia" w:ascii="宋体" w:hAnsi="宋体" w:eastAsia="宋体" w:cs="宋体"/>
                <w:sz w:val="24"/>
                <w:szCs w:val="24"/>
              </w:rPr>
              <w:t>5</w:t>
            </w:r>
          </w:p>
        </w:tc>
        <w:tc>
          <w:tcPr>
            <w:tcW w:w="2087" w:type="pct"/>
            <w:noWrap w:val="0"/>
            <w:vAlign w:val="center"/>
          </w:tcPr>
          <w:p w14:paraId="2FF9695B">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消防电源状态监控主机</w:t>
            </w:r>
          </w:p>
        </w:tc>
        <w:tc>
          <w:tcPr>
            <w:tcW w:w="2020" w:type="pct"/>
            <w:noWrap w:val="0"/>
            <w:vAlign w:val="center"/>
          </w:tcPr>
          <w:p w14:paraId="096DAB6A">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上海新驰SFPM/128</w:t>
            </w:r>
          </w:p>
        </w:tc>
      </w:tr>
      <w:tr w14:paraId="7860A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92" w:type="pct"/>
            <w:noWrap w:val="0"/>
            <w:vAlign w:val="center"/>
          </w:tcPr>
          <w:p w14:paraId="2A8F7E75">
            <w:pPr>
              <w:jc w:val="center"/>
              <w:rPr>
                <w:rFonts w:hint="eastAsia" w:ascii="宋体" w:hAnsi="宋体" w:eastAsia="宋体" w:cs="宋体"/>
                <w:sz w:val="24"/>
                <w:szCs w:val="24"/>
              </w:rPr>
            </w:pPr>
            <w:r>
              <w:rPr>
                <w:rFonts w:hint="eastAsia" w:ascii="宋体" w:hAnsi="宋体" w:eastAsia="宋体" w:cs="宋体"/>
                <w:sz w:val="24"/>
                <w:szCs w:val="24"/>
              </w:rPr>
              <w:t>6</w:t>
            </w:r>
          </w:p>
        </w:tc>
        <w:tc>
          <w:tcPr>
            <w:tcW w:w="2087" w:type="pct"/>
            <w:noWrap w:val="0"/>
            <w:vAlign w:val="center"/>
          </w:tcPr>
          <w:p w14:paraId="168CC637">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余压监控主机</w:t>
            </w:r>
          </w:p>
        </w:tc>
        <w:tc>
          <w:tcPr>
            <w:tcW w:w="2020" w:type="pct"/>
            <w:noWrap w:val="0"/>
            <w:vAlign w:val="center"/>
          </w:tcPr>
          <w:p w14:paraId="47ED5AE8">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蚌埠依爱EI-8360</w:t>
            </w:r>
          </w:p>
        </w:tc>
      </w:tr>
      <w:tr w14:paraId="354E4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92" w:type="pct"/>
            <w:noWrap w:val="0"/>
            <w:vAlign w:val="center"/>
          </w:tcPr>
          <w:p w14:paraId="60CA1560">
            <w:pPr>
              <w:jc w:val="center"/>
              <w:rPr>
                <w:rFonts w:hint="eastAsia" w:ascii="宋体" w:hAnsi="宋体" w:eastAsia="宋体" w:cs="宋体"/>
                <w:sz w:val="24"/>
                <w:szCs w:val="24"/>
              </w:rPr>
            </w:pPr>
            <w:r>
              <w:rPr>
                <w:rFonts w:hint="eastAsia" w:ascii="宋体" w:hAnsi="宋体" w:eastAsia="宋体" w:cs="宋体"/>
                <w:sz w:val="24"/>
                <w:szCs w:val="24"/>
              </w:rPr>
              <w:t>7</w:t>
            </w:r>
          </w:p>
        </w:tc>
        <w:tc>
          <w:tcPr>
            <w:tcW w:w="2087" w:type="pct"/>
            <w:noWrap w:val="0"/>
            <w:vAlign w:val="center"/>
          </w:tcPr>
          <w:p w14:paraId="0A8BC0D2">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可燃气体探测器主机</w:t>
            </w:r>
          </w:p>
        </w:tc>
        <w:tc>
          <w:tcPr>
            <w:tcW w:w="2020" w:type="pct"/>
            <w:noWrap w:val="0"/>
            <w:vAlign w:val="center"/>
          </w:tcPr>
          <w:p w14:paraId="75C82AE1">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蚌埠依爱EI-8800</w:t>
            </w:r>
          </w:p>
        </w:tc>
      </w:tr>
      <w:tr w14:paraId="137EB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92" w:type="pct"/>
            <w:noWrap w:val="0"/>
            <w:vAlign w:val="center"/>
          </w:tcPr>
          <w:p w14:paraId="1D3B60B2">
            <w:pPr>
              <w:jc w:val="center"/>
              <w:rPr>
                <w:rFonts w:hint="eastAsia" w:ascii="宋体" w:hAnsi="宋体" w:eastAsia="宋体" w:cs="宋体"/>
                <w:sz w:val="24"/>
                <w:szCs w:val="24"/>
              </w:rPr>
            </w:pPr>
            <w:r>
              <w:rPr>
                <w:rFonts w:hint="eastAsia" w:ascii="宋体" w:hAnsi="宋体" w:eastAsia="宋体" w:cs="宋体"/>
                <w:sz w:val="24"/>
                <w:szCs w:val="24"/>
              </w:rPr>
              <w:t>8</w:t>
            </w:r>
          </w:p>
        </w:tc>
        <w:tc>
          <w:tcPr>
            <w:tcW w:w="2087" w:type="pct"/>
            <w:noWrap w:val="0"/>
            <w:vAlign w:val="center"/>
          </w:tcPr>
          <w:p w14:paraId="47CCAE86">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CO空气质量监控主机</w:t>
            </w:r>
          </w:p>
        </w:tc>
        <w:tc>
          <w:tcPr>
            <w:tcW w:w="2020" w:type="pct"/>
            <w:noWrap w:val="0"/>
            <w:vAlign w:val="center"/>
          </w:tcPr>
          <w:p w14:paraId="7F10D28F">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广州泽保ZB420</w:t>
            </w:r>
          </w:p>
        </w:tc>
      </w:tr>
      <w:tr w14:paraId="102AB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92" w:type="pct"/>
            <w:noWrap w:val="0"/>
            <w:vAlign w:val="center"/>
          </w:tcPr>
          <w:p w14:paraId="0A16E82F">
            <w:pPr>
              <w:jc w:val="center"/>
              <w:rPr>
                <w:rFonts w:hint="eastAsia" w:ascii="宋体" w:hAnsi="宋体" w:eastAsia="宋体" w:cs="宋体"/>
                <w:sz w:val="24"/>
                <w:szCs w:val="24"/>
              </w:rPr>
            </w:pPr>
            <w:r>
              <w:rPr>
                <w:rFonts w:hint="eastAsia" w:ascii="宋体" w:hAnsi="宋体" w:eastAsia="宋体" w:cs="宋体"/>
                <w:sz w:val="24"/>
                <w:szCs w:val="24"/>
              </w:rPr>
              <w:t>9</w:t>
            </w:r>
          </w:p>
        </w:tc>
        <w:tc>
          <w:tcPr>
            <w:tcW w:w="2087" w:type="pct"/>
            <w:noWrap w:val="0"/>
            <w:vAlign w:val="center"/>
          </w:tcPr>
          <w:p w14:paraId="0EF3DCC3">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液位仪</w:t>
            </w:r>
          </w:p>
        </w:tc>
        <w:tc>
          <w:tcPr>
            <w:tcW w:w="2020" w:type="pct"/>
            <w:noWrap w:val="0"/>
            <w:vAlign w:val="center"/>
          </w:tcPr>
          <w:p w14:paraId="31323EE6">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HWP-T804-01-23-HL-P</w:t>
            </w:r>
          </w:p>
        </w:tc>
      </w:tr>
    </w:tbl>
    <w:p w14:paraId="3CE47F1D">
      <w:pPr>
        <w:spacing w:line="400" w:lineRule="exact"/>
        <w:rPr>
          <w:rFonts w:hint="eastAsia" w:ascii="宋体" w:hAnsi="宋体" w:eastAsia="宋体" w:cs="宋体"/>
          <w:bCs/>
          <w:sz w:val="24"/>
          <w:szCs w:val="24"/>
        </w:rPr>
      </w:pPr>
      <w:r>
        <w:rPr>
          <w:rFonts w:hint="eastAsia" w:ascii="宋体" w:hAnsi="宋体" w:eastAsia="宋体" w:cs="宋体"/>
          <w:bCs/>
          <w:sz w:val="24"/>
          <w:szCs w:val="24"/>
        </w:rPr>
        <w:t>注：以上数据以实际数量为准。</w:t>
      </w:r>
    </w:p>
    <w:p w14:paraId="5BAA386D">
      <w:pPr>
        <w:spacing w:line="400" w:lineRule="exact"/>
        <w:ind w:firstLine="402"/>
        <w:rPr>
          <w:rFonts w:hint="eastAsia" w:ascii="宋体" w:hAnsi="宋体" w:eastAsia="宋体" w:cs="宋体"/>
          <w:b/>
          <w:bCs/>
          <w:sz w:val="24"/>
          <w:szCs w:val="24"/>
        </w:rPr>
      </w:pPr>
      <w:r>
        <w:rPr>
          <w:rFonts w:hint="eastAsia" w:ascii="宋体" w:hAnsi="宋体" w:eastAsia="宋体" w:cs="宋体"/>
          <w:b/>
          <w:bCs/>
          <w:sz w:val="24"/>
          <w:szCs w:val="24"/>
        </w:rPr>
        <w:t>（2）消防设施、器材</w:t>
      </w:r>
    </w:p>
    <w:tbl>
      <w:tblPr>
        <w:tblStyle w:val="10"/>
        <w:tblW w:w="4808" w:type="pct"/>
        <w:jc w:val="center"/>
        <w:tblLayout w:type="autofit"/>
        <w:tblCellMar>
          <w:top w:w="0" w:type="dxa"/>
          <w:left w:w="108" w:type="dxa"/>
          <w:bottom w:w="0" w:type="dxa"/>
          <w:right w:w="108" w:type="dxa"/>
        </w:tblCellMar>
      </w:tblPr>
      <w:tblGrid>
        <w:gridCol w:w="730"/>
        <w:gridCol w:w="1941"/>
        <w:gridCol w:w="3405"/>
        <w:gridCol w:w="1421"/>
        <w:gridCol w:w="698"/>
      </w:tblGrid>
      <w:tr w14:paraId="4BE67D15">
        <w:tblPrEx>
          <w:tblCellMar>
            <w:top w:w="0" w:type="dxa"/>
            <w:left w:w="108" w:type="dxa"/>
            <w:bottom w:w="0" w:type="dxa"/>
            <w:right w:w="108" w:type="dxa"/>
          </w:tblCellMar>
        </w:tblPrEx>
        <w:trPr>
          <w:trHeight w:val="23"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14:paraId="1F0BA8E7">
            <w:pPr>
              <w:pStyle w:val="9"/>
              <w:tabs>
                <w:tab w:val="left" w:pos="2760"/>
                <w:tab w:val="left" w:pos="8640"/>
              </w:tabs>
              <w:ind w:left="0" w:leftChars="0" w:firstLine="0" w:firstLineChars="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合肥工业大学产学研综合楼消防器材</w:t>
            </w:r>
          </w:p>
        </w:tc>
      </w:tr>
      <w:tr w14:paraId="72C4FC50">
        <w:tblPrEx>
          <w:tblCellMar>
            <w:top w:w="0" w:type="dxa"/>
            <w:left w:w="108" w:type="dxa"/>
            <w:bottom w:w="0" w:type="dxa"/>
            <w:right w:w="108" w:type="dxa"/>
          </w:tblCellMar>
        </w:tblPrEx>
        <w:trPr>
          <w:trHeight w:val="23" w:hRule="atLeast"/>
          <w:jc w:val="center"/>
        </w:trPr>
        <w:tc>
          <w:tcPr>
            <w:tcW w:w="469" w:type="pct"/>
            <w:tcBorders>
              <w:top w:val="single" w:color="000000" w:sz="4" w:space="0"/>
              <w:left w:val="single" w:color="000000" w:sz="4" w:space="0"/>
              <w:bottom w:val="single" w:color="000000" w:sz="4" w:space="0"/>
              <w:right w:val="single" w:color="000000" w:sz="4" w:space="0"/>
            </w:tcBorders>
            <w:noWrap/>
            <w:vAlign w:val="center"/>
          </w:tcPr>
          <w:p w14:paraId="2404570A">
            <w:pPr>
              <w:pStyle w:val="9"/>
              <w:tabs>
                <w:tab w:val="left" w:pos="2760"/>
                <w:tab w:val="left" w:pos="8640"/>
              </w:tabs>
              <w:ind w:left="0" w:leftChars="0" w:firstLine="0" w:firstLineChars="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序号</w:t>
            </w:r>
          </w:p>
        </w:tc>
        <w:tc>
          <w:tcPr>
            <w:tcW w:w="1208" w:type="pct"/>
            <w:tcBorders>
              <w:top w:val="single" w:color="000000" w:sz="4" w:space="0"/>
              <w:left w:val="single" w:color="000000" w:sz="4" w:space="0"/>
              <w:bottom w:val="single" w:color="000000" w:sz="4" w:space="0"/>
              <w:right w:val="single" w:color="000000" w:sz="4" w:space="0"/>
            </w:tcBorders>
            <w:noWrap/>
            <w:vAlign w:val="center"/>
          </w:tcPr>
          <w:p w14:paraId="7F25446B">
            <w:pPr>
              <w:pStyle w:val="9"/>
              <w:tabs>
                <w:tab w:val="left" w:pos="2760"/>
                <w:tab w:val="left" w:pos="8640"/>
              </w:tabs>
              <w:ind w:left="0" w:leftChars="0" w:firstLine="0" w:firstLineChars="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名称</w:t>
            </w:r>
          </w:p>
        </w:tc>
        <w:tc>
          <w:tcPr>
            <w:tcW w:w="2101" w:type="pct"/>
            <w:tcBorders>
              <w:top w:val="single" w:color="000000" w:sz="4" w:space="0"/>
              <w:left w:val="single" w:color="000000" w:sz="4" w:space="0"/>
              <w:bottom w:val="single" w:color="000000" w:sz="4" w:space="0"/>
              <w:right w:val="single" w:color="000000" w:sz="4" w:space="0"/>
            </w:tcBorders>
            <w:noWrap/>
            <w:vAlign w:val="center"/>
          </w:tcPr>
          <w:p w14:paraId="21E86253">
            <w:pPr>
              <w:pStyle w:val="9"/>
              <w:tabs>
                <w:tab w:val="left" w:pos="2760"/>
                <w:tab w:val="left" w:pos="8640"/>
              </w:tabs>
              <w:ind w:left="0" w:leftChars="0" w:firstLine="0" w:firstLineChars="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品牌规格</w:t>
            </w:r>
          </w:p>
        </w:tc>
        <w:tc>
          <w:tcPr>
            <w:tcW w:w="783" w:type="pct"/>
            <w:tcBorders>
              <w:top w:val="single" w:color="000000" w:sz="4" w:space="0"/>
              <w:left w:val="single" w:color="000000" w:sz="4" w:space="0"/>
              <w:bottom w:val="single" w:color="000000" w:sz="4" w:space="0"/>
              <w:right w:val="single" w:color="000000" w:sz="4" w:space="0"/>
            </w:tcBorders>
            <w:noWrap/>
            <w:vAlign w:val="center"/>
          </w:tcPr>
          <w:p w14:paraId="482E0958">
            <w:pPr>
              <w:pStyle w:val="9"/>
              <w:tabs>
                <w:tab w:val="left" w:pos="2760"/>
                <w:tab w:val="left" w:pos="8640"/>
              </w:tabs>
              <w:ind w:left="0" w:leftChars="0" w:firstLine="0" w:firstLineChars="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数量（个）</w:t>
            </w:r>
          </w:p>
        </w:tc>
        <w:tc>
          <w:tcPr>
            <w:tcW w:w="437" w:type="pct"/>
            <w:tcBorders>
              <w:top w:val="single" w:color="000000" w:sz="4" w:space="0"/>
              <w:left w:val="single" w:color="000000" w:sz="4" w:space="0"/>
              <w:bottom w:val="single" w:color="000000" w:sz="4" w:space="0"/>
              <w:right w:val="single" w:color="000000" w:sz="4" w:space="0"/>
            </w:tcBorders>
            <w:noWrap/>
            <w:vAlign w:val="center"/>
          </w:tcPr>
          <w:p w14:paraId="6E168B56">
            <w:pPr>
              <w:pStyle w:val="9"/>
              <w:tabs>
                <w:tab w:val="left" w:pos="2760"/>
                <w:tab w:val="left" w:pos="8640"/>
              </w:tabs>
              <w:ind w:left="0" w:leftChars="0" w:firstLine="0" w:firstLineChars="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备注</w:t>
            </w:r>
          </w:p>
        </w:tc>
      </w:tr>
      <w:tr w14:paraId="55BDF629">
        <w:tblPrEx>
          <w:tblCellMar>
            <w:top w:w="0" w:type="dxa"/>
            <w:left w:w="108" w:type="dxa"/>
            <w:bottom w:w="0" w:type="dxa"/>
            <w:right w:w="108" w:type="dxa"/>
          </w:tblCellMar>
        </w:tblPrEx>
        <w:trPr>
          <w:trHeight w:val="23" w:hRule="atLeast"/>
          <w:jc w:val="center"/>
        </w:trPr>
        <w:tc>
          <w:tcPr>
            <w:tcW w:w="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B1774">
            <w:pPr>
              <w:pStyle w:val="9"/>
              <w:tabs>
                <w:tab w:val="left" w:pos="2760"/>
                <w:tab w:val="left" w:pos="8640"/>
              </w:tabs>
              <w:ind w:left="0" w:lef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1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BC490">
            <w:pPr>
              <w:pStyle w:val="9"/>
              <w:tabs>
                <w:tab w:val="left" w:pos="2760"/>
                <w:tab w:val="left" w:pos="8640"/>
              </w:tabs>
              <w:ind w:left="0" w:lef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疏散标志</w:t>
            </w:r>
          </w:p>
        </w:tc>
        <w:tc>
          <w:tcPr>
            <w:tcW w:w="21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F0C11C">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井伦：3W  LED应急90MIN</w:t>
            </w:r>
          </w:p>
        </w:tc>
        <w:tc>
          <w:tcPr>
            <w:tcW w:w="783" w:type="pct"/>
            <w:tcBorders>
              <w:top w:val="single" w:color="000000" w:sz="4" w:space="0"/>
              <w:left w:val="single" w:color="000000" w:sz="4" w:space="0"/>
              <w:bottom w:val="single" w:color="000000" w:sz="4" w:space="0"/>
              <w:right w:val="single" w:color="000000" w:sz="4" w:space="0"/>
            </w:tcBorders>
            <w:noWrap/>
            <w:vAlign w:val="center"/>
          </w:tcPr>
          <w:p w14:paraId="557D126F">
            <w:pPr>
              <w:pStyle w:val="9"/>
              <w:tabs>
                <w:tab w:val="left" w:pos="2760"/>
                <w:tab w:val="left" w:pos="8640"/>
              </w:tabs>
              <w:ind w:left="0" w:lef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413</w:t>
            </w:r>
          </w:p>
        </w:tc>
        <w:tc>
          <w:tcPr>
            <w:tcW w:w="437" w:type="pct"/>
            <w:tcBorders>
              <w:top w:val="single" w:color="000000" w:sz="4" w:space="0"/>
              <w:left w:val="single" w:color="000000" w:sz="4" w:space="0"/>
              <w:bottom w:val="single" w:color="000000" w:sz="4" w:space="0"/>
              <w:right w:val="single" w:color="000000" w:sz="4" w:space="0"/>
            </w:tcBorders>
            <w:noWrap/>
            <w:vAlign w:val="center"/>
          </w:tcPr>
          <w:p w14:paraId="6C5FB357">
            <w:pPr>
              <w:pStyle w:val="9"/>
              <w:tabs>
                <w:tab w:val="left" w:pos="2760"/>
                <w:tab w:val="left" w:pos="8640"/>
              </w:tabs>
              <w:jc w:val="center"/>
              <w:rPr>
                <w:rFonts w:hint="eastAsia" w:ascii="宋体" w:hAnsi="宋体" w:eastAsia="宋体" w:cs="宋体"/>
                <w:color w:val="auto"/>
                <w:sz w:val="24"/>
                <w:szCs w:val="24"/>
              </w:rPr>
            </w:pPr>
          </w:p>
        </w:tc>
      </w:tr>
      <w:tr w14:paraId="213F83C0">
        <w:tblPrEx>
          <w:tblCellMar>
            <w:top w:w="0" w:type="dxa"/>
            <w:left w:w="108" w:type="dxa"/>
            <w:bottom w:w="0" w:type="dxa"/>
            <w:right w:w="108" w:type="dxa"/>
          </w:tblCellMar>
        </w:tblPrEx>
        <w:trPr>
          <w:trHeight w:val="23" w:hRule="atLeast"/>
          <w:jc w:val="center"/>
        </w:trPr>
        <w:tc>
          <w:tcPr>
            <w:tcW w:w="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4FC97">
            <w:pPr>
              <w:pStyle w:val="9"/>
              <w:tabs>
                <w:tab w:val="left" w:pos="2760"/>
                <w:tab w:val="left" w:pos="8640"/>
              </w:tabs>
              <w:ind w:left="0" w:lef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1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4CC35">
            <w:pPr>
              <w:pStyle w:val="9"/>
              <w:tabs>
                <w:tab w:val="left" w:pos="2760"/>
                <w:tab w:val="left" w:pos="8640"/>
              </w:tabs>
              <w:ind w:left="0" w:lef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安全指示</w:t>
            </w:r>
          </w:p>
        </w:tc>
        <w:tc>
          <w:tcPr>
            <w:tcW w:w="21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151EC9">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井伦：3W  LED应急90MIN</w:t>
            </w:r>
          </w:p>
        </w:tc>
        <w:tc>
          <w:tcPr>
            <w:tcW w:w="783" w:type="pct"/>
            <w:tcBorders>
              <w:top w:val="single" w:color="000000" w:sz="4" w:space="0"/>
              <w:left w:val="single" w:color="000000" w:sz="4" w:space="0"/>
              <w:bottom w:val="single" w:color="000000" w:sz="4" w:space="0"/>
              <w:right w:val="single" w:color="000000" w:sz="4" w:space="0"/>
            </w:tcBorders>
            <w:noWrap/>
            <w:vAlign w:val="center"/>
          </w:tcPr>
          <w:p w14:paraId="71FE161E">
            <w:pPr>
              <w:pStyle w:val="9"/>
              <w:tabs>
                <w:tab w:val="left" w:pos="2760"/>
                <w:tab w:val="left" w:pos="8640"/>
              </w:tabs>
              <w:ind w:left="0" w:lef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225</w:t>
            </w:r>
          </w:p>
        </w:tc>
        <w:tc>
          <w:tcPr>
            <w:tcW w:w="437" w:type="pct"/>
            <w:tcBorders>
              <w:top w:val="single" w:color="000000" w:sz="4" w:space="0"/>
              <w:left w:val="single" w:color="000000" w:sz="4" w:space="0"/>
              <w:bottom w:val="single" w:color="000000" w:sz="4" w:space="0"/>
              <w:right w:val="single" w:color="000000" w:sz="4" w:space="0"/>
            </w:tcBorders>
            <w:noWrap/>
            <w:vAlign w:val="center"/>
          </w:tcPr>
          <w:p w14:paraId="2842E434">
            <w:pPr>
              <w:pStyle w:val="9"/>
              <w:tabs>
                <w:tab w:val="left" w:pos="2760"/>
                <w:tab w:val="left" w:pos="8640"/>
              </w:tabs>
              <w:jc w:val="center"/>
              <w:rPr>
                <w:rFonts w:hint="eastAsia" w:ascii="宋体" w:hAnsi="宋体" w:eastAsia="宋体" w:cs="宋体"/>
                <w:color w:val="auto"/>
                <w:sz w:val="24"/>
                <w:szCs w:val="24"/>
              </w:rPr>
            </w:pPr>
          </w:p>
        </w:tc>
      </w:tr>
      <w:tr w14:paraId="1BEF9536">
        <w:tblPrEx>
          <w:tblCellMar>
            <w:top w:w="0" w:type="dxa"/>
            <w:left w:w="108" w:type="dxa"/>
            <w:bottom w:w="0" w:type="dxa"/>
            <w:right w:w="108" w:type="dxa"/>
          </w:tblCellMar>
        </w:tblPrEx>
        <w:trPr>
          <w:trHeight w:val="23" w:hRule="atLeast"/>
          <w:jc w:val="center"/>
        </w:trPr>
        <w:tc>
          <w:tcPr>
            <w:tcW w:w="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4753B">
            <w:pPr>
              <w:pStyle w:val="9"/>
              <w:tabs>
                <w:tab w:val="left" w:pos="2760"/>
                <w:tab w:val="left" w:pos="8640"/>
              </w:tabs>
              <w:ind w:left="0" w:lef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1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10430">
            <w:pPr>
              <w:pStyle w:val="9"/>
              <w:tabs>
                <w:tab w:val="left" w:pos="2760"/>
                <w:tab w:val="left" w:pos="8640"/>
              </w:tabs>
              <w:ind w:left="0" w:lef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应急照明</w:t>
            </w:r>
          </w:p>
        </w:tc>
        <w:tc>
          <w:tcPr>
            <w:tcW w:w="21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5DA16F">
            <w:pPr>
              <w:widowControl/>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井伦：2*6W  LED应急90MIN</w:t>
            </w:r>
          </w:p>
        </w:tc>
        <w:tc>
          <w:tcPr>
            <w:tcW w:w="783" w:type="pct"/>
            <w:tcBorders>
              <w:top w:val="single" w:color="000000" w:sz="4" w:space="0"/>
              <w:left w:val="single" w:color="000000" w:sz="4" w:space="0"/>
              <w:bottom w:val="single" w:color="000000" w:sz="4" w:space="0"/>
              <w:right w:val="single" w:color="000000" w:sz="4" w:space="0"/>
            </w:tcBorders>
            <w:noWrap/>
            <w:vAlign w:val="center"/>
          </w:tcPr>
          <w:p w14:paraId="28F246C8">
            <w:pPr>
              <w:pStyle w:val="9"/>
              <w:tabs>
                <w:tab w:val="left" w:pos="2760"/>
                <w:tab w:val="left" w:pos="8640"/>
              </w:tabs>
              <w:ind w:left="0" w:lef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598</w:t>
            </w:r>
          </w:p>
        </w:tc>
        <w:tc>
          <w:tcPr>
            <w:tcW w:w="437" w:type="pct"/>
            <w:tcBorders>
              <w:top w:val="single" w:color="000000" w:sz="4" w:space="0"/>
              <w:left w:val="single" w:color="000000" w:sz="4" w:space="0"/>
              <w:bottom w:val="single" w:color="000000" w:sz="4" w:space="0"/>
              <w:right w:val="single" w:color="000000" w:sz="4" w:space="0"/>
            </w:tcBorders>
            <w:noWrap/>
            <w:vAlign w:val="center"/>
          </w:tcPr>
          <w:p w14:paraId="782116CD">
            <w:pPr>
              <w:pStyle w:val="9"/>
              <w:tabs>
                <w:tab w:val="left" w:pos="2760"/>
                <w:tab w:val="left" w:pos="8640"/>
              </w:tabs>
              <w:jc w:val="center"/>
              <w:rPr>
                <w:rFonts w:hint="eastAsia" w:ascii="宋体" w:hAnsi="宋体" w:eastAsia="宋体" w:cs="宋体"/>
                <w:color w:val="auto"/>
                <w:sz w:val="24"/>
                <w:szCs w:val="24"/>
              </w:rPr>
            </w:pPr>
          </w:p>
        </w:tc>
      </w:tr>
      <w:tr w14:paraId="3E565E82">
        <w:tblPrEx>
          <w:tblCellMar>
            <w:top w:w="0" w:type="dxa"/>
            <w:left w:w="108" w:type="dxa"/>
            <w:bottom w:w="0" w:type="dxa"/>
            <w:right w:w="108" w:type="dxa"/>
          </w:tblCellMar>
        </w:tblPrEx>
        <w:trPr>
          <w:trHeight w:val="23" w:hRule="atLeast"/>
          <w:jc w:val="center"/>
        </w:trPr>
        <w:tc>
          <w:tcPr>
            <w:tcW w:w="469" w:type="pct"/>
            <w:tcBorders>
              <w:top w:val="single" w:color="000000" w:sz="4" w:space="0"/>
              <w:left w:val="single" w:color="000000" w:sz="4" w:space="0"/>
              <w:bottom w:val="single" w:color="000000" w:sz="4" w:space="0"/>
              <w:right w:val="single" w:color="000000" w:sz="4" w:space="0"/>
            </w:tcBorders>
            <w:noWrap/>
            <w:vAlign w:val="center"/>
          </w:tcPr>
          <w:p w14:paraId="6513CA1C">
            <w:pPr>
              <w:pStyle w:val="9"/>
              <w:tabs>
                <w:tab w:val="left" w:pos="2760"/>
                <w:tab w:val="left" w:pos="8640"/>
              </w:tabs>
              <w:ind w:left="0" w:lef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1208" w:type="pct"/>
            <w:tcBorders>
              <w:top w:val="single" w:color="000000" w:sz="4" w:space="0"/>
              <w:left w:val="single" w:color="000000" w:sz="4" w:space="0"/>
              <w:bottom w:val="single" w:color="000000" w:sz="4" w:space="0"/>
              <w:right w:val="single" w:color="000000" w:sz="4" w:space="0"/>
            </w:tcBorders>
            <w:noWrap/>
            <w:vAlign w:val="center"/>
          </w:tcPr>
          <w:p w14:paraId="71E03CA5">
            <w:pPr>
              <w:pStyle w:val="9"/>
              <w:tabs>
                <w:tab w:val="left" w:pos="2760"/>
                <w:tab w:val="left" w:pos="8640"/>
              </w:tabs>
              <w:ind w:left="0" w:lef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试水消火栓</w:t>
            </w:r>
          </w:p>
        </w:tc>
        <w:tc>
          <w:tcPr>
            <w:tcW w:w="2101" w:type="pct"/>
            <w:tcBorders>
              <w:top w:val="single" w:color="000000" w:sz="4" w:space="0"/>
              <w:left w:val="single" w:color="000000" w:sz="4" w:space="0"/>
              <w:bottom w:val="single" w:color="000000" w:sz="4" w:space="0"/>
              <w:right w:val="single" w:color="000000" w:sz="4" w:space="0"/>
            </w:tcBorders>
            <w:noWrap/>
            <w:vAlign w:val="center"/>
          </w:tcPr>
          <w:p w14:paraId="7299B092">
            <w:pPr>
              <w:pStyle w:val="9"/>
              <w:tabs>
                <w:tab w:val="left" w:pos="2760"/>
                <w:tab w:val="left" w:pos="8640"/>
              </w:tabs>
              <w:ind w:left="0" w:lef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合肥向阳1800*700*200</w:t>
            </w:r>
          </w:p>
        </w:tc>
        <w:tc>
          <w:tcPr>
            <w:tcW w:w="783" w:type="pct"/>
            <w:tcBorders>
              <w:top w:val="single" w:color="000000" w:sz="4" w:space="0"/>
              <w:left w:val="single" w:color="000000" w:sz="4" w:space="0"/>
              <w:bottom w:val="single" w:color="000000" w:sz="4" w:space="0"/>
              <w:right w:val="single" w:color="000000" w:sz="4" w:space="0"/>
            </w:tcBorders>
            <w:noWrap/>
            <w:vAlign w:val="center"/>
          </w:tcPr>
          <w:p w14:paraId="0764B7E3">
            <w:pPr>
              <w:pStyle w:val="9"/>
              <w:tabs>
                <w:tab w:val="left" w:pos="2760"/>
                <w:tab w:val="left" w:pos="8640"/>
              </w:tabs>
              <w:ind w:left="0" w:lef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437" w:type="pct"/>
            <w:tcBorders>
              <w:top w:val="single" w:color="000000" w:sz="4" w:space="0"/>
              <w:left w:val="single" w:color="000000" w:sz="4" w:space="0"/>
              <w:bottom w:val="single" w:color="000000" w:sz="4" w:space="0"/>
              <w:right w:val="single" w:color="000000" w:sz="4" w:space="0"/>
            </w:tcBorders>
            <w:noWrap/>
            <w:vAlign w:val="center"/>
          </w:tcPr>
          <w:p w14:paraId="3AC34E89">
            <w:pPr>
              <w:pStyle w:val="9"/>
              <w:tabs>
                <w:tab w:val="left" w:pos="2760"/>
                <w:tab w:val="left" w:pos="8640"/>
              </w:tabs>
              <w:jc w:val="center"/>
              <w:rPr>
                <w:rFonts w:hint="eastAsia" w:ascii="宋体" w:hAnsi="宋体" w:eastAsia="宋体" w:cs="宋体"/>
                <w:color w:val="auto"/>
                <w:sz w:val="24"/>
                <w:szCs w:val="24"/>
              </w:rPr>
            </w:pPr>
          </w:p>
        </w:tc>
      </w:tr>
      <w:tr w14:paraId="7E07BE04">
        <w:tblPrEx>
          <w:tblCellMar>
            <w:top w:w="0" w:type="dxa"/>
            <w:left w:w="108" w:type="dxa"/>
            <w:bottom w:w="0" w:type="dxa"/>
            <w:right w:w="108" w:type="dxa"/>
          </w:tblCellMar>
        </w:tblPrEx>
        <w:trPr>
          <w:trHeight w:val="23" w:hRule="atLeast"/>
          <w:jc w:val="center"/>
        </w:trPr>
        <w:tc>
          <w:tcPr>
            <w:tcW w:w="469" w:type="pct"/>
            <w:tcBorders>
              <w:top w:val="single" w:color="000000" w:sz="4" w:space="0"/>
              <w:left w:val="single" w:color="000000" w:sz="4" w:space="0"/>
              <w:bottom w:val="single" w:color="000000" w:sz="4" w:space="0"/>
              <w:right w:val="single" w:color="000000" w:sz="4" w:space="0"/>
            </w:tcBorders>
            <w:noWrap/>
            <w:vAlign w:val="center"/>
          </w:tcPr>
          <w:p w14:paraId="177DE6F5">
            <w:pPr>
              <w:pStyle w:val="9"/>
              <w:tabs>
                <w:tab w:val="left" w:pos="2760"/>
                <w:tab w:val="left" w:pos="8640"/>
              </w:tabs>
              <w:ind w:left="0" w:lef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5</w:t>
            </w:r>
          </w:p>
        </w:tc>
        <w:tc>
          <w:tcPr>
            <w:tcW w:w="1208" w:type="pct"/>
            <w:tcBorders>
              <w:top w:val="single" w:color="000000" w:sz="4" w:space="0"/>
              <w:left w:val="single" w:color="000000" w:sz="4" w:space="0"/>
              <w:bottom w:val="single" w:color="000000" w:sz="4" w:space="0"/>
              <w:right w:val="single" w:color="000000" w:sz="4" w:space="0"/>
            </w:tcBorders>
            <w:noWrap/>
            <w:vAlign w:val="center"/>
          </w:tcPr>
          <w:p w14:paraId="0349908E">
            <w:pPr>
              <w:pStyle w:val="9"/>
              <w:tabs>
                <w:tab w:val="left" w:pos="2760"/>
                <w:tab w:val="left" w:pos="8640"/>
              </w:tabs>
              <w:ind w:left="0" w:lef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4KG干粉灭火器</w:t>
            </w:r>
          </w:p>
        </w:tc>
        <w:tc>
          <w:tcPr>
            <w:tcW w:w="2101" w:type="pct"/>
            <w:tcBorders>
              <w:top w:val="single" w:color="000000" w:sz="4" w:space="0"/>
              <w:left w:val="single" w:color="000000" w:sz="4" w:space="0"/>
              <w:bottom w:val="single" w:color="000000" w:sz="4" w:space="0"/>
              <w:right w:val="single" w:color="000000" w:sz="4" w:space="0"/>
            </w:tcBorders>
            <w:noWrap/>
            <w:vAlign w:val="center"/>
          </w:tcPr>
          <w:p w14:paraId="6ECB4B9C">
            <w:pPr>
              <w:pStyle w:val="9"/>
              <w:tabs>
                <w:tab w:val="left" w:pos="2760"/>
                <w:tab w:val="left" w:pos="8640"/>
              </w:tabs>
              <w:ind w:left="0" w:lef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MF/ABC4 (55B)</w:t>
            </w:r>
          </w:p>
        </w:tc>
        <w:tc>
          <w:tcPr>
            <w:tcW w:w="783" w:type="pct"/>
            <w:tcBorders>
              <w:top w:val="single" w:color="000000" w:sz="4" w:space="0"/>
              <w:left w:val="single" w:color="000000" w:sz="4" w:space="0"/>
              <w:bottom w:val="single" w:color="000000" w:sz="4" w:space="0"/>
              <w:right w:val="single" w:color="000000" w:sz="4" w:space="0"/>
            </w:tcBorders>
            <w:noWrap/>
            <w:vAlign w:val="center"/>
          </w:tcPr>
          <w:p w14:paraId="12089633">
            <w:pPr>
              <w:pStyle w:val="9"/>
              <w:tabs>
                <w:tab w:val="left" w:pos="2760"/>
                <w:tab w:val="left" w:pos="8640"/>
              </w:tabs>
              <w:ind w:left="0" w:lef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358</w:t>
            </w:r>
          </w:p>
        </w:tc>
        <w:tc>
          <w:tcPr>
            <w:tcW w:w="437" w:type="pct"/>
            <w:tcBorders>
              <w:top w:val="single" w:color="000000" w:sz="4" w:space="0"/>
              <w:left w:val="single" w:color="000000" w:sz="4" w:space="0"/>
              <w:bottom w:val="single" w:color="000000" w:sz="4" w:space="0"/>
              <w:right w:val="single" w:color="000000" w:sz="4" w:space="0"/>
            </w:tcBorders>
            <w:noWrap/>
            <w:vAlign w:val="center"/>
          </w:tcPr>
          <w:p w14:paraId="38C0025C">
            <w:pPr>
              <w:pStyle w:val="9"/>
              <w:tabs>
                <w:tab w:val="left" w:pos="2760"/>
                <w:tab w:val="left" w:pos="8640"/>
              </w:tabs>
              <w:jc w:val="center"/>
              <w:rPr>
                <w:rFonts w:hint="eastAsia" w:ascii="宋体" w:hAnsi="宋体" w:eastAsia="宋体" w:cs="宋体"/>
                <w:color w:val="auto"/>
                <w:sz w:val="24"/>
                <w:szCs w:val="24"/>
              </w:rPr>
            </w:pPr>
          </w:p>
        </w:tc>
      </w:tr>
      <w:tr w14:paraId="05894779">
        <w:tblPrEx>
          <w:tblCellMar>
            <w:top w:w="0" w:type="dxa"/>
            <w:left w:w="108" w:type="dxa"/>
            <w:bottom w:w="0" w:type="dxa"/>
            <w:right w:w="108" w:type="dxa"/>
          </w:tblCellMar>
        </w:tblPrEx>
        <w:trPr>
          <w:trHeight w:val="23" w:hRule="atLeast"/>
          <w:jc w:val="center"/>
        </w:trPr>
        <w:tc>
          <w:tcPr>
            <w:tcW w:w="469" w:type="pct"/>
            <w:tcBorders>
              <w:top w:val="single" w:color="000000" w:sz="4" w:space="0"/>
              <w:left w:val="single" w:color="000000" w:sz="4" w:space="0"/>
              <w:bottom w:val="single" w:color="000000" w:sz="4" w:space="0"/>
              <w:right w:val="single" w:color="000000" w:sz="4" w:space="0"/>
            </w:tcBorders>
            <w:noWrap/>
            <w:vAlign w:val="center"/>
          </w:tcPr>
          <w:p w14:paraId="554914AC">
            <w:pPr>
              <w:pStyle w:val="9"/>
              <w:tabs>
                <w:tab w:val="left" w:pos="2760"/>
                <w:tab w:val="left" w:pos="8640"/>
              </w:tabs>
              <w:ind w:left="0" w:lef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6</w:t>
            </w:r>
          </w:p>
        </w:tc>
        <w:tc>
          <w:tcPr>
            <w:tcW w:w="1208" w:type="pct"/>
            <w:tcBorders>
              <w:top w:val="single" w:color="000000" w:sz="4" w:space="0"/>
              <w:left w:val="single" w:color="000000" w:sz="4" w:space="0"/>
              <w:bottom w:val="single" w:color="000000" w:sz="4" w:space="0"/>
              <w:right w:val="single" w:color="000000" w:sz="4" w:space="0"/>
            </w:tcBorders>
            <w:noWrap/>
            <w:vAlign w:val="center"/>
          </w:tcPr>
          <w:p w14:paraId="106394FC">
            <w:pPr>
              <w:pStyle w:val="9"/>
              <w:tabs>
                <w:tab w:val="left" w:pos="2760"/>
                <w:tab w:val="left" w:pos="8640"/>
              </w:tabs>
              <w:ind w:left="0" w:lef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5KG干粉灭火器</w:t>
            </w:r>
          </w:p>
        </w:tc>
        <w:tc>
          <w:tcPr>
            <w:tcW w:w="2101" w:type="pct"/>
            <w:tcBorders>
              <w:top w:val="single" w:color="000000" w:sz="4" w:space="0"/>
              <w:left w:val="single" w:color="000000" w:sz="4" w:space="0"/>
              <w:bottom w:val="single" w:color="000000" w:sz="4" w:space="0"/>
              <w:right w:val="single" w:color="000000" w:sz="4" w:space="0"/>
            </w:tcBorders>
            <w:noWrap/>
            <w:vAlign w:val="center"/>
          </w:tcPr>
          <w:p w14:paraId="330CDEF0">
            <w:pPr>
              <w:pStyle w:val="9"/>
              <w:tabs>
                <w:tab w:val="left" w:pos="2760"/>
                <w:tab w:val="left" w:pos="8640"/>
              </w:tabs>
              <w:ind w:left="0" w:lef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MF/ABC5 (3A)</w:t>
            </w:r>
          </w:p>
        </w:tc>
        <w:tc>
          <w:tcPr>
            <w:tcW w:w="783" w:type="pct"/>
            <w:tcBorders>
              <w:top w:val="single" w:color="000000" w:sz="4" w:space="0"/>
              <w:left w:val="single" w:color="000000" w:sz="4" w:space="0"/>
              <w:bottom w:val="single" w:color="000000" w:sz="4" w:space="0"/>
              <w:right w:val="single" w:color="000000" w:sz="4" w:space="0"/>
            </w:tcBorders>
            <w:noWrap/>
            <w:vAlign w:val="center"/>
          </w:tcPr>
          <w:p w14:paraId="7C7D9225">
            <w:pPr>
              <w:pStyle w:val="9"/>
              <w:tabs>
                <w:tab w:val="left" w:pos="2760"/>
                <w:tab w:val="left" w:pos="8640"/>
              </w:tabs>
              <w:ind w:left="0" w:lef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340</w:t>
            </w:r>
          </w:p>
        </w:tc>
        <w:tc>
          <w:tcPr>
            <w:tcW w:w="437" w:type="pct"/>
            <w:tcBorders>
              <w:top w:val="single" w:color="000000" w:sz="4" w:space="0"/>
              <w:left w:val="single" w:color="000000" w:sz="4" w:space="0"/>
              <w:bottom w:val="single" w:color="000000" w:sz="4" w:space="0"/>
              <w:right w:val="single" w:color="000000" w:sz="4" w:space="0"/>
            </w:tcBorders>
            <w:noWrap/>
            <w:vAlign w:val="center"/>
          </w:tcPr>
          <w:p w14:paraId="791D2D21">
            <w:pPr>
              <w:pStyle w:val="9"/>
              <w:tabs>
                <w:tab w:val="left" w:pos="2760"/>
                <w:tab w:val="left" w:pos="8640"/>
              </w:tabs>
              <w:jc w:val="center"/>
              <w:rPr>
                <w:rFonts w:hint="eastAsia" w:ascii="宋体" w:hAnsi="宋体" w:eastAsia="宋体" w:cs="宋体"/>
                <w:color w:val="auto"/>
                <w:sz w:val="24"/>
                <w:szCs w:val="24"/>
              </w:rPr>
            </w:pPr>
          </w:p>
        </w:tc>
      </w:tr>
      <w:tr w14:paraId="0534167A">
        <w:tblPrEx>
          <w:tblCellMar>
            <w:top w:w="0" w:type="dxa"/>
            <w:left w:w="108" w:type="dxa"/>
            <w:bottom w:w="0" w:type="dxa"/>
            <w:right w:w="108" w:type="dxa"/>
          </w:tblCellMar>
        </w:tblPrEx>
        <w:trPr>
          <w:trHeight w:val="23" w:hRule="atLeast"/>
          <w:jc w:val="center"/>
        </w:trPr>
        <w:tc>
          <w:tcPr>
            <w:tcW w:w="469" w:type="pct"/>
            <w:tcBorders>
              <w:top w:val="single" w:color="000000" w:sz="4" w:space="0"/>
              <w:left w:val="single" w:color="000000" w:sz="4" w:space="0"/>
              <w:bottom w:val="single" w:color="000000" w:sz="4" w:space="0"/>
              <w:right w:val="single" w:color="000000" w:sz="4" w:space="0"/>
            </w:tcBorders>
            <w:noWrap/>
            <w:vAlign w:val="center"/>
          </w:tcPr>
          <w:p w14:paraId="4EF3DFA7">
            <w:pPr>
              <w:pStyle w:val="9"/>
              <w:tabs>
                <w:tab w:val="left" w:pos="2760"/>
                <w:tab w:val="left" w:pos="8640"/>
              </w:tabs>
              <w:ind w:left="0" w:lef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7</w:t>
            </w:r>
          </w:p>
        </w:tc>
        <w:tc>
          <w:tcPr>
            <w:tcW w:w="1208" w:type="pct"/>
            <w:tcBorders>
              <w:top w:val="single" w:color="000000" w:sz="4" w:space="0"/>
              <w:left w:val="single" w:color="000000" w:sz="4" w:space="0"/>
              <w:bottom w:val="single" w:color="000000" w:sz="4" w:space="0"/>
              <w:right w:val="single" w:color="000000" w:sz="4" w:space="0"/>
            </w:tcBorders>
            <w:noWrap/>
            <w:vAlign w:val="center"/>
          </w:tcPr>
          <w:p w14:paraId="0717A2B2">
            <w:pPr>
              <w:pStyle w:val="9"/>
              <w:tabs>
                <w:tab w:val="left" w:pos="2760"/>
                <w:tab w:val="left" w:pos="8640"/>
              </w:tabs>
              <w:ind w:left="0" w:lef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室内消火栓</w:t>
            </w:r>
          </w:p>
        </w:tc>
        <w:tc>
          <w:tcPr>
            <w:tcW w:w="2101" w:type="pct"/>
            <w:tcBorders>
              <w:top w:val="single" w:color="000000" w:sz="4" w:space="0"/>
              <w:left w:val="single" w:color="000000" w:sz="4" w:space="0"/>
              <w:bottom w:val="single" w:color="000000" w:sz="4" w:space="0"/>
              <w:right w:val="single" w:color="000000" w:sz="4" w:space="0"/>
            </w:tcBorders>
            <w:noWrap/>
            <w:vAlign w:val="center"/>
          </w:tcPr>
          <w:p w14:paraId="02521785">
            <w:pPr>
              <w:pStyle w:val="9"/>
              <w:tabs>
                <w:tab w:val="left" w:pos="2760"/>
                <w:tab w:val="left" w:pos="8640"/>
              </w:tabs>
              <w:ind w:left="0" w:lef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合肥向阳1800*700*200</w:t>
            </w:r>
          </w:p>
        </w:tc>
        <w:tc>
          <w:tcPr>
            <w:tcW w:w="783" w:type="pct"/>
            <w:tcBorders>
              <w:top w:val="single" w:color="000000" w:sz="4" w:space="0"/>
              <w:left w:val="single" w:color="000000" w:sz="4" w:space="0"/>
              <w:bottom w:val="single" w:color="000000" w:sz="4" w:space="0"/>
              <w:right w:val="single" w:color="000000" w:sz="4" w:space="0"/>
            </w:tcBorders>
            <w:noWrap/>
            <w:vAlign w:val="center"/>
          </w:tcPr>
          <w:p w14:paraId="5B006C7E">
            <w:pPr>
              <w:pStyle w:val="9"/>
              <w:tabs>
                <w:tab w:val="left" w:pos="2760"/>
                <w:tab w:val="left" w:pos="8640"/>
              </w:tabs>
              <w:ind w:left="0" w:lef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254</w:t>
            </w:r>
          </w:p>
        </w:tc>
        <w:tc>
          <w:tcPr>
            <w:tcW w:w="437" w:type="pct"/>
            <w:tcBorders>
              <w:top w:val="single" w:color="000000" w:sz="4" w:space="0"/>
              <w:left w:val="single" w:color="000000" w:sz="4" w:space="0"/>
              <w:bottom w:val="single" w:color="000000" w:sz="4" w:space="0"/>
              <w:right w:val="single" w:color="000000" w:sz="4" w:space="0"/>
            </w:tcBorders>
            <w:noWrap/>
            <w:vAlign w:val="center"/>
          </w:tcPr>
          <w:p w14:paraId="11099B0A">
            <w:pPr>
              <w:pStyle w:val="9"/>
              <w:tabs>
                <w:tab w:val="left" w:pos="2760"/>
                <w:tab w:val="left" w:pos="8640"/>
              </w:tabs>
              <w:jc w:val="center"/>
              <w:rPr>
                <w:rFonts w:hint="eastAsia" w:ascii="宋体" w:hAnsi="宋体" w:eastAsia="宋体" w:cs="宋体"/>
                <w:color w:val="auto"/>
                <w:sz w:val="24"/>
                <w:szCs w:val="24"/>
              </w:rPr>
            </w:pPr>
          </w:p>
        </w:tc>
      </w:tr>
    </w:tbl>
    <w:p w14:paraId="5E14C6D0">
      <w:pPr>
        <w:spacing w:line="400" w:lineRule="exact"/>
        <w:ind w:firstLine="480" w:firstLineChars="200"/>
        <w:rPr>
          <w:rFonts w:hint="eastAsia" w:ascii="宋体" w:hAnsi="宋体" w:eastAsia="宋体" w:cs="宋体"/>
          <w:sz w:val="24"/>
          <w:szCs w:val="24"/>
        </w:rPr>
      </w:pPr>
      <w:r>
        <w:rPr>
          <w:rFonts w:hint="eastAsia" w:ascii="宋体" w:hAnsi="宋体" w:eastAsia="宋体" w:cs="宋体"/>
          <w:bCs/>
          <w:sz w:val="24"/>
          <w:szCs w:val="24"/>
        </w:rPr>
        <w:t>注：以上数据以实际数量为准。</w:t>
      </w:r>
    </w:p>
    <w:tbl>
      <w:tblPr>
        <w:tblStyle w:val="10"/>
        <w:tblW w:w="4902" w:type="pct"/>
        <w:jc w:val="center"/>
        <w:tblLayout w:type="autofit"/>
        <w:tblCellMar>
          <w:top w:w="0" w:type="dxa"/>
          <w:left w:w="108" w:type="dxa"/>
          <w:bottom w:w="0" w:type="dxa"/>
          <w:right w:w="108" w:type="dxa"/>
        </w:tblCellMar>
      </w:tblPr>
      <w:tblGrid>
        <w:gridCol w:w="908"/>
        <w:gridCol w:w="2989"/>
        <w:gridCol w:w="3276"/>
        <w:gridCol w:w="1182"/>
      </w:tblGrid>
      <w:tr w14:paraId="19E24323">
        <w:tblPrEx>
          <w:tblCellMar>
            <w:top w:w="0" w:type="dxa"/>
            <w:left w:w="108" w:type="dxa"/>
            <w:bottom w:w="0" w:type="dxa"/>
            <w:right w:w="108" w:type="dxa"/>
          </w:tblCellMar>
        </w:tblPrEx>
        <w:trPr>
          <w:trHeight w:val="23" w:hRule="atLeast"/>
          <w:jc w:val="center"/>
        </w:trPr>
        <w:tc>
          <w:tcPr>
            <w:tcW w:w="5000" w:type="pct"/>
            <w:gridSpan w:val="4"/>
            <w:tcBorders>
              <w:top w:val="single" w:color="000000" w:sz="4" w:space="0"/>
              <w:left w:val="single" w:color="000000" w:sz="4" w:space="0"/>
              <w:bottom w:val="single" w:color="000000" w:sz="4" w:space="0"/>
              <w:right w:val="single" w:color="000000" w:sz="4" w:space="0"/>
            </w:tcBorders>
            <w:noWrap/>
            <w:vAlign w:val="center"/>
          </w:tcPr>
          <w:p w14:paraId="31EE60C1">
            <w:pPr>
              <w:widowControl/>
              <w:ind w:firstLine="422"/>
              <w:jc w:val="center"/>
              <w:textAlignment w:val="center"/>
              <w:rPr>
                <w:rFonts w:hint="eastAsia" w:ascii="宋体" w:hAnsi="宋体" w:eastAsia="宋体" w:cs="宋体"/>
                <w:b/>
                <w:bCs/>
                <w:sz w:val="24"/>
                <w:szCs w:val="24"/>
              </w:rPr>
            </w:pPr>
            <w:r>
              <w:rPr>
                <w:rFonts w:hint="eastAsia" w:ascii="宋体" w:hAnsi="宋体" w:eastAsia="宋体" w:cs="宋体"/>
                <w:b/>
                <w:bCs/>
                <w:sz w:val="24"/>
                <w:szCs w:val="24"/>
              </w:rPr>
              <w:t>合肥工业大学产学研综合楼室外消防设施布防表</w:t>
            </w:r>
          </w:p>
        </w:tc>
      </w:tr>
      <w:tr w14:paraId="1D6C9A2D">
        <w:tblPrEx>
          <w:tblCellMar>
            <w:top w:w="0" w:type="dxa"/>
            <w:left w:w="108" w:type="dxa"/>
            <w:bottom w:w="0" w:type="dxa"/>
            <w:right w:w="108" w:type="dxa"/>
          </w:tblCellMar>
        </w:tblPrEx>
        <w:trPr>
          <w:trHeight w:val="23" w:hRule="atLeast"/>
          <w:jc w:val="center"/>
        </w:trPr>
        <w:tc>
          <w:tcPr>
            <w:tcW w:w="554" w:type="pct"/>
            <w:tcBorders>
              <w:top w:val="single" w:color="000000" w:sz="4" w:space="0"/>
              <w:left w:val="single" w:color="000000" w:sz="4" w:space="0"/>
              <w:bottom w:val="single" w:color="000000" w:sz="4" w:space="0"/>
              <w:right w:val="single" w:color="000000" w:sz="4" w:space="0"/>
            </w:tcBorders>
            <w:noWrap/>
            <w:vAlign w:val="center"/>
          </w:tcPr>
          <w:p w14:paraId="4A2A7FEF">
            <w:pPr>
              <w:widowControl/>
              <w:ind w:firstLine="241" w:firstLineChars="100"/>
              <w:textAlignment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1844" w:type="pct"/>
            <w:tcBorders>
              <w:top w:val="single" w:color="000000" w:sz="4" w:space="0"/>
              <w:left w:val="single" w:color="000000" w:sz="4" w:space="0"/>
              <w:bottom w:val="single" w:color="000000" w:sz="4" w:space="0"/>
              <w:right w:val="single" w:color="000000" w:sz="4" w:space="0"/>
            </w:tcBorders>
            <w:noWrap/>
            <w:vAlign w:val="center"/>
          </w:tcPr>
          <w:p w14:paraId="42C15B2D">
            <w:pPr>
              <w:widowControl/>
              <w:ind w:firstLine="422"/>
              <w:jc w:val="center"/>
              <w:textAlignment w:val="center"/>
              <w:rPr>
                <w:rFonts w:hint="eastAsia" w:ascii="宋体" w:hAnsi="宋体" w:eastAsia="宋体" w:cs="宋体"/>
                <w:b/>
                <w:bCs/>
                <w:sz w:val="24"/>
                <w:szCs w:val="24"/>
              </w:rPr>
            </w:pPr>
            <w:r>
              <w:rPr>
                <w:rFonts w:hint="eastAsia" w:ascii="宋体" w:hAnsi="宋体" w:eastAsia="宋体" w:cs="宋体"/>
                <w:b/>
                <w:bCs/>
                <w:sz w:val="24"/>
                <w:szCs w:val="24"/>
              </w:rPr>
              <w:t>名称</w:t>
            </w:r>
          </w:p>
        </w:tc>
        <w:tc>
          <w:tcPr>
            <w:tcW w:w="1904" w:type="pct"/>
            <w:tcBorders>
              <w:top w:val="single" w:color="000000" w:sz="4" w:space="0"/>
              <w:left w:val="single" w:color="000000" w:sz="4" w:space="0"/>
              <w:bottom w:val="single" w:color="000000" w:sz="4" w:space="0"/>
              <w:right w:val="single" w:color="000000" w:sz="4" w:space="0"/>
            </w:tcBorders>
            <w:noWrap/>
            <w:vAlign w:val="center"/>
          </w:tcPr>
          <w:p w14:paraId="0FE56F85">
            <w:pPr>
              <w:widowControl/>
              <w:ind w:firstLine="1687" w:firstLineChars="700"/>
              <w:textAlignment w:val="center"/>
              <w:rPr>
                <w:rFonts w:hint="eastAsia" w:ascii="宋体" w:hAnsi="宋体" w:eastAsia="宋体" w:cs="宋体"/>
                <w:b/>
                <w:bCs/>
                <w:sz w:val="24"/>
                <w:szCs w:val="24"/>
              </w:rPr>
            </w:pPr>
            <w:r>
              <w:rPr>
                <w:rFonts w:hint="eastAsia" w:ascii="宋体" w:hAnsi="宋体" w:eastAsia="宋体" w:cs="宋体"/>
                <w:b/>
                <w:bCs/>
                <w:sz w:val="24"/>
                <w:szCs w:val="24"/>
              </w:rPr>
              <w:t>规格</w:t>
            </w:r>
          </w:p>
        </w:tc>
        <w:tc>
          <w:tcPr>
            <w:tcW w:w="697" w:type="pct"/>
            <w:tcBorders>
              <w:top w:val="single" w:color="000000" w:sz="4" w:space="0"/>
              <w:left w:val="single" w:color="000000" w:sz="4" w:space="0"/>
              <w:bottom w:val="single" w:color="000000" w:sz="4" w:space="0"/>
              <w:right w:val="single" w:color="000000" w:sz="4" w:space="0"/>
            </w:tcBorders>
            <w:noWrap/>
            <w:vAlign w:val="center"/>
          </w:tcPr>
          <w:p w14:paraId="4E587258">
            <w:pPr>
              <w:widowControl/>
              <w:textAlignment w:val="center"/>
              <w:rPr>
                <w:rFonts w:hint="eastAsia" w:ascii="宋体" w:hAnsi="宋体" w:eastAsia="宋体" w:cs="宋体"/>
                <w:b/>
                <w:bCs/>
                <w:sz w:val="24"/>
                <w:szCs w:val="24"/>
              </w:rPr>
            </w:pPr>
            <w:r>
              <w:rPr>
                <w:rFonts w:hint="eastAsia" w:ascii="宋体" w:hAnsi="宋体" w:eastAsia="宋体" w:cs="宋体"/>
                <w:b/>
                <w:bCs/>
                <w:sz w:val="24"/>
                <w:szCs w:val="24"/>
              </w:rPr>
              <w:t>数量(个)</w:t>
            </w:r>
          </w:p>
        </w:tc>
      </w:tr>
      <w:tr w14:paraId="539BC34A">
        <w:tblPrEx>
          <w:tblCellMar>
            <w:top w:w="0" w:type="dxa"/>
            <w:left w:w="108" w:type="dxa"/>
            <w:bottom w:w="0" w:type="dxa"/>
            <w:right w:w="108" w:type="dxa"/>
          </w:tblCellMar>
        </w:tblPrEx>
        <w:trPr>
          <w:trHeight w:val="23" w:hRule="atLeast"/>
          <w:jc w:val="center"/>
        </w:trPr>
        <w:tc>
          <w:tcPr>
            <w:tcW w:w="554" w:type="pct"/>
            <w:tcBorders>
              <w:top w:val="nil"/>
              <w:left w:val="single" w:color="000000" w:sz="4" w:space="0"/>
              <w:bottom w:val="single" w:color="000000" w:sz="4" w:space="0"/>
              <w:right w:val="single" w:color="000000" w:sz="4" w:space="0"/>
            </w:tcBorders>
            <w:noWrap/>
            <w:vAlign w:val="center"/>
          </w:tcPr>
          <w:p w14:paraId="0E54F60B">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1</w:t>
            </w:r>
          </w:p>
        </w:tc>
        <w:tc>
          <w:tcPr>
            <w:tcW w:w="1844" w:type="pct"/>
            <w:tcBorders>
              <w:top w:val="nil"/>
              <w:left w:val="single" w:color="000000" w:sz="4" w:space="0"/>
              <w:bottom w:val="single" w:color="000000" w:sz="4" w:space="0"/>
              <w:right w:val="single" w:color="000000" w:sz="4" w:space="0"/>
            </w:tcBorders>
            <w:noWrap/>
            <w:vAlign w:val="center"/>
          </w:tcPr>
          <w:p w14:paraId="7F26B3B8">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室外消火栓</w:t>
            </w:r>
          </w:p>
        </w:tc>
        <w:tc>
          <w:tcPr>
            <w:tcW w:w="1904" w:type="pct"/>
            <w:tcBorders>
              <w:top w:val="nil"/>
              <w:left w:val="single" w:color="000000" w:sz="4" w:space="0"/>
              <w:bottom w:val="single" w:color="000000" w:sz="4" w:space="0"/>
              <w:right w:val="single" w:color="000000" w:sz="4" w:space="0"/>
            </w:tcBorders>
            <w:noWrap/>
            <w:vAlign w:val="center"/>
          </w:tcPr>
          <w:p w14:paraId="624E12B6">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SS150/80-10型地上式消火栓</w:t>
            </w:r>
          </w:p>
        </w:tc>
        <w:tc>
          <w:tcPr>
            <w:tcW w:w="697" w:type="pct"/>
            <w:tcBorders>
              <w:top w:val="nil"/>
              <w:left w:val="single" w:color="000000" w:sz="4" w:space="0"/>
              <w:bottom w:val="single" w:color="000000" w:sz="4" w:space="0"/>
              <w:right w:val="single" w:color="000000" w:sz="4" w:space="0"/>
            </w:tcBorders>
            <w:noWrap/>
            <w:vAlign w:val="center"/>
          </w:tcPr>
          <w:p w14:paraId="208E38F3">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5</w:t>
            </w:r>
          </w:p>
        </w:tc>
      </w:tr>
      <w:tr w14:paraId="2E63B1B0">
        <w:tblPrEx>
          <w:tblCellMar>
            <w:top w:w="0" w:type="dxa"/>
            <w:left w:w="108" w:type="dxa"/>
            <w:bottom w:w="0" w:type="dxa"/>
            <w:right w:w="108" w:type="dxa"/>
          </w:tblCellMar>
        </w:tblPrEx>
        <w:trPr>
          <w:trHeight w:val="23" w:hRule="atLeast"/>
          <w:jc w:val="center"/>
        </w:trPr>
        <w:tc>
          <w:tcPr>
            <w:tcW w:w="554" w:type="pct"/>
            <w:tcBorders>
              <w:top w:val="single" w:color="000000" w:sz="4" w:space="0"/>
              <w:left w:val="single" w:color="000000" w:sz="4" w:space="0"/>
              <w:bottom w:val="single" w:color="000000" w:sz="4" w:space="0"/>
              <w:right w:val="single" w:color="000000" w:sz="4" w:space="0"/>
            </w:tcBorders>
            <w:noWrap/>
            <w:vAlign w:val="center"/>
          </w:tcPr>
          <w:p w14:paraId="281DA29D">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2</w:t>
            </w:r>
          </w:p>
        </w:tc>
        <w:tc>
          <w:tcPr>
            <w:tcW w:w="1844" w:type="pct"/>
            <w:tcBorders>
              <w:top w:val="single" w:color="000000" w:sz="4" w:space="0"/>
              <w:left w:val="single" w:color="000000" w:sz="4" w:space="0"/>
              <w:bottom w:val="single" w:color="000000" w:sz="4" w:space="0"/>
              <w:right w:val="single" w:color="000000" w:sz="4" w:space="0"/>
            </w:tcBorders>
            <w:noWrap/>
            <w:vAlign w:val="center"/>
          </w:tcPr>
          <w:p w14:paraId="6CCCA3EC">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室外消防水泵接合器</w:t>
            </w:r>
          </w:p>
        </w:tc>
        <w:tc>
          <w:tcPr>
            <w:tcW w:w="1904" w:type="pct"/>
            <w:tcBorders>
              <w:top w:val="single" w:color="000000" w:sz="4" w:space="0"/>
              <w:left w:val="single" w:color="000000" w:sz="4" w:space="0"/>
              <w:bottom w:val="single" w:color="000000" w:sz="4" w:space="0"/>
              <w:right w:val="single" w:color="000000" w:sz="4" w:space="0"/>
            </w:tcBorders>
            <w:noWrap/>
            <w:vAlign w:val="center"/>
          </w:tcPr>
          <w:p w14:paraId="0682D11D">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150直径管道</w:t>
            </w:r>
          </w:p>
        </w:tc>
        <w:tc>
          <w:tcPr>
            <w:tcW w:w="697" w:type="pct"/>
            <w:tcBorders>
              <w:top w:val="single" w:color="000000" w:sz="4" w:space="0"/>
              <w:left w:val="single" w:color="000000" w:sz="4" w:space="0"/>
              <w:bottom w:val="single" w:color="000000" w:sz="4" w:space="0"/>
              <w:right w:val="single" w:color="000000" w:sz="4" w:space="0"/>
            </w:tcBorders>
            <w:noWrap/>
            <w:vAlign w:val="center"/>
          </w:tcPr>
          <w:p w14:paraId="7D785AF3">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12</w:t>
            </w:r>
          </w:p>
        </w:tc>
      </w:tr>
    </w:tbl>
    <w:p w14:paraId="1615C047">
      <w:pPr>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bCs/>
          <w:sz w:val="24"/>
          <w:szCs w:val="24"/>
        </w:rPr>
        <w:t>注：以上数据以实际数量为准。</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7"/>
        <w:gridCol w:w="5013"/>
        <w:gridCol w:w="1168"/>
        <w:gridCol w:w="1174"/>
      </w:tblGrid>
      <w:tr w14:paraId="23C00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5000" w:type="pct"/>
            <w:gridSpan w:val="4"/>
            <w:noWrap/>
            <w:vAlign w:val="center"/>
          </w:tcPr>
          <w:p w14:paraId="7F82EC98">
            <w:pPr>
              <w:widowControl/>
              <w:ind w:firstLine="422"/>
              <w:jc w:val="center"/>
              <w:textAlignment w:val="center"/>
              <w:rPr>
                <w:rFonts w:hint="eastAsia" w:ascii="宋体" w:hAnsi="宋体" w:eastAsia="宋体" w:cs="宋体"/>
                <w:sz w:val="24"/>
                <w:szCs w:val="24"/>
              </w:rPr>
            </w:pPr>
            <w:r>
              <w:rPr>
                <w:rFonts w:hint="eastAsia" w:ascii="宋体" w:hAnsi="宋体" w:eastAsia="宋体" w:cs="宋体"/>
                <w:b/>
                <w:bCs/>
                <w:sz w:val="24"/>
                <w:szCs w:val="24"/>
              </w:rPr>
              <w:t>合肥工业大学产学研综合楼</w:t>
            </w:r>
            <w:r>
              <w:rPr>
                <w:rFonts w:hint="eastAsia" w:ascii="宋体" w:hAnsi="宋体" w:eastAsia="宋体" w:cs="宋体"/>
                <w:b/>
                <w:bCs/>
                <w:kern w:val="0"/>
                <w:sz w:val="24"/>
                <w:szCs w:val="24"/>
                <w:lang w:bidi="ar"/>
              </w:rPr>
              <w:t>消防设施统计表</w:t>
            </w:r>
          </w:p>
        </w:tc>
      </w:tr>
      <w:tr w14:paraId="64B22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685" w:type="pct"/>
            <w:noWrap/>
            <w:vAlign w:val="center"/>
          </w:tcPr>
          <w:p w14:paraId="52858F3A">
            <w:pPr>
              <w:widowControl/>
              <w:jc w:val="center"/>
              <w:textAlignment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2941" w:type="pct"/>
            <w:noWrap/>
            <w:vAlign w:val="center"/>
          </w:tcPr>
          <w:p w14:paraId="6D455263">
            <w:pPr>
              <w:widowControl/>
              <w:ind w:firstLine="422"/>
              <w:jc w:val="center"/>
              <w:textAlignment w:val="center"/>
              <w:rPr>
                <w:rFonts w:hint="eastAsia" w:ascii="宋体" w:hAnsi="宋体" w:eastAsia="宋体" w:cs="宋体"/>
                <w:b/>
                <w:bCs/>
                <w:sz w:val="24"/>
                <w:szCs w:val="24"/>
              </w:rPr>
            </w:pPr>
            <w:r>
              <w:rPr>
                <w:rFonts w:hint="eastAsia" w:ascii="宋体" w:hAnsi="宋体" w:eastAsia="宋体" w:cs="宋体"/>
                <w:b/>
                <w:bCs/>
                <w:kern w:val="0"/>
                <w:sz w:val="24"/>
                <w:szCs w:val="24"/>
                <w:lang w:bidi="ar"/>
              </w:rPr>
              <w:t>设施名称</w:t>
            </w:r>
          </w:p>
        </w:tc>
        <w:tc>
          <w:tcPr>
            <w:tcW w:w="685" w:type="pct"/>
            <w:noWrap/>
            <w:vAlign w:val="center"/>
          </w:tcPr>
          <w:p w14:paraId="75736A6F">
            <w:pPr>
              <w:widowControl/>
              <w:textAlignment w:val="center"/>
              <w:rPr>
                <w:rFonts w:hint="eastAsia" w:ascii="宋体" w:hAnsi="宋体" w:eastAsia="宋体" w:cs="宋体"/>
                <w:b/>
                <w:bCs/>
                <w:sz w:val="24"/>
                <w:szCs w:val="24"/>
              </w:rPr>
            </w:pPr>
            <w:r>
              <w:rPr>
                <w:rFonts w:hint="eastAsia" w:ascii="宋体" w:hAnsi="宋体" w:eastAsia="宋体" w:cs="宋体"/>
                <w:b/>
                <w:bCs/>
                <w:kern w:val="0"/>
                <w:sz w:val="24"/>
                <w:szCs w:val="24"/>
                <w:lang w:bidi="ar"/>
              </w:rPr>
              <w:t>单位</w:t>
            </w:r>
          </w:p>
        </w:tc>
        <w:tc>
          <w:tcPr>
            <w:tcW w:w="686" w:type="pct"/>
            <w:noWrap/>
            <w:vAlign w:val="center"/>
          </w:tcPr>
          <w:p w14:paraId="499060E1">
            <w:pPr>
              <w:widowControl/>
              <w:textAlignment w:val="center"/>
              <w:rPr>
                <w:rFonts w:hint="eastAsia" w:ascii="宋体" w:hAnsi="宋体" w:eastAsia="宋体" w:cs="宋体"/>
                <w:b/>
                <w:bCs/>
                <w:sz w:val="24"/>
                <w:szCs w:val="24"/>
              </w:rPr>
            </w:pPr>
            <w:r>
              <w:rPr>
                <w:rFonts w:hint="eastAsia" w:ascii="宋体" w:hAnsi="宋体" w:eastAsia="宋体" w:cs="宋体"/>
                <w:b/>
                <w:bCs/>
                <w:kern w:val="0"/>
                <w:sz w:val="24"/>
                <w:szCs w:val="24"/>
                <w:lang w:bidi="ar"/>
              </w:rPr>
              <w:t>数量</w:t>
            </w:r>
          </w:p>
        </w:tc>
      </w:tr>
      <w:tr w14:paraId="36249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685" w:type="pct"/>
            <w:noWrap/>
            <w:vAlign w:val="center"/>
          </w:tcPr>
          <w:p w14:paraId="58702383">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1</w:t>
            </w:r>
          </w:p>
        </w:tc>
        <w:tc>
          <w:tcPr>
            <w:tcW w:w="2941" w:type="pct"/>
            <w:noWrap/>
            <w:vAlign w:val="center"/>
          </w:tcPr>
          <w:p w14:paraId="0C51A30C">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自动报警控制器（联动型）</w:t>
            </w:r>
          </w:p>
        </w:tc>
        <w:tc>
          <w:tcPr>
            <w:tcW w:w="685" w:type="pct"/>
            <w:noWrap/>
            <w:vAlign w:val="center"/>
          </w:tcPr>
          <w:p w14:paraId="2C701BB3">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台</w:t>
            </w:r>
          </w:p>
        </w:tc>
        <w:tc>
          <w:tcPr>
            <w:tcW w:w="686" w:type="pct"/>
            <w:noWrap/>
            <w:vAlign w:val="center"/>
          </w:tcPr>
          <w:p w14:paraId="47402AB0">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2</w:t>
            </w:r>
          </w:p>
        </w:tc>
      </w:tr>
      <w:tr w14:paraId="4D9F1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685" w:type="pct"/>
            <w:noWrap/>
            <w:vAlign w:val="center"/>
          </w:tcPr>
          <w:p w14:paraId="6B762296">
            <w:pPr>
              <w:jc w:val="center"/>
              <w:rPr>
                <w:rFonts w:hint="eastAsia" w:ascii="宋体" w:hAnsi="宋体" w:eastAsia="宋体" w:cs="宋体"/>
                <w:sz w:val="24"/>
                <w:szCs w:val="24"/>
              </w:rPr>
            </w:pPr>
            <w:r>
              <w:rPr>
                <w:rFonts w:hint="eastAsia" w:ascii="宋体" w:hAnsi="宋体" w:eastAsia="宋体" w:cs="宋体"/>
                <w:sz w:val="24"/>
                <w:szCs w:val="24"/>
              </w:rPr>
              <w:t>2</w:t>
            </w:r>
          </w:p>
        </w:tc>
        <w:tc>
          <w:tcPr>
            <w:tcW w:w="2941" w:type="pct"/>
            <w:noWrap/>
            <w:vAlign w:val="center"/>
          </w:tcPr>
          <w:p w14:paraId="18CA92F6">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手动报警按钮</w:t>
            </w:r>
          </w:p>
        </w:tc>
        <w:tc>
          <w:tcPr>
            <w:tcW w:w="685" w:type="pct"/>
            <w:noWrap/>
            <w:vAlign w:val="center"/>
          </w:tcPr>
          <w:p w14:paraId="791985CA">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个</w:t>
            </w:r>
          </w:p>
        </w:tc>
        <w:tc>
          <w:tcPr>
            <w:tcW w:w="686" w:type="pct"/>
            <w:noWrap/>
            <w:vAlign w:val="center"/>
          </w:tcPr>
          <w:p w14:paraId="67F3A3A1">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183</w:t>
            </w:r>
          </w:p>
        </w:tc>
      </w:tr>
      <w:tr w14:paraId="29475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685" w:type="pct"/>
            <w:noWrap/>
            <w:vAlign w:val="center"/>
          </w:tcPr>
          <w:p w14:paraId="584149AA">
            <w:pPr>
              <w:jc w:val="center"/>
              <w:rPr>
                <w:rFonts w:hint="eastAsia" w:ascii="宋体" w:hAnsi="宋体" w:eastAsia="宋体" w:cs="宋体"/>
                <w:sz w:val="24"/>
                <w:szCs w:val="24"/>
              </w:rPr>
            </w:pPr>
            <w:r>
              <w:rPr>
                <w:rFonts w:hint="eastAsia" w:ascii="宋体" w:hAnsi="宋体" w:eastAsia="宋体" w:cs="宋体"/>
                <w:sz w:val="24"/>
                <w:szCs w:val="24"/>
              </w:rPr>
              <w:t>3</w:t>
            </w:r>
          </w:p>
        </w:tc>
        <w:tc>
          <w:tcPr>
            <w:tcW w:w="2941" w:type="pct"/>
            <w:noWrap/>
            <w:vAlign w:val="center"/>
          </w:tcPr>
          <w:p w14:paraId="3A735559">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火灾显示盘</w:t>
            </w:r>
          </w:p>
        </w:tc>
        <w:tc>
          <w:tcPr>
            <w:tcW w:w="685" w:type="pct"/>
            <w:noWrap/>
            <w:vAlign w:val="center"/>
          </w:tcPr>
          <w:p w14:paraId="598C6FDF">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台</w:t>
            </w:r>
          </w:p>
        </w:tc>
        <w:tc>
          <w:tcPr>
            <w:tcW w:w="686" w:type="pct"/>
            <w:noWrap/>
            <w:vAlign w:val="center"/>
          </w:tcPr>
          <w:p w14:paraId="1B5CB255">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25</w:t>
            </w:r>
          </w:p>
        </w:tc>
      </w:tr>
      <w:tr w14:paraId="31617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685" w:type="pct"/>
            <w:noWrap/>
            <w:vAlign w:val="center"/>
          </w:tcPr>
          <w:p w14:paraId="5D5A6569">
            <w:pPr>
              <w:jc w:val="center"/>
              <w:rPr>
                <w:rFonts w:hint="eastAsia" w:ascii="宋体" w:hAnsi="宋体" w:eastAsia="宋体" w:cs="宋体"/>
                <w:sz w:val="24"/>
                <w:szCs w:val="24"/>
              </w:rPr>
            </w:pPr>
            <w:r>
              <w:rPr>
                <w:rFonts w:hint="eastAsia" w:ascii="宋体" w:hAnsi="宋体" w:eastAsia="宋体" w:cs="宋体"/>
                <w:sz w:val="24"/>
                <w:szCs w:val="24"/>
              </w:rPr>
              <w:t>4</w:t>
            </w:r>
          </w:p>
        </w:tc>
        <w:tc>
          <w:tcPr>
            <w:tcW w:w="2941" w:type="pct"/>
            <w:noWrap/>
            <w:vAlign w:val="center"/>
          </w:tcPr>
          <w:p w14:paraId="4F38ACAA">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点型感烟探测器</w:t>
            </w:r>
          </w:p>
        </w:tc>
        <w:tc>
          <w:tcPr>
            <w:tcW w:w="685" w:type="pct"/>
            <w:noWrap/>
            <w:vAlign w:val="center"/>
          </w:tcPr>
          <w:p w14:paraId="039CD73C">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套</w:t>
            </w:r>
          </w:p>
        </w:tc>
        <w:tc>
          <w:tcPr>
            <w:tcW w:w="686" w:type="pct"/>
            <w:noWrap/>
            <w:vAlign w:val="center"/>
          </w:tcPr>
          <w:p w14:paraId="7753F3F0">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2215</w:t>
            </w:r>
          </w:p>
        </w:tc>
      </w:tr>
      <w:tr w14:paraId="7A5E8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685" w:type="pct"/>
            <w:noWrap/>
            <w:vAlign w:val="center"/>
          </w:tcPr>
          <w:p w14:paraId="74FE2B53">
            <w:pPr>
              <w:jc w:val="center"/>
              <w:rPr>
                <w:rFonts w:hint="eastAsia" w:ascii="宋体" w:hAnsi="宋体" w:eastAsia="宋体" w:cs="宋体"/>
                <w:sz w:val="24"/>
                <w:szCs w:val="24"/>
              </w:rPr>
            </w:pPr>
            <w:r>
              <w:rPr>
                <w:rFonts w:hint="eastAsia" w:ascii="宋体" w:hAnsi="宋体" w:eastAsia="宋体" w:cs="宋体"/>
                <w:sz w:val="24"/>
                <w:szCs w:val="24"/>
              </w:rPr>
              <w:t>5</w:t>
            </w:r>
          </w:p>
        </w:tc>
        <w:tc>
          <w:tcPr>
            <w:tcW w:w="2941" w:type="pct"/>
            <w:noWrap/>
            <w:vAlign w:val="center"/>
          </w:tcPr>
          <w:p w14:paraId="3452682E">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点型感温探测器</w:t>
            </w:r>
          </w:p>
        </w:tc>
        <w:tc>
          <w:tcPr>
            <w:tcW w:w="685" w:type="pct"/>
            <w:noWrap/>
            <w:vAlign w:val="center"/>
          </w:tcPr>
          <w:p w14:paraId="16726E18">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套</w:t>
            </w:r>
          </w:p>
        </w:tc>
        <w:tc>
          <w:tcPr>
            <w:tcW w:w="686" w:type="pct"/>
            <w:noWrap/>
            <w:vAlign w:val="center"/>
          </w:tcPr>
          <w:p w14:paraId="4B476E21">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130</w:t>
            </w:r>
          </w:p>
        </w:tc>
      </w:tr>
      <w:tr w14:paraId="760E0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685" w:type="pct"/>
            <w:noWrap/>
            <w:vAlign w:val="center"/>
          </w:tcPr>
          <w:p w14:paraId="0093EAAD">
            <w:pPr>
              <w:jc w:val="center"/>
              <w:rPr>
                <w:rFonts w:hint="eastAsia" w:ascii="宋体" w:hAnsi="宋体" w:eastAsia="宋体" w:cs="宋体"/>
                <w:sz w:val="24"/>
                <w:szCs w:val="24"/>
              </w:rPr>
            </w:pPr>
            <w:r>
              <w:rPr>
                <w:rFonts w:hint="eastAsia" w:ascii="宋体" w:hAnsi="宋体" w:eastAsia="宋体" w:cs="宋体"/>
                <w:sz w:val="24"/>
                <w:szCs w:val="24"/>
              </w:rPr>
              <w:t>6</w:t>
            </w:r>
          </w:p>
        </w:tc>
        <w:tc>
          <w:tcPr>
            <w:tcW w:w="2941" w:type="pct"/>
            <w:noWrap/>
            <w:vAlign w:val="center"/>
          </w:tcPr>
          <w:p w14:paraId="1686A566">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消防泵</w:t>
            </w:r>
          </w:p>
        </w:tc>
        <w:tc>
          <w:tcPr>
            <w:tcW w:w="685" w:type="pct"/>
            <w:noWrap/>
            <w:vAlign w:val="center"/>
          </w:tcPr>
          <w:p w14:paraId="0AAA62A2">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台</w:t>
            </w:r>
          </w:p>
        </w:tc>
        <w:tc>
          <w:tcPr>
            <w:tcW w:w="686" w:type="pct"/>
            <w:noWrap/>
            <w:vAlign w:val="center"/>
          </w:tcPr>
          <w:p w14:paraId="2029DC56">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4</w:t>
            </w:r>
          </w:p>
        </w:tc>
      </w:tr>
      <w:tr w14:paraId="6BD01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685" w:type="pct"/>
            <w:noWrap/>
            <w:vAlign w:val="center"/>
          </w:tcPr>
          <w:p w14:paraId="61453074">
            <w:pPr>
              <w:jc w:val="center"/>
              <w:rPr>
                <w:rFonts w:hint="eastAsia" w:ascii="宋体" w:hAnsi="宋体" w:eastAsia="宋体" w:cs="宋体"/>
                <w:sz w:val="24"/>
                <w:szCs w:val="24"/>
              </w:rPr>
            </w:pPr>
            <w:r>
              <w:rPr>
                <w:rFonts w:hint="eastAsia" w:ascii="宋体" w:hAnsi="宋体" w:eastAsia="宋体" w:cs="宋体"/>
                <w:sz w:val="24"/>
                <w:szCs w:val="24"/>
              </w:rPr>
              <w:t>7</w:t>
            </w:r>
          </w:p>
        </w:tc>
        <w:tc>
          <w:tcPr>
            <w:tcW w:w="2941" w:type="pct"/>
            <w:noWrap/>
            <w:vAlign w:val="center"/>
          </w:tcPr>
          <w:p w14:paraId="0C78B386">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室内消火栓</w:t>
            </w:r>
          </w:p>
        </w:tc>
        <w:tc>
          <w:tcPr>
            <w:tcW w:w="685" w:type="pct"/>
            <w:noWrap/>
            <w:vAlign w:val="center"/>
          </w:tcPr>
          <w:p w14:paraId="7060C264">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套</w:t>
            </w:r>
          </w:p>
        </w:tc>
        <w:tc>
          <w:tcPr>
            <w:tcW w:w="686" w:type="pct"/>
            <w:noWrap/>
            <w:vAlign w:val="center"/>
          </w:tcPr>
          <w:p w14:paraId="06414958">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255</w:t>
            </w:r>
          </w:p>
        </w:tc>
      </w:tr>
      <w:tr w14:paraId="018F3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685" w:type="pct"/>
            <w:noWrap/>
            <w:vAlign w:val="center"/>
          </w:tcPr>
          <w:p w14:paraId="69FC4ED1">
            <w:pPr>
              <w:jc w:val="center"/>
              <w:rPr>
                <w:rFonts w:hint="eastAsia" w:ascii="宋体" w:hAnsi="宋体" w:eastAsia="宋体" w:cs="宋体"/>
                <w:sz w:val="24"/>
                <w:szCs w:val="24"/>
              </w:rPr>
            </w:pPr>
            <w:r>
              <w:rPr>
                <w:rFonts w:hint="eastAsia" w:ascii="宋体" w:hAnsi="宋体" w:eastAsia="宋体" w:cs="宋体"/>
                <w:sz w:val="24"/>
                <w:szCs w:val="24"/>
              </w:rPr>
              <w:t>8</w:t>
            </w:r>
          </w:p>
        </w:tc>
        <w:tc>
          <w:tcPr>
            <w:tcW w:w="2941" w:type="pct"/>
            <w:noWrap/>
            <w:vAlign w:val="center"/>
          </w:tcPr>
          <w:p w14:paraId="38124156">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稳压泵</w:t>
            </w:r>
          </w:p>
        </w:tc>
        <w:tc>
          <w:tcPr>
            <w:tcW w:w="685" w:type="pct"/>
            <w:noWrap/>
            <w:vAlign w:val="center"/>
          </w:tcPr>
          <w:p w14:paraId="61F89E3A">
            <w:pPr>
              <w:widowControl/>
              <w:jc w:val="center"/>
              <w:textAlignment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台</w:t>
            </w:r>
          </w:p>
        </w:tc>
        <w:tc>
          <w:tcPr>
            <w:tcW w:w="686" w:type="pct"/>
            <w:noWrap/>
            <w:vAlign w:val="center"/>
          </w:tcPr>
          <w:p w14:paraId="4955B86E">
            <w:pPr>
              <w:widowControl/>
              <w:jc w:val="center"/>
              <w:textAlignment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2</w:t>
            </w:r>
          </w:p>
        </w:tc>
      </w:tr>
      <w:tr w14:paraId="01A82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685" w:type="pct"/>
            <w:noWrap/>
            <w:vAlign w:val="center"/>
          </w:tcPr>
          <w:p w14:paraId="68F60E8E">
            <w:pPr>
              <w:jc w:val="center"/>
              <w:rPr>
                <w:rFonts w:hint="eastAsia" w:ascii="宋体" w:hAnsi="宋体" w:eastAsia="宋体" w:cs="宋体"/>
                <w:sz w:val="24"/>
                <w:szCs w:val="24"/>
              </w:rPr>
            </w:pPr>
            <w:r>
              <w:rPr>
                <w:rFonts w:hint="eastAsia" w:ascii="宋体" w:hAnsi="宋体" w:eastAsia="宋体" w:cs="宋体"/>
                <w:sz w:val="24"/>
                <w:szCs w:val="24"/>
              </w:rPr>
              <w:t>9</w:t>
            </w:r>
          </w:p>
        </w:tc>
        <w:tc>
          <w:tcPr>
            <w:tcW w:w="2941" w:type="pct"/>
            <w:noWrap/>
            <w:vAlign w:val="center"/>
          </w:tcPr>
          <w:p w14:paraId="5AE53467">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高位水箱</w:t>
            </w:r>
          </w:p>
        </w:tc>
        <w:tc>
          <w:tcPr>
            <w:tcW w:w="685" w:type="pct"/>
            <w:noWrap/>
            <w:vAlign w:val="center"/>
          </w:tcPr>
          <w:p w14:paraId="298565F5">
            <w:pPr>
              <w:widowControl/>
              <w:jc w:val="center"/>
              <w:textAlignment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吨</w:t>
            </w:r>
          </w:p>
        </w:tc>
        <w:tc>
          <w:tcPr>
            <w:tcW w:w="686" w:type="pct"/>
            <w:noWrap/>
            <w:vAlign w:val="center"/>
          </w:tcPr>
          <w:p w14:paraId="46EA46BA">
            <w:pPr>
              <w:widowControl/>
              <w:jc w:val="center"/>
              <w:textAlignment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1</w:t>
            </w:r>
          </w:p>
        </w:tc>
      </w:tr>
      <w:tr w14:paraId="6AA28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685" w:type="pct"/>
            <w:noWrap/>
            <w:vAlign w:val="center"/>
          </w:tcPr>
          <w:p w14:paraId="677519B4">
            <w:pPr>
              <w:jc w:val="center"/>
              <w:rPr>
                <w:rFonts w:hint="eastAsia" w:ascii="宋体" w:hAnsi="宋体" w:eastAsia="宋体" w:cs="宋体"/>
                <w:sz w:val="24"/>
                <w:szCs w:val="24"/>
              </w:rPr>
            </w:pPr>
            <w:r>
              <w:rPr>
                <w:rFonts w:hint="eastAsia" w:ascii="宋体" w:hAnsi="宋体" w:eastAsia="宋体" w:cs="宋体"/>
                <w:sz w:val="24"/>
                <w:szCs w:val="24"/>
              </w:rPr>
              <w:t>10</w:t>
            </w:r>
          </w:p>
        </w:tc>
        <w:tc>
          <w:tcPr>
            <w:tcW w:w="2941" w:type="pct"/>
            <w:noWrap/>
            <w:vAlign w:val="center"/>
          </w:tcPr>
          <w:p w14:paraId="1695585B">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消火栓按钮</w:t>
            </w:r>
          </w:p>
        </w:tc>
        <w:tc>
          <w:tcPr>
            <w:tcW w:w="685" w:type="pct"/>
            <w:noWrap/>
            <w:vAlign w:val="center"/>
          </w:tcPr>
          <w:p w14:paraId="1B7FDB2F">
            <w:pPr>
              <w:widowControl/>
              <w:jc w:val="center"/>
              <w:textAlignment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个</w:t>
            </w:r>
          </w:p>
        </w:tc>
        <w:tc>
          <w:tcPr>
            <w:tcW w:w="686" w:type="pct"/>
            <w:noWrap/>
            <w:vAlign w:val="center"/>
          </w:tcPr>
          <w:p w14:paraId="47BB5F22">
            <w:pPr>
              <w:widowControl/>
              <w:jc w:val="center"/>
              <w:textAlignment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255</w:t>
            </w:r>
          </w:p>
        </w:tc>
      </w:tr>
      <w:tr w14:paraId="5D55B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685" w:type="pct"/>
            <w:noWrap/>
            <w:vAlign w:val="center"/>
          </w:tcPr>
          <w:p w14:paraId="09D8E6D3">
            <w:pPr>
              <w:jc w:val="center"/>
              <w:rPr>
                <w:rFonts w:hint="eastAsia" w:ascii="宋体" w:hAnsi="宋体" w:eastAsia="宋体" w:cs="宋体"/>
                <w:sz w:val="24"/>
                <w:szCs w:val="24"/>
              </w:rPr>
            </w:pPr>
            <w:r>
              <w:rPr>
                <w:rFonts w:hint="eastAsia" w:ascii="宋体" w:hAnsi="宋体" w:eastAsia="宋体" w:cs="宋体"/>
                <w:sz w:val="24"/>
                <w:szCs w:val="24"/>
              </w:rPr>
              <w:t>11</w:t>
            </w:r>
          </w:p>
        </w:tc>
        <w:tc>
          <w:tcPr>
            <w:tcW w:w="2941" w:type="pct"/>
            <w:noWrap/>
            <w:vAlign w:val="center"/>
          </w:tcPr>
          <w:p w14:paraId="41C27671">
            <w:pPr>
              <w:widowControl/>
              <w:jc w:val="center"/>
              <w:textAlignment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声光报警</w:t>
            </w:r>
          </w:p>
        </w:tc>
        <w:tc>
          <w:tcPr>
            <w:tcW w:w="685" w:type="pct"/>
            <w:noWrap/>
            <w:vAlign w:val="center"/>
          </w:tcPr>
          <w:p w14:paraId="4BDCD3A5">
            <w:pPr>
              <w:widowControl/>
              <w:jc w:val="center"/>
              <w:textAlignment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套</w:t>
            </w:r>
          </w:p>
        </w:tc>
        <w:tc>
          <w:tcPr>
            <w:tcW w:w="686" w:type="pct"/>
            <w:noWrap/>
            <w:vAlign w:val="center"/>
          </w:tcPr>
          <w:p w14:paraId="633DF316">
            <w:pPr>
              <w:widowControl/>
              <w:jc w:val="center"/>
              <w:textAlignment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187</w:t>
            </w:r>
          </w:p>
        </w:tc>
      </w:tr>
      <w:tr w14:paraId="57F5E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685" w:type="pct"/>
            <w:noWrap/>
            <w:vAlign w:val="center"/>
          </w:tcPr>
          <w:p w14:paraId="3B48A277">
            <w:pPr>
              <w:jc w:val="center"/>
              <w:rPr>
                <w:rFonts w:hint="eastAsia" w:ascii="宋体" w:hAnsi="宋体" w:eastAsia="宋体" w:cs="宋体"/>
                <w:sz w:val="24"/>
                <w:szCs w:val="24"/>
              </w:rPr>
            </w:pPr>
            <w:r>
              <w:rPr>
                <w:rFonts w:hint="eastAsia" w:ascii="宋体" w:hAnsi="宋体" w:eastAsia="宋体" w:cs="宋体"/>
                <w:sz w:val="24"/>
                <w:szCs w:val="24"/>
              </w:rPr>
              <w:t>12</w:t>
            </w:r>
          </w:p>
        </w:tc>
        <w:tc>
          <w:tcPr>
            <w:tcW w:w="2941" w:type="pct"/>
            <w:noWrap/>
            <w:vAlign w:val="center"/>
          </w:tcPr>
          <w:p w14:paraId="5C68BCEA">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消火栓稳压泵</w:t>
            </w:r>
          </w:p>
        </w:tc>
        <w:tc>
          <w:tcPr>
            <w:tcW w:w="685" w:type="pct"/>
            <w:noWrap/>
            <w:vAlign w:val="center"/>
          </w:tcPr>
          <w:p w14:paraId="3307CE60">
            <w:pPr>
              <w:widowControl/>
              <w:jc w:val="center"/>
              <w:textAlignment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台</w:t>
            </w:r>
          </w:p>
        </w:tc>
        <w:tc>
          <w:tcPr>
            <w:tcW w:w="686" w:type="pct"/>
            <w:noWrap/>
            <w:vAlign w:val="center"/>
          </w:tcPr>
          <w:p w14:paraId="478B77E7">
            <w:pPr>
              <w:widowControl/>
              <w:jc w:val="center"/>
              <w:textAlignment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2</w:t>
            </w:r>
          </w:p>
        </w:tc>
      </w:tr>
      <w:tr w14:paraId="238D9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685" w:type="pct"/>
            <w:noWrap/>
            <w:vAlign w:val="center"/>
          </w:tcPr>
          <w:p w14:paraId="0D0A7894">
            <w:pPr>
              <w:jc w:val="center"/>
              <w:rPr>
                <w:rFonts w:hint="eastAsia" w:ascii="宋体" w:hAnsi="宋体" w:eastAsia="宋体" w:cs="宋体"/>
                <w:sz w:val="24"/>
                <w:szCs w:val="24"/>
              </w:rPr>
            </w:pPr>
            <w:r>
              <w:rPr>
                <w:rFonts w:hint="eastAsia" w:ascii="宋体" w:hAnsi="宋体" w:eastAsia="宋体" w:cs="宋体"/>
                <w:sz w:val="24"/>
                <w:szCs w:val="24"/>
              </w:rPr>
              <w:t>13</w:t>
            </w:r>
          </w:p>
        </w:tc>
        <w:tc>
          <w:tcPr>
            <w:tcW w:w="2941" w:type="pct"/>
            <w:noWrap/>
            <w:vAlign w:val="center"/>
          </w:tcPr>
          <w:p w14:paraId="4DEAEA30">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喷淋稳压泵</w:t>
            </w:r>
          </w:p>
        </w:tc>
        <w:tc>
          <w:tcPr>
            <w:tcW w:w="685" w:type="pct"/>
            <w:noWrap/>
            <w:vAlign w:val="center"/>
          </w:tcPr>
          <w:p w14:paraId="3C008C40">
            <w:pPr>
              <w:widowControl/>
              <w:jc w:val="center"/>
              <w:textAlignment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台</w:t>
            </w:r>
          </w:p>
        </w:tc>
        <w:tc>
          <w:tcPr>
            <w:tcW w:w="686" w:type="pct"/>
            <w:noWrap/>
            <w:vAlign w:val="center"/>
          </w:tcPr>
          <w:p w14:paraId="13C1D268">
            <w:pPr>
              <w:widowControl/>
              <w:jc w:val="center"/>
              <w:textAlignment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2</w:t>
            </w:r>
          </w:p>
        </w:tc>
      </w:tr>
      <w:tr w14:paraId="42BB8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685" w:type="pct"/>
            <w:noWrap/>
            <w:vAlign w:val="center"/>
          </w:tcPr>
          <w:p w14:paraId="0265A100">
            <w:pPr>
              <w:jc w:val="center"/>
              <w:rPr>
                <w:rFonts w:hint="eastAsia" w:ascii="宋体" w:hAnsi="宋体" w:eastAsia="宋体" w:cs="宋体"/>
                <w:sz w:val="24"/>
                <w:szCs w:val="24"/>
              </w:rPr>
            </w:pPr>
            <w:r>
              <w:rPr>
                <w:rFonts w:hint="eastAsia" w:ascii="宋体" w:hAnsi="宋体" w:eastAsia="宋体" w:cs="宋体"/>
                <w:sz w:val="24"/>
                <w:szCs w:val="24"/>
              </w:rPr>
              <w:t>14</w:t>
            </w:r>
          </w:p>
        </w:tc>
        <w:tc>
          <w:tcPr>
            <w:tcW w:w="2941" w:type="pct"/>
            <w:noWrap/>
            <w:vAlign w:val="center"/>
          </w:tcPr>
          <w:p w14:paraId="2E3933BD">
            <w:pPr>
              <w:widowControl/>
              <w:jc w:val="center"/>
              <w:textAlignment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水箱</w:t>
            </w:r>
          </w:p>
        </w:tc>
        <w:tc>
          <w:tcPr>
            <w:tcW w:w="685" w:type="pct"/>
            <w:noWrap/>
            <w:vAlign w:val="center"/>
          </w:tcPr>
          <w:p w14:paraId="4F4080EF">
            <w:pPr>
              <w:widowControl/>
              <w:jc w:val="center"/>
              <w:textAlignment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立方</w:t>
            </w:r>
          </w:p>
        </w:tc>
        <w:tc>
          <w:tcPr>
            <w:tcW w:w="686" w:type="pct"/>
            <w:noWrap/>
            <w:vAlign w:val="center"/>
          </w:tcPr>
          <w:p w14:paraId="56495304">
            <w:pPr>
              <w:widowControl/>
              <w:jc w:val="center"/>
              <w:textAlignment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1</w:t>
            </w:r>
          </w:p>
        </w:tc>
      </w:tr>
      <w:tr w14:paraId="4BEDA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685" w:type="pct"/>
            <w:noWrap/>
            <w:vAlign w:val="center"/>
          </w:tcPr>
          <w:p w14:paraId="5579C41A">
            <w:pPr>
              <w:jc w:val="center"/>
              <w:rPr>
                <w:rFonts w:hint="eastAsia" w:ascii="宋体" w:hAnsi="宋体" w:eastAsia="宋体" w:cs="宋体"/>
                <w:sz w:val="24"/>
                <w:szCs w:val="24"/>
              </w:rPr>
            </w:pPr>
            <w:r>
              <w:rPr>
                <w:rFonts w:hint="eastAsia" w:ascii="宋体" w:hAnsi="宋体" w:eastAsia="宋体" w:cs="宋体"/>
                <w:sz w:val="24"/>
                <w:szCs w:val="24"/>
              </w:rPr>
              <w:t>15</w:t>
            </w:r>
          </w:p>
        </w:tc>
        <w:tc>
          <w:tcPr>
            <w:tcW w:w="2941" w:type="pct"/>
            <w:noWrap/>
            <w:vAlign w:val="center"/>
          </w:tcPr>
          <w:p w14:paraId="53C64846">
            <w:pPr>
              <w:widowControl/>
              <w:jc w:val="center"/>
              <w:textAlignment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排烟风机</w:t>
            </w:r>
          </w:p>
        </w:tc>
        <w:tc>
          <w:tcPr>
            <w:tcW w:w="685" w:type="pct"/>
            <w:noWrap/>
            <w:vAlign w:val="center"/>
          </w:tcPr>
          <w:p w14:paraId="1389F19B">
            <w:pPr>
              <w:widowControl/>
              <w:jc w:val="center"/>
              <w:textAlignment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个</w:t>
            </w:r>
          </w:p>
        </w:tc>
        <w:tc>
          <w:tcPr>
            <w:tcW w:w="686" w:type="pct"/>
            <w:noWrap/>
            <w:vAlign w:val="center"/>
          </w:tcPr>
          <w:p w14:paraId="606BF35A">
            <w:pPr>
              <w:widowControl/>
              <w:jc w:val="center"/>
              <w:textAlignment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44</w:t>
            </w:r>
          </w:p>
        </w:tc>
      </w:tr>
      <w:tr w14:paraId="059B5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685" w:type="pct"/>
            <w:noWrap/>
            <w:vAlign w:val="center"/>
          </w:tcPr>
          <w:p w14:paraId="59C50769">
            <w:pPr>
              <w:jc w:val="center"/>
              <w:rPr>
                <w:rFonts w:hint="eastAsia" w:ascii="宋体" w:hAnsi="宋体" w:eastAsia="宋体" w:cs="宋体"/>
                <w:sz w:val="24"/>
                <w:szCs w:val="24"/>
              </w:rPr>
            </w:pPr>
            <w:r>
              <w:rPr>
                <w:rFonts w:hint="eastAsia" w:ascii="宋体" w:hAnsi="宋体" w:eastAsia="宋体" w:cs="宋体"/>
                <w:sz w:val="24"/>
                <w:szCs w:val="24"/>
              </w:rPr>
              <w:t>16</w:t>
            </w:r>
          </w:p>
        </w:tc>
        <w:tc>
          <w:tcPr>
            <w:tcW w:w="2941" w:type="pct"/>
            <w:noWrap/>
            <w:vAlign w:val="center"/>
          </w:tcPr>
          <w:p w14:paraId="2D690B06">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七氟丙烷气体灭火系统</w:t>
            </w:r>
          </w:p>
        </w:tc>
        <w:tc>
          <w:tcPr>
            <w:tcW w:w="685" w:type="pct"/>
            <w:noWrap/>
            <w:vAlign w:val="center"/>
          </w:tcPr>
          <w:p w14:paraId="1F32BC4F">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套</w:t>
            </w:r>
          </w:p>
        </w:tc>
        <w:tc>
          <w:tcPr>
            <w:tcW w:w="686" w:type="pct"/>
            <w:noWrap/>
            <w:vAlign w:val="center"/>
          </w:tcPr>
          <w:p w14:paraId="0B0D9CC5">
            <w:pPr>
              <w:widowControl/>
              <w:jc w:val="center"/>
              <w:textAlignment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7</w:t>
            </w:r>
          </w:p>
        </w:tc>
      </w:tr>
    </w:tbl>
    <w:p w14:paraId="56F931DB">
      <w:pPr>
        <w:pStyle w:val="8"/>
        <w:ind w:firstLine="480" w:firstLineChars="200"/>
        <w:rPr>
          <w:color w:val="auto"/>
        </w:rPr>
      </w:pPr>
      <w:r>
        <w:rPr>
          <w:rFonts w:hint="eastAsia" w:ascii="宋体" w:hAnsi="宋体" w:eastAsia="宋体" w:cs="宋体"/>
          <w:bCs/>
          <w:sz w:val="24"/>
          <w:szCs w:val="24"/>
        </w:rPr>
        <w:t>注：以上数据以实际数量为准。</w:t>
      </w:r>
    </w:p>
    <w:p w14:paraId="5ADD8168">
      <w:pPr>
        <w:pStyle w:val="4"/>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9.</w:t>
      </w:r>
      <w:r>
        <w:rPr>
          <w:rFonts w:hint="eastAsia" w:ascii="宋体" w:hAnsi="宋体" w:eastAsia="宋体" w:cs="宋体"/>
          <w:b/>
          <w:bCs/>
          <w:sz w:val="24"/>
          <w:szCs w:val="24"/>
          <w:lang w:eastAsia="zh-CN"/>
        </w:rPr>
        <w:t>智能化车库系统</w:t>
      </w:r>
    </w:p>
    <w:p w14:paraId="6DECCB34">
      <w:pPr>
        <w:pStyle w:val="15"/>
        <w:keepNext w:val="0"/>
        <w:keepLines w:val="0"/>
        <w:pageBreakBefore w:val="0"/>
        <w:widowControl w:val="0"/>
        <w:kinsoku/>
        <w:wordWrap/>
        <w:overflowPunct/>
        <w:topLinePunct w:val="0"/>
        <w:autoSpaceDE/>
        <w:autoSpaceDN/>
        <w:bidi w:val="0"/>
        <w:adjustRightInd/>
        <w:snapToGrid/>
        <w:spacing w:line="360" w:lineRule="auto"/>
        <w:ind w:left="113" w:firstLine="480" w:firstLineChars="200"/>
        <w:contextualSpacing/>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10台汽车搬运器，可搬运的最大汽车重量不低于2.2吨；搬运器搬运周期小于22秒；噪声设计数值不大于70dB(A)；单车最大进(出)时间设计数值不大于200S。9台升降机安装在9个出入口车厅内，升降机额定升降速度不低于0.8米/秒。10台可旋转横移台车，以实现库内车辆自动调头的功能，横移台车运行速度不低于1米/秒。</w:t>
      </w:r>
    </w:p>
    <w:p w14:paraId="10B420DA">
      <w:pPr>
        <w:pStyle w:val="15"/>
        <w:keepNext w:val="0"/>
        <w:keepLines w:val="0"/>
        <w:pageBreakBefore w:val="0"/>
        <w:widowControl w:val="0"/>
        <w:kinsoku/>
        <w:wordWrap/>
        <w:overflowPunct/>
        <w:topLinePunct w:val="0"/>
        <w:autoSpaceDE/>
        <w:autoSpaceDN/>
        <w:bidi w:val="0"/>
        <w:adjustRightInd/>
        <w:snapToGrid/>
        <w:spacing w:line="360" w:lineRule="auto"/>
        <w:ind w:left="113" w:firstLine="487" w:firstLineChars="203"/>
        <w:contextualSpacing/>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中央控制室：PLC主控制程序，控制智能车库设备自动化运行，实现驾驶人自助存车；上位机软件系统，控制实现多出入口任务分配平稳调度、人机界面、外部设备互通互联，包括道闸、外部管理收费系统协同工作等。</w:t>
      </w:r>
    </w:p>
    <w:p w14:paraId="12BAE345">
      <w:pPr>
        <w:pStyle w:val="15"/>
        <w:keepNext w:val="0"/>
        <w:keepLines w:val="0"/>
        <w:pageBreakBefore w:val="0"/>
        <w:widowControl w:val="0"/>
        <w:kinsoku/>
        <w:wordWrap/>
        <w:overflowPunct/>
        <w:topLinePunct w:val="0"/>
        <w:autoSpaceDE/>
        <w:autoSpaceDN/>
        <w:bidi w:val="0"/>
        <w:adjustRightInd/>
        <w:snapToGrid/>
        <w:spacing w:line="360" w:lineRule="auto"/>
        <w:ind w:left="113" w:firstLine="480" w:firstLineChars="200"/>
        <w:contextualSpacing/>
        <w:textAlignment w:val="auto"/>
        <w:rPr>
          <w:rFonts w:hint="eastAsia" w:ascii="宋体" w:hAnsi="宋体" w:eastAsia="宋体" w:cs="宋体"/>
          <w:b/>
          <w:sz w:val="24"/>
          <w:szCs w:val="24"/>
        </w:rPr>
      </w:pPr>
      <w:r>
        <w:rPr>
          <w:rFonts w:hint="eastAsia" w:ascii="宋体" w:hAnsi="宋体" w:eastAsia="宋体" w:cs="宋体"/>
          <w:sz w:val="24"/>
          <w:szCs w:val="24"/>
          <w:lang w:eastAsia="zh-CN"/>
        </w:rPr>
        <w:t>车库全场景监控系统：地下车库常年全天候记录车库设备、车辆和人员的状态；监控台自动循环记录，至少可保留30天的原始信息。出入口检测及纠偏系统：系统对汽车及停放位置和人员空间位置信息进行检测、判断、引导、约束和纠偏。</w:t>
      </w:r>
      <w:bookmarkStart w:id="4" w:name="_Hlk142388163"/>
      <w:r>
        <w:rPr>
          <w:rFonts w:hint="eastAsia" w:ascii="宋体" w:hAnsi="宋体" w:eastAsia="宋体" w:cs="宋体"/>
          <w:b/>
          <w:szCs w:val="21"/>
          <w:lang w:val="en-US" w:eastAsia="zh-CN"/>
        </w:rPr>
        <w:t xml:space="preserve">                                                                                                                                                                                                              </w:t>
      </w:r>
      <w:r>
        <w:rPr>
          <w:rFonts w:hint="eastAsia" w:ascii="宋体" w:hAnsi="宋体" w:eastAsia="宋体" w:cs="宋体"/>
          <w:b/>
          <w:sz w:val="24"/>
          <w:szCs w:val="24"/>
          <w:lang w:val="en-US" w:eastAsia="zh-CN"/>
        </w:rPr>
        <w:t>10.</w:t>
      </w:r>
      <w:r>
        <w:rPr>
          <w:rFonts w:hint="eastAsia" w:ascii="宋体" w:hAnsi="宋体" w:eastAsia="宋体" w:cs="宋体"/>
          <w:b/>
          <w:sz w:val="24"/>
          <w:szCs w:val="24"/>
        </w:rPr>
        <w:t>主要树木情况</w:t>
      </w:r>
      <w:bookmarkEnd w:id="4"/>
    </w:p>
    <w:tbl>
      <w:tblPr>
        <w:tblStyle w:val="1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2"/>
        <w:gridCol w:w="1752"/>
        <w:gridCol w:w="1252"/>
        <w:gridCol w:w="1252"/>
        <w:gridCol w:w="1002"/>
        <w:gridCol w:w="754"/>
        <w:gridCol w:w="1253"/>
      </w:tblGrid>
      <w:tr w14:paraId="4615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noWrap w:val="0"/>
            <w:vAlign w:val="top"/>
          </w:tcPr>
          <w:p w14:paraId="2D731ACF">
            <w:pPr>
              <w:jc w:val="center"/>
              <w:rPr>
                <w:rFonts w:hint="eastAsia" w:ascii="宋体" w:hAnsi="宋体" w:eastAsia="宋体" w:cs="宋体"/>
                <w:b/>
                <w:sz w:val="24"/>
                <w:szCs w:val="24"/>
              </w:rPr>
            </w:pPr>
            <w:r>
              <w:rPr>
                <w:rFonts w:hint="eastAsia" w:ascii="宋体" w:hAnsi="宋体" w:eastAsia="宋体" w:cs="宋体"/>
                <w:b/>
                <w:sz w:val="24"/>
                <w:szCs w:val="24"/>
              </w:rPr>
              <w:t>树木分类</w:t>
            </w:r>
          </w:p>
        </w:tc>
        <w:tc>
          <w:tcPr>
            <w:tcW w:w="1028" w:type="pct"/>
            <w:noWrap w:val="0"/>
            <w:vAlign w:val="top"/>
          </w:tcPr>
          <w:p w14:paraId="0C25F483">
            <w:pPr>
              <w:jc w:val="center"/>
              <w:rPr>
                <w:rFonts w:hint="eastAsia" w:ascii="宋体" w:hAnsi="宋体" w:eastAsia="宋体" w:cs="宋体"/>
                <w:b/>
                <w:sz w:val="24"/>
                <w:szCs w:val="24"/>
              </w:rPr>
            </w:pPr>
            <w:r>
              <w:rPr>
                <w:rFonts w:hint="eastAsia" w:ascii="宋体" w:hAnsi="宋体" w:eastAsia="宋体" w:cs="宋体"/>
                <w:b/>
                <w:sz w:val="24"/>
                <w:szCs w:val="24"/>
              </w:rPr>
              <w:t>树木种类</w:t>
            </w:r>
          </w:p>
        </w:tc>
        <w:tc>
          <w:tcPr>
            <w:tcW w:w="735" w:type="pct"/>
            <w:noWrap w:val="0"/>
            <w:vAlign w:val="top"/>
          </w:tcPr>
          <w:p w14:paraId="34A918AF">
            <w:pPr>
              <w:jc w:val="center"/>
              <w:rPr>
                <w:rFonts w:hint="eastAsia" w:ascii="宋体" w:hAnsi="宋体" w:eastAsia="宋体" w:cs="宋体"/>
                <w:b/>
                <w:sz w:val="24"/>
                <w:szCs w:val="24"/>
              </w:rPr>
            </w:pPr>
            <w:r>
              <w:rPr>
                <w:rFonts w:hint="eastAsia" w:ascii="宋体" w:hAnsi="宋体" w:eastAsia="宋体" w:cs="宋体"/>
                <w:b/>
                <w:sz w:val="24"/>
                <w:szCs w:val="24"/>
              </w:rPr>
              <w:t>高度</w:t>
            </w:r>
          </w:p>
        </w:tc>
        <w:tc>
          <w:tcPr>
            <w:tcW w:w="735" w:type="pct"/>
            <w:noWrap w:val="0"/>
            <w:vAlign w:val="top"/>
          </w:tcPr>
          <w:p w14:paraId="5F8465B1">
            <w:pPr>
              <w:jc w:val="center"/>
              <w:rPr>
                <w:rFonts w:hint="eastAsia" w:ascii="宋体" w:hAnsi="宋体" w:eastAsia="宋体" w:cs="宋体"/>
                <w:b/>
                <w:sz w:val="24"/>
                <w:szCs w:val="24"/>
              </w:rPr>
            </w:pPr>
            <w:r>
              <w:rPr>
                <w:rFonts w:hint="eastAsia" w:ascii="宋体" w:hAnsi="宋体" w:eastAsia="宋体" w:cs="宋体"/>
                <w:b/>
                <w:sz w:val="24"/>
                <w:szCs w:val="24"/>
              </w:rPr>
              <w:t>冠幅</w:t>
            </w:r>
          </w:p>
        </w:tc>
        <w:tc>
          <w:tcPr>
            <w:tcW w:w="588" w:type="pct"/>
            <w:noWrap w:val="0"/>
            <w:vAlign w:val="top"/>
          </w:tcPr>
          <w:p w14:paraId="13A258DA">
            <w:pPr>
              <w:jc w:val="center"/>
              <w:rPr>
                <w:rFonts w:hint="eastAsia" w:ascii="宋体" w:hAnsi="宋体" w:eastAsia="宋体" w:cs="宋体"/>
                <w:b/>
                <w:sz w:val="24"/>
                <w:szCs w:val="24"/>
              </w:rPr>
            </w:pPr>
            <w:r>
              <w:rPr>
                <w:rFonts w:hint="eastAsia" w:ascii="宋体" w:hAnsi="宋体" w:eastAsia="宋体" w:cs="宋体"/>
                <w:b/>
                <w:sz w:val="24"/>
                <w:szCs w:val="24"/>
              </w:rPr>
              <w:t>单位</w:t>
            </w:r>
          </w:p>
        </w:tc>
        <w:tc>
          <w:tcPr>
            <w:tcW w:w="442" w:type="pct"/>
            <w:noWrap w:val="0"/>
            <w:vAlign w:val="top"/>
          </w:tcPr>
          <w:p w14:paraId="04623926">
            <w:pPr>
              <w:jc w:val="center"/>
              <w:rPr>
                <w:rFonts w:hint="eastAsia" w:ascii="宋体" w:hAnsi="宋体" w:eastAsia="宋体" w:cs="宋体"/>
                <w:b/>
                <w:sz w:val="24"/>
                <w:szCs w:val="24"/>
              </w:rPr>
            </w:pPr>
            <w:r>
              <w:rPr>
                <w:rFonts w:hint="eastAsia" w:ascii="宋体" w:hAnsi="宋体" w:eastAsia="宋体" w:cs="宋体"/>
                <w:b/>
                <w:sz w:val="24"/>
                <w:szCs w:val="24"/>
              </w:rPr>
              <w:t>数量</w:t>
            </w:r>
          </w:p>
        </w:tc>
        <w:tc>
          <w:tcPr>
            <w:tcW w:w="735" w:type="pct"/>
            <w:noWrap w:val="0"/>
            <w:vAlign w:val="top"/>
          </w:tcPr>
          <w:p w14:paraId="10E25602">
            <w:pPr>
              <w:jc w:val="center"/>
              <w:rPr>
                <w:rFonts w:hint="eastAsia" w:ascii="宋体" w:hAnsi="宋体" w:eastAsia="宋体" w:cs="宋体"/>
                <w:b/>
                <w:sz w:val="24"/>
                <w:szCs w:val="24"/>
              </w:rPr>
            </w:pPr>
            <w:r>
              <w:rPr>
                <w:rFonts w:hint="eastAsia" w:ascii="宋体" w:hAnsi="宋体" w:eastAsia="宋体" w:cs="宋体"/>
                <w:b/>
                <w:sz w:val="24"/>
                <w:szCs w:val="24"/>
              </w:rPr>
              <w:t>备注</w:t>
            </w:r>
          </w:p>
        </w:tc>
      </w:tr>
      <w:tr w14:paraId="162CF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Merge w:val="restart"/>
            <w:noWrap w:val="0"/>
            <w:vAlign w:val="center"/>
          </w:tcPr>
          <w:p w14:paraId="79EFFB7A">
            <w:pPr>
              <w:jc w:val="center"/>
              <w:rPr>
                <w:rFonts w:hint="eastAsia" w:ascii="宋体" w:hAnsi="宋体" w:eastAsia="宋体" w:cs="宋体"/>
                <w:bCs/>
                <w:sz w:val="24"/>
                <w:szCs w:val="24"/>
              </w:rPr>
            </w:pPr>
            <w:r>
              <w:rPr>
                <w:rFonts w:hint="eastAsia" w:ascii="宋体" w:hAnsi="宋体" w:eastAsia="宋体" w:cs="宋体"/>
                <w:bCs/>
                <w:sz w:val="24"/>
                <w:szCs w:val="24"/>
              </w:rPr>
              <w:t>乔木苗木</w:t>
            </w:r>
          </w:p>
        </w:tc>
        <w:tc>
          <w:tcPr>
            <w:tcW w:w="1028" w:type="pct"/>
            <w:noWrap w:val="0"/>
            <w:vAlign w:val="top"/>
          </w:tcPr>
          <w:p w14:paraId="66FF525B">
            <w:pPr>
              <w:jc w:val="center"/>
              <w:rPr>
                <w:rFonts w:hint="eastAsia" w:ascii="宋体" w:hAnsi="宋体" w:eastAsia="宋体" w:cs="宋体"/>
                <w:bCs/>
                <w:sz w:val="24"/>
                <w:szCs w:val="24"/>
              </w:rPr>
            </w:pPr>
            <w:r>
              <w:rPr>
                <w:rFonts w:hint="eastAsia" w:ascii="宋体" w:hAnsi="宋体" w:eastAsia="宋体" w:cs="宋体"/>
                <w:bCs/>
                <w:sz w:val="24"/>
                <w:szCs w:val="24"/>
              </w:rPr>
              <w:t>香樟</w:t>
            </w:r>
          </w:p>
        </w:tc>
        <w:tc>
          <w:tcPr>
            <w:tcW w:w="735" w:type="pct"/>
            <w:noWrap w:val="0"/>
            <w:vAlign w:val="top"/>
          </w:tcPr>
          <w:p w14:paraId="361018E3">
            <w:pPr>
              <w:jc w:val="center"/>
              <w:rPr>
                <w:rFonts w:hint="eastAsia" w:ascii="宋体" w:hAnsi="宋体" w:eastAsia="宋体" w:cs="宋体"/>
                <w:bCs/>
                <w:sz w:val="24"/>
                <w:szCs w:val="24"/>
              </w:rPr>
            </w:pPr>
            <w:r>
              <w:rPr>
                <w:rFonts w:hint="eastAsia" w:ascii="宋体" w:hAnsi="宋体" w:eastAsia="宋体" w:cs="宋体"/>
                <w:bCs/>
                <w:sz w:val="24"/>
                <w:szCs w:val="24"/>
              </w:rPr>
              <w:t>500-550</w:t>
            </w:r>
          </w:p>
        </w:tc>
        <w:tc>
          <w:tcPr>
            <w:tcW w:w="735" w:type="pct"/>
            <w:noWrap w:val="0"/>
            <w:vAlign w:val="top"/>
          </w:tcPr>
          <w:p w14:paraId="3C24F077">
            <w:pPr>
              <w:jc w:val="center"/>
              <w:rPr>
                <w:rFonts w:hint="eastAsia" w:ascii="宋体" w:hAnsi="宋体" w:eastAsia="宋体" w:cs="宋体"/>
                <w:bCs/>
                <w:sz w:val="24"/>
                <w:szCs w:val="24"/>
              </w:rPr>
            </w:pPr>
            <w:r>
              <w:rPr>
                <w:rFonts w:hint="eastAsia" w:ascii="宋体" w:hAnsi="宋体" w:eastAsia="宋体" w:cs="宋体"/>
                <w:bCs/>
                <w:sz w:val="24"/>
                <w:szCs w:val="24"/>
              </w:rPr>
              <w:t>300-350</w:t>
            </w:r>
          </w:p>
        </w:tc>
        <w:tc>
          <w:tcPr>
            <w:tcW w:w="588" w:type="pct"/>
            <w:noWrap w:val="0"/>
            <w:vAlign w:val="top"/>
          </w:tcPr>
          <w:p w14:paraId="0D4C5570">
            <w:pPr>
              <w:jc w:val="center"/>
              <w:rPr>
                <w:rFonts w:hint="eastAsia" w:ascii="宋体" w:hAnsi="宋体" w:eastAsia="宋体" w:cs="宋体"/>
                <w:bCs/>
                <w:sz w:val="24"/>
                <w:szCs w:val="24"/>
              </w:rPr>
            </w:pPr>
            <w:r>
              <w:rPr>
                <w:rFonts w:hint="eastAsia" w:ascii="宋体" w:hAnsi="宋体" w:eastAsia="宋体" w:cs="宋体"/>
                <w:bCs/>
                <w:sz w:val="24"/>
                <w:szCs w:val="24"/>
              </w:rPr>
              <w:t>株</w:t>
            </w:r>
          </w:p>
        </w:tc>
        <w:tc>
          <w:tcPr>
            <w:tcW w:w="442" w:type="pct"/>
            <w:noWrap w:val="0"/>
            <w:vAlign w:val="top"/>
          </w:tcPr>
          <w:p w14:paraId="435DA801">
            <w:pPr>
              <w:jc w:val="center"/>
              <w:rPr>
                <w:rFonts w:hint="eastAsia" w:ascii="宋体" w:hAnsi="宋体" w:eastAsia="宋体" w:cs="宋体"/>
                <w:bCs/>
                <w:sz w:val="24"/>
                <w:szCs w:val="24"/>
              </w:rPr>
            </w:pPr>
            <w:r>
              <w:rPr>
                <w:rFonts w:hint="eastAsia" w:ascii="宋体" w:hAnsi="宋体" w:eastAsia="宋体" w:cs="宋体"/>
                <w:bCs/>
                <w:sz w:val="24"/>
                <w:szCs w:val="24"/>
              </w:rPr>
              <w:t>17</w:t>
            </w:r>
          </w:p>
        </w:tc>
        <w:tc>
          <w:tcPr>
            <w:tcW w:w="735" w:type="pct"/>
            <w:noWrap w:val="0"/>
            <w:vAlign w:val="top"/>
          </w:tcPr>
          <w:p w14:paraId="6D132C7D">
            <w:pPr>
              <w:jc w:val="center"/>
              <w:rPr>
                <w:rFonts w:hint="eastAsia" w:ascii="宋体" w:hAnsi="宋体" w:eastAsia="宋体" w:cs="宋体"/>
                <w:bCs/>
                <w:sz w:val="24"/>
                <w:szCs w:val="24"/>
              </w:rPr>
            </w:pPr>
          </w:p>
        </w:tc>
      </w:tr>
      <w:tr w14:paraId="6112F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Merge w:val="continue"/>
            <w:noWrap w:val="0"/>
            <w:vAlign w:val="top"/>
          </w:tcPr>
          <w:p w14:paraId="677C6C52">
            <w:pPr>
              <w:jc w:val="center"/>
              <w:rPr>
                <w:rFonts w:hint="eastAsia" w:ascii="宋体" w:hAnsi="宋体" w:eastAsia="宋体" w:cs="宋体"/>
                <w:bCs/>
                <w:sz w:val="24"/>
                <w:szCs w:val="24"/>
              </w:rPr>
            </w:pPr>
          </w:p>
        </w:tc>
        <w:tc>
          <w:tcPr>
            <w:tcW w:w="1028" w:type="pct"/>
            <w:noWrap w:val="0"/>
            <w:vAlign w:val="top"/>
          </w:tcPr>
          <w:p w14:paraId="0DD77ACA">
            <w:pPr>
              <w:jc w:val="center"/>
              <w:rPr>
                <w:rFonts w:hint="eastAsia" w:ascii="宋体" w:hAnsi="宋体" w:eastAsia="宋体" w:cs="宋体"/>
                <w:bCs/>
                <w:sz w:val="24"/>
                <w:szCs w:val="24"/>
              </w:rPr>
            </w:pPr>
            <w:r>
              <w:rPr>
                <w:rFonts w:hint="eastAsia" w:ascii="宋体" w:hAnsi="宋体" w:eastAsia="宋体" w:cs="宋体"/>
                <w:bCs/>
                <w:sz w:val="24"/>
                <w:szCs w:val="24"/>
              </w:rPr>
              <w:t>桂花A</w:t>
            </w:r>
          </w:p>
        </w:tc>
        <w:tc>
          <w:tcPr>
            <w:tcW w:w="735" w:type="pct"/>
            <w:noWrap w:val="0"/>
            <w:vAlign w:val="top"/>
          </w:tcPr>
          <w:p w14:paraId="1AFEC68C">
            <w:pPr>
              <w:jc w:val="center"/>
              <w:rPr>
                <w:rFonts w:hint="eastAsia" w:ascii="宋体" w:hAnsi="宋体" w:eastAsia="宋体" w:cs="宋体"/>
                <w:bCs/>
                <w:sz w:val="24"/>
                <w:szCs w:val="24"/>
              </w:rPr>
            </w:pPr>
            <w:r>
              <w:rPr>
                <w:rFonts w:hint="eastAsia" w:ascii="宋体" w:hAnsi="宋体" w:eastAsia="宋体" w:cs="宋体"/>
                <w:bCs/>
                <w:sz w:val="24"/>
                <w:szCs w:val="24"/>
              </w:rPr>
              <w:t>600-650</w:t>
            </w:r>
          </w:p>
        </w:tc>
        <w:tc>
          <w:tcPr>
            <w:tcW w:w="735" w:type="pct"/>
            <w:noWrap w:val="0"/>
            <w:vAlign w:val="top"/>
          </w:tcPr>
          <w:p w14:paraId="1AAAA695">
            <w:pPr>
              <w:jc w:val="center"/>
              <w:rPr>
                <w:rFonts w:hint="eastAsia" w:ascii="宋体" w:hAnsi="宋体" w:eastAsia="宋体" w:cs="宋体"/>
                <w:bCs/>
                <w:sz w:val="24"/>
                <w:szCs w:val="24"/>
              </w:rPr>
            </w:pPr>
            <w:r>
              <w:rPr>
                <w:rFonts w:hint="eastAsia" w:ascii="宋体" w:hAnsi="宋体" w:eastAsia="宋体" w:cs="宋体"/>
                <w:bCs/>
                <w:sz w:val="24"/>
                <w:szCs w:val="24"/>
              </w:rPr>
              <w:t>400-450</w:t>
            </w:r>
          </w:p>
        </w:tc>
        <w:tc>
          <w:tcPr>
            <w:tcW w:w="588" w:type="pct"/>
            <w:noWrap w:val="0"/>
            <w:vAlign w:val="top"/>
          </w:tcPr>
          <w:p w14:paraId="55EDC77C">
            <w:pPr>
              <w:jc w:val="center"/>
              <w:rPr>
                <w:rFonts w:hint="eastAsia" w:ascii="宋体" w:hAnsi="宋体" w:eastAsia="宋体" w:cs="宋体"/>
                <w:bCs/>
                <w:sz w:val="24"/>
                <w:szCs w:val="24"/>
              </w:rPr>
            </w:pPr>
            <w:r>
              <w:rPr>
                <w:rFonts w:hint="eastAsia" w:ascii="宋体" w:hAnsi="宋体" w:eastAsia="宋体" w:cs="宋体"/>
                <w:bCs/>
                <w:sz w:val="24"/>
                <w:szCs w:val="24"/>
              </w:rPr>
              <w:t>株</w:t>
            </w:r>
          </w:p>
        </w:tc>
        <w:tc>
          <w:tcPr>
            <w:tcW w:w="442" w:type="pct"/>
            <w:noWrap w:val="0"/>
            <w:vAlign w:val="top"/>
          </w:tcPr>
          <w:p w14:paraId="593ECF7A">
            <w:pPr>
              <w:jc w:val="center"/>
              <w:rPr>
                <w:rFonts w:hint="eastAsia" w:ascii="宋体" w:hAnsi="宋体" w:eastAsia="宋体" w:cs="宋体"/>
                <w:bCs/>
                <w:sz w:val="24"/>
                <w:szCs w:val="24"/>
              </w:rPr>
            </w:pPr>
            <w:r>
              <w:rPr>
                <w:rFonts w:hint="eastAsia" w:ascii="宋体" w:hAnsi="宋体" w:eastAsia="宋体" w:cs="宋体"/>
                <w:bCs/>
                <w:sz w:val="24"/>
                <w:szCs w:val="24"/>
              </w:rPr>
              <w:t>4</w:t>
            </w:r>
          </w:p>
        </w:tc>
        <w:tc>
          <w:tcPr>
            <w:tcW w:w="735" w:type="pct"/>
            <w:noWrap w:val="0"/>
            <w:vAlign w:val="top"/>
          </w:tcPr>
          <w:p w14:paraId="0D133922">
            <w:pPr>
              <w:jc w:val="center"/>
              <w:rPr>
                <w:rFonts w:hint="eastAsia" w:ascii="宋体" w:hAnsi="宋体" w:eastAsia="宋体" w:cs="宋体"/>
                <w:bCs/>
                <w:sz w:val="24"/>
                <w:szCs w:val="24"/>
              </w:rPr>
            </w:pPr>
          </w:p>
        </w:tc>
      </w:tr>
      <w:tr w14:paraId="69839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Merge w:val="continue"/>
            <w:noWrap w:val="0"/>
            <w:vAlign w:val="top"/>
          </w:tcPr>
          <w:p w14:paraId="6B89D233">
            <w:pPr>
              <w:jc w:val="center"/>
              <w:rPr>
                <w:rFonts w:hint="eastAsia" w:ascii="宋体" w:hAnsi="宋体" w:eastAsia="宋体" w:cs="宋体"/>
                <w:bCs/>
                <w:sz w:val="24"/>
                <w:szCs w:val="24"/>
              </w:rPr>
            </w:pPr>
          </w:p>
        </w:tc>
        <w:tc>
          <w:tcPr>
            <w:tcW w:w="1028" w:type="pct"/>
            <w:noWrap w:val="0"/>
            <w:vAlign w:val="top"/>
          </w:tcPr>
          <w:p w14:paraId="155E6436">
            <w:pPr>
              <w:jc w:val="center"/>
              <w:rPr>
                <w:rFonts w:hint="eastAsia" w:ascii="宋体" w:hAnsi="宋体" w:eastAsia="宋体" w:cs="宋体"/>
                <w:bCs/>
                <w:sz w:val="24"/>
                <w:szCs w:val="24"/>
              </w:rPr>
            </w:pPr>
            <w:r>
              <w:rPr>
                <w:rFonts w:hint="eastAsia" w:ascii="宋体" w:hAnsi="宋体" w:eastAsia="宋体" w:cs="宋体"/>
                <w:bCs/>
                <w:sz w:val="24"/>
                <w:szCs w:val="24"/>
              </w:rPr>
              <w:t>桂花B</w:t>
            </w:r>
          </w:p>
        </w:tc>
        <w:tc>
          <w:tcPr>
            <w:tcW w:w="735" w:type="pct"/>
            <w:noWrap w:val="0"/>
            <w:vAlign w:val="top"/>
          </w:tcPr>
          <w:p w14:paraId="6428C96A">
            <w:pPr>
              <w:jc w:val="center"/>
              <w:rPr>
                <w:rFonts w:hint="eastAsia" w:ascii="宋体" w:hAnsi="宋体" w:eastAsia="宋体" w:cs="宋体"/>
                <w:bCs/>
                <w:sz w:val="24"/>
                <w:szCs w:val="24"/>
              </w:rPr>
            </w:pPr>
            <w:r>
              <w:rPr>
                <w:rFonts w:hint="eastAsia" w:ascii="宋体" w:hAnsi="宋体" w:eastAsia="宋体" w:cs="宋体"/>
                <w:bCs/>
                <w:sz w:val="24"/>
                <w:szCs w:val="24"/>
              </w:rPr>
              <w:t>400-450</w:t>
            </w:r>
          </w:p>
        </w:tc>
        <w:tc>
          <w:tcPr>
            <w:tcW w:w="735" w:type="pct"/>
            <w:noWrap w:val="0"/>
            <w:vAlign w:val="top"/>
          </w:tcPr>
          <w:p w14:paraId="44AE5E72">
            <w:pPr>
              <w:jc w:val="center"/>
              <w:rPr>
                <w:rFonts w:hint="eastAsia" w:ascii="宋体" w:hAnsi="宋体" w:eastAsia="宋体" w:cs="宋体"/>
                <w:bCs/>
                <w:sz w:val="24"/>
                <w:szCs w:val="24"/>
              </w:rPr>
            </w:pPr>
            <w:r>
              <w:rPr>
                <w:rFonts w:hint="eastAsia" w:ascii="宋体" w:hAnsi="宋体" w:eastAsia="宋体" w:cs="宋体"/>
                <w:bCs/>
                <w:sz w:val="24"/>
                <w:szCs w:val="24"/>
              </w:rPr>
              <w:t>300-350</w:t>
            </w:r>
          </w:p>
        </w:tc>
        <w:tc>
          <w:tcPr>
            <w:tcW w:w="588" w:type="pct"/>
            <w:noWrap w:val="0"/>
            <w:vAlign w:val="top"/>
          </w:tcPr>
          <w:p w14:paraId="5E415832">
            <w:pPr>
              <w:jc w:val="center"/>
              <w:rPr>
                <w:rFonts w:hint="eastAsia" w:ascii="宋体" w:hAnsi="宋体" w:eastAsia="宋体" w:cs="宋体"/>
                <w:bCs/>
                <w:sz w:val="24"/>
                <w:szCs w:val="24"/>
              </w:rPr>
            </w:pPr>
            <w:r>
              <w:rPr>
                <w:rFonts w:hint="eastAsia" w:ascii="宋体" w:hAnsi="宋体" w:eastAsia="宋体" w:cs="宋体"/>
                <w:bCs/>
                <w:sz w:val="24"/>
                <w:szCs w:val="24"/>
              </w:rPr>
              <w:t>株</w:t>
            </w:r>
          </w:p>
        </w:tc>
        <w:tc>
          <w:tcPr>
            <w:tcW w:w="442" w:type="pct"/>
            <w:noWrap w:val="0"/>
            <w:vAlign w:val="top"/>
          </w:tcPr>
          <w:p w14:paraId="26A8CCE3">
            <w:pPr>
              <w:jc w:val="center"/>
              <w:rPr>
                <w:rFonts w:hint="eastAsia" w:ascii="宋体" w:hAnsi="宋体" w:eastAsia="宋体" w:cs="宋体"/>
                <w:bCs/>
                <w:sz w:val="24"/>
                <w:szCs w:val="24"/>
              </w:rPr>
            </w:pPr>
            <w:r>
              <w:rPr>
                <w:rFonts w:hint="eastAsia" w:ascii="宋体" w:hAnsi="宋体" w:eastAsia="宋体" w:cs="宋体"/>
                <w:bCs/>
                <w:sz w:val="24"/>
                <w:szCs w:val="24"/>
              </w:rPr>
              <w:t>3</w:t>
            </w:r>
          </w:p>
        </w:tc>
        <w:tc>
          <w:tcPr>
            <w:tcW w:w="735" w:type="pct"/>
            <w:noWrap w:val="0"/>
            <w:vAlign w:val="top"/>
          </w:tcPr>
          <w:p w14:paraId="549DB6F2">
            <w:pPr>
              <w:jc w:val="center"/>
              <w:rPr>
                <w:rFonts w:hint="eastAsia" w:ascii="宋体" w:hAnsi="宋体" w:eastAsia="宋体" w:cs="宋体"/>
                <w:bCs/>
                <w:sz w:val="24"/>
                <w:szCs w:val="24"/>
              </w:rPr>
            </w:pPr>
          </w:p>
        </w:tc>
      </w:tr>
      <w:tr w14:paraId="7284D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Merge w:val="continue"/>
            <w:noWrap w:val="0"/>
            <w:vAlign w:val="top"/>
          </w:tcPr>
          <w:p w14:paraId="640D6065">
            <w:pPr>
              <w:jc w:val="center"/>
              <w:rPr>
                <w:rFonts w:hint="eastAsia" w:ascii="宋体" w:hAnsi="宋体" w:eastAsia="宋体" w:cs="宋体"/>
                <w:bCs/>
                <w:sz w:val="24"/>
                <w:szCs w:val="24"/>
              </w:rPr>
            </w:pPr>
          </w:p>
        </w:tc>
        <w:tc>
          <w:tcPr>
            <w:tcW w:w="1028" w:type="pct"/>
            <w:noWrap w:val="0"/>
            <w:vAlign w:val="top"/>
          </w:tcPr>
          <w:p w14:paraId="723D0F86">
            <w:pPr>
              <w:jc w:val="center"/>
              <w:rPr>
                <w:rFonts w:hint="eastAsia" w:ascii="宋体" w:hAnsi="宋体" w:eastAsia="宋体" w:cs="宋体"/>
                <w:bCs/>
                <w:sz w:val="24"/>
                <w:szCs w:val="24"/>
              </w:rPr>
            </w:pPr>
            <w:r>
              <w:rPr>
                <w:rFonts w:hint="eastAsia" w:ascii="宋体" w:hAnsi="宋体" w:eastAsia="宋体" w:cs="宋体"/>
                <w:bCs/>
                <w:sz w:val="24"/>
                <w:szCs w:val="24"/>
              </w:rPr>
              <w:t>桂花C</w:t>
            </w:r>
          </w:p>
        </w:tc>
        <w:tc>
          <w:tcPr>
            <w:tcW w:w="735" w:type="pct"/>
            <w:noWrap w:val="0"/>
            <w:vAlign w:val="top"/>
          </w:tcPr>
          <w:p w14:paraId="5ED1CE16">
            <w:pPr>
              <w:jc w:val="center"/>
              <w:rPr>
                <w:rFonts w:hint="eastAsia" w:ascii="宋体" w:hAnsi="宋体" w:eastAsia="宋体" w:cs="宋体"/>
                <w:bCs/>
                <w:sz w:val="24"/>
                <w:szCs w:val="24"/>
              </w:rPr>
            </w:pPr>
            <w:r>
              <w:rPr>
                <w:rFonts w:hint="eastAsia" w:ascii="宋体" w:hAnsi="宋体" w:eastAsia="宋体" w:cs="宋体"/>
                <w:bCs/>
                <w:sz w:val="24"/>
                <w:szCs w:val="24"/>
              </w:rPr>
              <w:t>400</w:t>
            </w:r>
          </w:p>
        </w:tc>
        <w:tc>
          <w:tcPr>
            <w:tcW w:w="735" w:type="pct"/>
            <w:noWrap w:val="0"/>
            <w:vAlign w:val="top"/>
          </w:tcPr>
          <w:p w14:paraId="502D8AB3">
            <w:pPr>
              <w:jc w:val="center"/>
              <w:rPr>
                <w:rFonts w:hint="eastAsia" w:ascii="宋体" w:hAnsi="宋体" w:eastAsia="宋体" w:cs="宋体"/>
                <w:bCs/>
                <w:sz w:val="24"/>
                <w:szCs w:val="24"/>
              </w:rPr>
            </w:pPr>
            <w:r>
              <w:rPr>
                <w:rFonts w:hint="eastAsia" w:ascii="宋体" w:hAnsi="宋体" w:eastAsia="宋体" w:cs="宋体"/>
                <w:bCs/>
                <w:sz w:val="24"/>
                <w:szCs w:val="24"/>
              </w:rPr>
              <w:t>300</w:t>
            </w:r>
          </w:p>
        </w:tc>
        <w:tc>
          <w:tcPr>
            <w:tcW w:w="588" w:type="pct"/>
            <w:noWrap w:val="0"/>
            <w:vAlign w:val="top"/>
          </w:tcPr>
          <w:p w14:paraId="7639C403">
            <w:pPr>
              <w:jc w:val="center"/>
              <w:rPr>
                <w:rFonts w:hint="eastAsia" w:ascii="宋体" w:hAnsi="宋体" w:eastAsia="宋体" w:cs="宋体"/>
                <w:bCs/>
                <w:sz w:val="24"/>
                <w:szCs w:val="24"/>
              </w:rPr>
            </w:pPr>
            <w:r>
              <w:rPr>
                <w:rFonts w:hint="eastAsia" w:ascii="宋体" w:hAnsi="宋体" w:eastAsia="宋体" w:cs="宋体"/>
                <w:bCs/>
                <w:sz w:val="24"/>
                <w:szCs w:val="24"/>
              </w:rPr>
              <w:t>株</w:t>
            </w:r>
          </w:p>
        </w:tc>
        <w:tc>
          <w:tcPr>
            <w:tcW w:w="442" w:type="pct"/>
            <w:noWrap w:val="0"/>
            <w:vAlign w:val="top"/>
          </w:tcPr>
          <w:p w14:paraId="6A5BF905">
            <w:pPr>
              <w:jc w:val="center"/>
              <w:rPr>
                <w:rFonts w:hint="eastAsia" w:ascii="宋体" w:hAnsi="宋体" w:eastAsia="宋体" w:cs="宋体"/>
                <w:bCs/>
                <w:sz w:val="24"/>
                <w:szCs w:val="24"/>
              </w:rPr>
            </w:pPr>
            <w:r>
              <w:rPr>
                <w:rFonts w:hint="eastAsia" w:ascii="宋体" w:hAnsi="宋体" w:eastAsia="宋体" w:cs="宋体"/>
                <w:bCs/>
                <w:sz w:val="24"/>
                <w:szCs w:val="24"/>
              </w:rPr>
              <w:t>18</w:t>
            </w:r>
          </w:p>
        </w:tc>
        <w:tc>
          <w:tcPr>
            <w:tcW w:w="735" w:type="pct"/>
            <w:noWrap w:val="0"/>
            <w:vAlign w:val="top"/>
          </w:tcPr>
          <w:p w14:paraId="31BBCE4E">
            <w:pPr>
              <w:jc w:val="center"/>
              <w:rPr>
                <w:rFonts w:hint="eastAsia" w:ascii="宋体" w:hAnsi="宋体" w:eastAsia="宋体" w:cs="宋体"/>
                <w:bCs/>
                <w:sz w:val="24"/>
                <w:szCs w:val="24"/>
              </w:rPr>
            </w:pPr>
          </w:p>
        </w:tc>
      </w:tr>
      <w:tr w14:paraId="23CB0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5" w:type="pct"/>
            <w:vMerge w:val="continue"/>
            <w:noWrap w:val="0"/>
            <w:vAlign w:val="top"/>
          </w:tcPr>
          <w:p w14:paraId="7D70770B">
            <w:pPr>
              <w:jc w:val="center"/>
              <w:rPr>
                <w:rFonts w:hint="eastAsia" w:ascii="宋体" w:hAnsi="宋体" w:eastAsia="宋体" w:cs="宋体"/>
                <w:bCs/>
                <w:sz w:val="24"/>
                <w:szCs w:val="24"/>
              </w:rPr>
            </w:pPr>
          </w:p>
        </w:tc>
        <w:tc>
          <w:tcPr>
            <w:tcW w:w="1028" w:type="pct"/>
            <w:noWrap w:val="0"/>
            <w:vAlign w:val="top"/>
          </w:tcPr>
          <w:p w14:paraId="0C4ABB4D">
            <w:pPr>
              <w:jc w:val="center"/>
              <w:rPr>
                <w:rFonts w:hint="eastAsia" w:ascii="宋体" w:hAnsi="宋体" w:eastAsia="宋体" w:cs="宋体"/>
                <w:bCs/>
                <w:sz w:val="24"/>
                <w:szCs w:val="24"/>
              </w:rPr>
            </w:pPr>
            <w:r>
              <w:rPr>
                <w:rFonts w:hint="eastAsia" w:ascii="宋体" w:hAnsi="宋体" w:eastAsia="宋体" w:cs="宋体"/>
                <w:bCs/>
                <w:sz w:val="24"/>
                <w:szCs w:val="24"/>
              </w:rPr>
              <w:t>银杏</w:t>
            </w:r>
          </w:p>
        </w:tc>
        <w:tc>
          <w:tcPr>
            <w:tcW w:w="735" w:type="pct"/>
            <w:noWrap w:val="0"/>
            <w:vAlign w:val="top"/>
          </w:tcPr>
          <w:p w14:paraId="721C8FA6">
            <w:pPr>
              <w:jc w:val="center"/>
              <w:rPr>
                <w:rFonts w:hint="eastAsia" w:ascii="宋体" w:hAnsi="宋体" w:eastAsia="宋体" w:cs="宋体"/>
                <w:bCs/>
                <w:sz w:val="24"/>
                <w:szCs w:val="24"/>
              </w:rPr>
            </w:pPr>
            <w:r>
              <w:rPr>
                <w:rFonts w:hint="eastAsia" w:ascii="宋体" w:hAnsi="宋体" w:eastAsia="宋体" w:cs="宋体"/>
                <w:bCs/>
                <w:sz w:val="24"/>
                <w:szCs w:val="24"/>
              </w:rPr>
              <w:t>750-800</w:t>
            </w:r>
          </w:p>
        </w:tc>
        <w:tc>
          <w:tcPr>
            <w:tcW w:w="735" w:type="pct"/>
            <w:noWrap w:val="0"/>
            <w:vAlign w:val="top"/>
          </w:tcPr>
          <w:p w14:paraId="7ADF8058">
            <w:pPr>
              <w:jc w:val="center"/>
              <w:rPr>
                <w:rFonts w:hint="eastAsia" w:ascii="宋体" w:hAnsi="宋体" w:eastAsia="宋体" w:cs="宋体"/>
                <w:bCs/>
                <w:sz w:val="24"/>
                <w:szCs w:val="24"/>
              </w:rPr>
            </w:pPr>
            <w:r>
              <w:rPr>
                <w:rFonts w:hint="eastAsia" w:ascii="宋体" w:hAnsi="宋体" w:eastAsia="宋体" w:cs="宋体"/>
                <w:bCs/>
                <w:sz w:val="24"/>
                <w:szCs w:val="24"/>
              </w:rPr>
              <w:t>320-350</w:t>
            </w:r>
          </w:p>
        </w:tc>
        <w:tc>
          <w:tcPr>
            <w:tcW w:w="588" w:type="pct"/>
            <w:noWrap w:val="0"/>
            <w:vAlign w:val="top"/>
          </w:tcPr>
          <w:p w14:paraId="4518E708">
            <w:pPr>
              <w:jc w:val="center"/>
              <w:rPr>
                <w:rFonts w:hint="eastAsia" w:ascii="宋体" w:hAnsi="宋体" w:eastAsia="宋体" w:cs="宋体"/>
                <w:bCs/>
                <w:sz w:val="24"/>
                <w:szCs w:val="24"/>
              </w:rPr>
            </w:pPr>
            <w:r>
              <w:rPr>
                <w:rFonts w:hint="eastAsia" w:ascii="宋体" w:hAnsi="宋体" w:eastAsia="宋体" w:cs="宋体"/>
                <w:bCs/>
                <w:sz w:val="24"/>
                <w:szCs w:val="24"/>
              </w:rPr>
              <w:t>株</w:t>
            </w:r>
          </w:p>
        </w:tc>
        <w:tc>
          <w:tcPr>
            <w:tcW w:w="442" w:type="pct"/>
            <w:noWrap w:val="0"/>
            <w:vAlign w:val="top"/>
          </w:tcPr>
          <w:p w14:paraId="2ECF2E7C">
            <w:pPr>
              <w:jc w:val="center"/>
              <w:rPr>
                <w:rFonts w:hint="eastAsia" w:ascii="宋体" w:hAnsi="宋体" w:eastAsia="宋体" w:cs="宋体"/>
                <w:bCs/>
                <w:sz w:val="24"/>
                <w:szCs w:val="24"/>
              </w:rPr>
            </w:pPr>
            <w:r>
              <w:rPr>
                <w:rFonts w:hint="eastAsia" w:ascii="宋体" w:hAnsi="宋体" w:eastAsia="宋体" w:cs="宋体"/>
                <w:bCs/>
                <w:sz w:val="24"/>
                <w:szCs w:val="24"/>
              </w:rPr>
              <w:t>28</w:t>
            </w:r>
          </w:p>
        </w:tc>
        <w:tc>
          <w:tcPr>
            <w:tcW w:w="735" w:type="pct"/>
            <w:noWrap w:val="0"/>
            <w:vAlign w:val="top"/>
          </w:tcPr>
          <w:p w14:paraId="1C4E131B">
            <w:pPr>
              <w:jc w:val="center"/>
              <w:rPr>
                <w:rFonts w:hint="eastAsia" w:ascii="宋体" w:hAnsi="宋体" w:eastAsia="宋体" w:cs="宋体"/>
                <w:bCs/>
                <w:sz w:val="24"/>
                <w:szCs w:val="24"/>
              </w:rPr>
            </w:pPr>
          </w:p>
        </w:tc>
      </w:tr>
      <w:tr w14:paraId="21F5C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Merge w:val="continue"/>
            <w:noWrap w:val="0"/>
            <w:vAlign w:val="top"/>
          </w:tcPr>
          <w:p w14:paraId="0C55C6FF">
            <w:pPr>
              <w:jc w:val="center"/>
              <w:rPr>
                <w:rFonts w:hint="eastAsia" w:ascii="宋体" w:hAnsi="宋体" w:eastAsia="宋体" w:cs="宋体"/>
                <w:bCs/>
                <w:sz w:val="24"/>
                <w:szCs w:val="24"/>
              </w:rPr>
            </w:pPr>
          </w:p>
        </w:tc>
        <w:tc>
          <w:tcPr>
            <w:tcW w:w="1028" w:type="pct"/>
            <w:noWrap w:val="0"/>
            <w:vAlign w:val="top"/>
          </w:tcPr>
          <w:p w14:paraId="4D45DF37">
            <w:pPr>
              <w:jc w:val="center"/>
              <w:rPr>
                <w:rFonts w:hint="eastAsia" w:ascii="宋体" w:hAnsi="宋体" w:eastAsia="宋体" w:cs="宋体"/>
                <w:bCs/>
                <w:sz w:val="24"/>
                <w:szCs w:val="24"/>
              </w:rPr>
            </w:pPr>
            <w:r>
              <w:rPr>
                <w:rFonts w:hint="eastAsia" w:ascii="宋体" w:hAnsi="宋体" w:eastAsia="宋体" w:cs="宋体"/>
                <w:bCs/>
                <w:sz w:val="24"/>
                <w:szCs w:val="24"/>
              </w:rPr>
              <w:t>合欢</w:t>
            </w:r>
          </w:p>
        </w:tc>
        <w:tc>
          <w:tcPr>
            <w:tcW w:w="735" w:type="pct"/>
            <w:noWrap w:val="0"/>
            <w:vAlign w:val="top"/>
          </w:tcPr>
          <w:p w14:paraId="0773F993">
            <w:pPr>
              <w:jc w:val="center"/>
              <w:rPr>
                <w:rFonts w:hint="eastAsia" w:ascii="宋体" w:hAnsi="宋体" w:eastAsia="宋体" w:cs="宋体"/>
                <w:bCs/>
                <w:sz w:val="24"/>
                <w:szCs w:val="24"/>
              </w:rPr>
            </w:pPr>
            <w:r>
              <w:rPr>
                <w:rFonts w:hint="eastAsia" w:ascii="宋体" w:hAnsi="宋体" w:eastAsia="宋体" w:cs="宋体"/>
                <w:bCs/>
                <w:sz w:val="24"/>
                <w:szCs w:val="24"/>
              </w:rPr>
              <w:t>550-600</w:t>
            </w:r>
          </w:p>
        </w:tc>
        <w:tc>
          <w:tcPr>
            <w:tcW w:w="735" w:type="pct"/>
            <w:noWrap w:val="0"/>
            <w:vAlign w:val="top"/>
          </w:tcPr>
          <w:p w14:paraId="11CBF146">
            <w:pPr>
              <w:jc w:val="center"/>
              <w:rPr>
                <w:rFonts w:hint="eastAsia" w:ascii="宋体" w:hAnsi="宋体" w:eastAsia="宋体" w:cs="宋体"/>
                <w:bCs/>
                <w:sz w:val="24"/>
                <w:szCs w:val="24"/>
              </w:rPr>
            </w:pPr>
            <w:r>
              <w:rPr>
                <w:rFonts w:hint="eastAsia" w:ascii="宋体" w:hAnsi="宋体" w:eastAsia="宋体" w:cs="宋体"/>
                <w:bCs/>
                <w:sz w:val="24"/>
                <w:szCs w:val="24"/>
              </w:rPr>
              <w:t>350-400</w:t>
            </w:r>
          </w:p>
        </w:tc>
        <w:tc>
          <w:tcPr>
            <w:tcW w:w="588" w:type="pct"/>
            <w:noWrap w:val="0"/>
            <w:vAlign w:val="top"/>
          </w:tcPr>
          <w:p w14:paraId="2D91F9C9">
            <w:pPr>
              <w:jc w:val="center"/>
              <w:rPr>
                <w:rFonts w:hint="eastAsia" w:ascii="宋体" w:hAnsi="宋体" w:eastAsia="宋体" w:cs="宋体"/>
                <w:bCs/>
                <w:sz w:val="24"/>
                <w:szCs w:val="24"/>
              </w:rPr>
            </w:pPr>
            <w:r>
              <w:rPr>
                <w:rFonts w:hint="eastAsia" w:ascii="宋体" w:hAnsi="宋体" w:eastAsia="宋体" w:cs="宋体"/>
                <w:bCs/>
                <w:sz w:val="24"/>
                <w:szCs w:val="24"/>
              </w:rPr>
              <w:t>株</w:t>
            </w:r>
          </w:p>
        </w:tc>
        <w:tc>
          <w:tcPr>
            <w:tcW w:w="442" w:type="pct"/>
            <w:noWrap w:val="0"/>
            <w:vAlign w:val="top"/>
          </w:tcPr>
          <w:p w14:paraId="6C486EDD">
            <w:pPr>
              <w:jc w:val="center"/>
              <w:rPr>
                <w:rFonts w:hint="eastAsia" w:ascii="宋体" w:hAnsi="宋体" w:eastAsia="宋体" w:cs="宋体"/>
                <w:bCs/>
                <w:sz w:val="24"/>
                <w:szCs w:val="24"/>
              </w:rPr>
            </w:pPr>
            <w:r>
              <w:rPr>
                <w:rFonts w:hint="eastAsia" w:ascii="宋体" w:hAnsi="宋体" w:eastAsia="宋体" w:cs="宋体"/>
                <w:bCs/>
                <w:sz w:val="24"/>
                <w:szCs w:val="24"/>
              </w:rPr>
              <w:t>1</w:t>
            </w:r>
          </w:p>
        </w:tc>
        <w:tc>
          <w:tcPr>
            <w:tcW w:w="735" w:type="pct"/>
            <w:noWrap w:val="0"/>
            <w:vAlign w:val="top"/>
          </w:tcPr>
          <w:p w14:paraId="38E24918">
            <w:pPr>
              <w:jc w:val="center"/>
              <w:rPr>
                <w:rFonts w:hint="eastAsia" w:ascii="宋体" w:hAnsi="宋体" w:eastAsia="宋体" w:cs="宋体"/>
                <w:bCs/>
                <w:sz w:val="24"/>
                <w:szCs w:val="24"/>
              </w:rPr>
            </w:pPr>
          </w:p>
        </w:tc>
      </w:tr>
      <w:tr w14:paraId="7A5E0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Merge w:val="continue"/>
            <w:noWrap w:val="0"/>
            <w:vAlign w:val="top"/>
          </w:tcPr>
          <w:p w14:paraId="5AB50E8F">
            <w:pPr>
              <w:jc w:val="center"/>
              <w:rPr>
                <w:rFonts w:hint="eastAsia" w:ascii="宋体" w:hAnsi="宋体" w:eastAsia="宋体" w:cs="宋体"/>
                <w:bCs/>
                <w:sz w:val="24"/>
                <w:szCs w:val="24"/>
              </w:rPr>
            </w:pPr>
          </w:p>
        </w:tc>
        <w:tc>
          <w:tcPr>
            <w:tcW w:w="1028" w:type="pct"/>
            <w:noWrap w:val="0"/>
            <w:vAlign w:val="top"/>
          </w:tcPr>
          <w:p w14:paraId="00E6641A">
            <w:pPr>
              <w:jc w:val="center"/>
              <w:rPr>
                <w:rFonts w:hint="eastAsia" w:ascii="宋体" w:hAnsi="宋体" w:eastAsia="宋体" w:cs="宋体"/>
                <w:bCs/>
                <w:sz w:val="24"/>
                <w:szCs w:val="24"/>
              </w:rPr>
            </w:pPr>
            <w:r>
              <w:rPr>
                <w:rFonts w:hint="eastAsia" w:ascii="宋体" w:hAnsi="宋体" w:eastAsia="宋体" w:cs="宋体"/>
                <w:bCs/>
                <w:sz w:val="24"/>
                <w:szCs w:val="24"/>
              </w:rPr>
              <w:t>香泡</w:t>
            </w:r>
          </w:p>
        </w:tc>
        <w:tc>
          <w:tcPr>
            <w:tcW w:w="735" w:type="pct"/>
            <w:noWrap w:val="0"/>
            <w:vAlign w:val="top"/>
          </w:tcPr>
          <w:p w14:paraId="5BA77947">
            <w:pPr>
              <w:jc w:val="center"/>
              <w:rPr>
                <w:rFonts w:hint="eastAsia" w:ascii="宋体" w:hAnsi="宋体" w:eastAsia="宋体" w:cs="宋体"/>
                <w:bCs/>
                <w:sz w:val="24"/>
                <w:szCs w:val="24"/>
              </w:rPr>
            </w:pPr>
            <w:r>
              <w:rPr>
                <w:rFonts w:hint="eastAsia" w:ascii="宋体" w:hAnsi="宋体" w:eastAsia="宋体" w:cs="宋体"/>
                <w:bCs/>
                <w:sz w:val="24"/>
                <w:szCs w:val="24"/>
              </w:rPr>
              <w:t>600-650</w:t>
            </w:r>
          </w:p>
        </w:tc>
        <w:tc>
          <w:tcPr>
            <w:tcW w:w="735" w:type="pct"/>
            <w:noWrap w:val="0"/>
            <w:vAlign w:val="top"/>
          </w:tcPr>
          <w:p w14:paraId="40D279F5">
            <w:pPr>
              <w:jc w:val="center"/>
              <w:rPr>
                <w:rFonts w:hint="eastAsia" w:ascii="宋体" w:hAnsi="宋体" w:eastAsia="宋体" w:cs="宋体"/>
                <w:bCs/>
                <w:sz w:val="24"/>
                <w:szCs w:val="24"/>
              </w:rPr>
            </w:pPr>
            <w:r>
              <w:rPr>
                <w:rFonts w:hint="eastAsia" w:ascii="宋体" w:hAnsi="宋体" w:eastAsia="宋体" w:cs="宋体"/>
                <w:bCs/>
                <w:sz w:val="24"/>
                <w:szCs w:val="24"/>
              </w:rPr>
              <w:t>＞400</w:t>
            </w:r>
          </w:p>
        </w:tc>
        <w:tc>
          <w:tcPr>
            <w:tcW w:w="588" w:type="pct"/>
            <w:noWrap w:val="0"/>
            <w:vAlign w:val="top"/>
          </w:tcPr>
          <w:p w14:paraId="48EE4385">
            <w:pPr>
              <w:jc w:val="center"/>
              <w:rPr>
                <w:rFonts w:hint="eastAsia" w:ascii="宋体" w:hAnsi="宋体" w:eastAsia="宋体" w:cs="宋体"/>
                <w:bCs/>
                <w:sz w:val="24"/>
                <w:szCs w:val="24"/>
              </w:rPr>
            </w:pPr>
            <w:r>
              <w:rPr>
                <w:rFonts w:hint="eastAsia" w:ascii="宋体" w:hAnsi="宋体" w:eastAsia="宋体" w:cs="宋体"/>
                <w:bCs/>
                <w:sz w:val="24"/>
                <w:szCs w:val="24"/>
              </w:rPr>
              <w:t>株</w:t>
            </w:r>
          </w:p>
        </w:tc>
        <w:tc>
          <w:tcPr>
            <w:tcW w:w="442" w:type="pct"/>
            <w:noWrap w:val="0"/>
            <w:vAlign w:val="top"/>
          </w:tcPr>
          <w:p w14:paraId="07E51CFE">
            <w:pPr>
              <w:jc w:val="center"/>
              <w:rPr>
                <w:rFonts w:hint="eastAsia" w:ascii="宋体" w:hAnsi="宋体" w:eastAsia="宋体" w:cs="宋体"/>
                <w:bCs/>
                <w:sz w:val="24"/>
                <w:szCs w:val="24"/>
              </w:rPr>
            </w:pPr>
            <w:r>
              <w:rPr>
                <w:rFonts w:hint="eastAsia" w:ascii="宋体" w:hAnsi="宋体" w:eastAsia="宋体" w:cs="宋体"/>
                <w:bCs/>
                <w:sz w:val="24"/>
                <w:szCs w:val="24"/>
              </w:rPr>
              <w:t>1</w:t>
            </w:r>
          </w:p>
        </w:tc>
        <w:tc>
          <w:tcPr>
            <w:tcW w:w="735" w:type="pct"/>
            <w:noWrap w:val="0"/>
            <w:vAlign w:val="top"/>
          </w:tcPr>
          <w:p w14:paraId="52D81607">
            <w:pPr>
              <w:jc w:val="center"/>
              <w:rPr>
                <w:rFonts w:hint="eastAsia" w:ascii="宋体" w:hAnsi="宋体" w:eastAsia="宋体" w:cs="宋体"/>
                <w:bCs/>
                <w:sz w:val="24"/>
                <w:szCs w:val="24"/>
              </w:rPr>
            </w:pPr>
          </w:p>
        </w:tc>
      </w:tr>
      <w:tr w14:paraId="3ACC4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Merge w:val="continue"/>
            <w:noWrap w:val="0"/>
            <w:vAlign w:val="top"/>
          </w:tcPr>
          <w:p w14:paraId="7B740D20">
            <w:pPr>
              <w:jc w:val="center"/>
              <w:rPr>
                <w:rFonts w:hint="eastAsia" w:ascii="宋体" w:hAnsi="宋体" w:eastAsia="宋体" w:cs="宋体"/>
                <w:bCs/>
                <w:sz w:val="24"/>
                <w:szCs w:val="24"/>
              </w:rPr>
            </w:pPr>
          </w:p>
        </w:tc>
        <w:tc>
          <w:tcPr>
            <w:tcW w:w="1028" w:type="pct"/>
            <w:noWrap w:val="0"/>
            <w:vAlign w:val="top"/>
          </w:tcPr>
          <w:p w14:paraId="0605889E">
            <w:pPr>
              <w:jc w:val="center"/>
              <w:rPr>
                <w:rFonts w:hint="eastAsia" w:ascii="宋体" w:hAnsi="宋体" w:eastAsia="宋体" w:cs="宋体"/>
                <w:bCs/>
                <w:sz w:val="24"/>
                <w:szCs w:val="24"/>
              </w:rPr>
            </w:pPr>
            <w:r>
              <w:rPr>
                <w:rFonts w:hint="eastAsia" w:ascii="宋体" w:hAnsi="宋体" w:eastAsia="宋体" w:cs="宋体"/>
                <w:bCs/>
                <w:sz w:val="24"/>
                <w:szCs w:val="24"/>
              </w:rPr>
              <w:t>红枫</w:t>
            </w:r>
          </w:p>
        </w:tc>
        <w:tc>
          <w:tcPr>
            <w:tcW w:w="735" w:type="pct"/>
            <w:noWrap w:val="0"/>
            <w:vAlign w:val="top"/>
          </w:tcPr>
          <w:p w14:paraId="6C9E25EF">
            <w:pPr>
              <w:jc w:val="center"/>
              <w:rPr>
                <w:rFonts w:hint="eastAsia" w:ascii="宋体" w:hAnsi="宋体" w:eastAsia="宋体" w:cs="宋体"/>
                <w:bCs/>
                <w:sz w:val="24"/>
                <w:szCs w:val="24"/>
              </w:rPr>
            </w:pPr>
            <w:r>
              <w:rPr>
                <w:rFonts w:hint="eastAsia" w:ascii="宋体" w:hAnsi="宋体" w:eastAsia="宋体" w:cs="宋体"/>
                <w:bCs/>
                <w:sz w:val="24"/>
                <w:szCs w:val="24"/>
              </w:rPr>
              <w:t>220-250</w:t>
            </w:r>
          </w:p>
        </w:tc>
        <w:tc>
          <w:tcPr>
            <w:tcW w:w="735" w:type="pct"/>
            <w:noWrap w:val="0"/>
            <w:vAlign w:val="top"/>
          </w:tcPr>
          <w:p w14:paraId="28B66738">
            <w:pPr>
              <w:jc w:val="center"/>
              <w:rPr>
                <w:rFonts w:hint="eastAsia" w:ascii="宋体" w:hAnsi="宋体" w:eastAsia="宋体" w:cs="宋体"/>
                <w:bCs/>
                <w:sz w:val="24"/>
                <w:szCs w:val="24"/>
              </w:rPr>
            </w:pPr>
            <w:r>
              <w:rPr>
                <w:rFonts w:hint="eastAsia" w:ascii="宋体" w:hAnsi="宋体" w:eastAsia="宋体" w:cs="宋体"/>
                <w:bCs/>
                <w:sz w:val="24"/>
                <w:szCs w:val="24"/>
              </w:rPr>
              <w:t>220-250</w:t>
            </w:r>
          </w:p>
        </w:tc>
        <w:tc>
          <w:tcPr>
            <w:tcW w:w="588" w:type="pct"/>
            <w:noWrap w:val="0"/>
            <w:vAlign w:val="top"/>
          </w:tcPr>
          <w:p w14:paraId="60E5884D">
            <w:pPr>
              <w:jc w:val="center"/>
              <w:rPr>
                <w:rFonts w:hint="eastAsia" w:ascii="宋体" w:hAnsi="宋体" w:eastAsia="宋体" w:cs="宋体"/>
                <w:bCs/>
                <w:sz w:val="24"/>
                <w:szCs w:val="24"/>
              </w:rPr>
            </w:pPr>
            <w:r>
              <w:rPr>
                <w:rFonts w:hint="eastAsia" w:ascii="宋体" w:hAnsi="宋体" w:eastAsia="宋体" w:cs="宋体"/>
                <w:bCs/>
                <w:sz w:val="24"/>
                <w:szCs w:val="24"/>
              </w:rPr>
              <w:t>株</w:t>
            </w:r>
          </w:p>
        </w:tc>
        <w:tc>
          <w:tcPr>
            <w:tcW w:w="442" w:type="pct"/>
            <w:noWrap w:val="0"/>
            <w:vAlign w:val="top"/>
          </w:tcPr>
          <w:p w14:paraId="2ED0ECAB">
            <w:pPr>
              <w:jc w:val="center"/>
              <w:rPr>
                <w:rFonts w:hint="eastAsia" w:ascii="宋体" w:hAnsi="宋体" w:eastAsia="宋体" w:cs="宋体"/>
                <w:bCs/>
                <w:sz w:val="24"/>
                <w:szCs w:val="24"/>
              </w:rPr>
            </w:pPr>
            <w:r>
              <w:rPr>
                <w:rFonts w:hint="eastAsia" w:ascii="宋体" w:hAnsi="宋体" w:eastAsia="宋体" w:cs="宋体"/>
                <w:bCs/>
                <w:sz w:val="24"/>
                <w:szCs w:val="24"/>
              </w:rPr>
              <w:t>2</w:t>
            </w:r>
          </w:p>
        </w:tc>
        <w:tc>
          <w:tcPr>
            <w:tcW w:w="735" w:type="pct"/>
            <w:noWrap w:val="0"/>
            <w:vAlign w:val="top"/>
          </w:tcPr>
          <w:p w14:paraId="318E580E">
            <w:pPr>
              <w:jc w:val="center"/>
              <w:rPr>
                <w:rFonts w:hint="eastAsia" w:ascii="宋体" w:hAnsi="宋体" w:eastAsia="宋体" w:cs="宋体"/>
                <w:bCs/>
                <w:sz w:val="24"/>
                <w:szCs w:val="24"/>
              </w:rPr>
            </w:pPr>
          </w:p>
        </w:tc>
      </w:tr>
      <w:tr w14:paraId="52612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Merge w:val="continue"/>
            <w:noWrap w:val="0"/>
            <w:vAlign w:val="top"/>
          </w:tcPr>
          <w:p w14:paraId="39FD74B6">
            <w:pPr>
              <w:jc w:val="center"/>
              <w:rPr>
                <w:rFonts w:hint="eastAsia" w:ascii="宋体" w:hAnsi="宋体" w:eastAsia="宋体" w:cs="宋体"/>
                <w:bCs/>
                <w:sz w:val="24"/>
                <w:szCs w:val="24"/>
              </w:rPr>
            </w:pPr>
          </w:p>
        </w:tc>
        <w:tc>
          <w:tcPr>
            <w:tcW w:w="1028" w:type="pct"/>
            <w:noWrap w:val="0"/>
            <w:vAlign w:val="top"/>
          </w:tcPr>
          <w:p w14:paraId="4237369E">
            <w:pPr>
              <w:jc w:val="center"/>
              <w:rPr>
                <w:rFonts w:hint="eastAsia" w:ascii="宋体" w:hAnsi="宋体" w:eastAsia="宋体" w:cs="宋体"/>
                <w:bCs/>
                <w:sz w:val="24"/>
                <w:szCs w:val="24"/>
              </w:rPr>
            </w:pPr>
            <w:r>
              <w:rPr>
                <w:rFonts w:hint="eastAsia" w:ascii="宋体" w:hAnsi="宋体" w:eastAsia="宋体" w:cs="宋体"/>
                <w:bCs/>
                <w:sz w:val="24"/>
                <w:szCs w:val="24"/>
              </w:rPr>
              <w:t>日本晚樱</w:t>
            </w:r>
          </w:p>
        </w:tc>
        <w:tc>
          <w:tcPr>
            <w:tcW w:w="735" w:type="pct"/>
            <w:noWrap w:val="0"/>
            <w:vAlign w:val="top"/>
          </w:tcPr>
          <w:p w14:paraId="5D13EE08">
            <w:pPr>
              <w:jc w:val="center"/>
              <w:rPr>
                <w:rFonts w:hint="eastAsia" w:ascii="宋体" w:hAnsi="宋体" w:eastAsia="宋体" w:cs="宋体"/>
                <w:bCs/>
                <w:sz w:val="24"/>
                <w:szCs w:val="24"/>
              </w:rPr>
            </w:pPr>
            <w:r>
              <w:rPr>
                <w:rFonts w:hint="eastAsia" w:ascii="宋体" w:hAnsi="宋体" w:eastAsia="宋体" w:cs="宋体"/>
                <w:bCs/>
                <w:sz w:val="24"/>
                <w:szCs w:val="24"/>
              </w:rPr>
              <w:t>400-450</w:t>
            </w:r>
          </w:p>
        </w:tc>
        <w:tc>
          <w:tcPr>
            <w:tcW w:w="735" w:type="pct"/>
            <w:noWrap w:val="0"/>
            <w:vAlign w:val="top"/>
          </w:tcPr>
          <w:p w14:paraId="0A9C8972">
            <w:pPr>
              <w:jc w:val="center"/>
              <w:rPr>
                <w:rFonts w:hint="eastAsia" w:ascii="宋体" w:hAnsi="宋体" w:eastAsia="宋体" w:cs="宋体"/>
                <w:bCs/>
                <w:sz w:val="24"/>
                <w:szCs w:val="24"/>
              </w:rPr>
            </w:pPr>
            <w:r>
              <w:rPr>
                <w:rFonts w:hint="eastAsia" w:ascii="宋体" w:hAnsi="宋体" w:eastAsia="宋体" w:cs="宋体"/>
                <w:bCs/>
                <w:sz w:val="24"/>
                <w:szCs w:val="24"/>
              </w:rPr>
              <w:t>300-350</w:t>
            </w:r>
          </w:p>
        </w:tc>
        <w:tc>
          <w:tcPr>
            <w:tcW w:w="588" w:type="pct"/>
            <w:noWrap w:val="0"/>
            <w:vAlign w:val="top"/>
          </w:tcPr>
          <w:p w14:paraId="409B2AFB">
            <w:pPr>
              <w:jc w:val="center"/>
              <w:rPr>
                <w:rFonts w:hint="eastAsia" w:ascii="宋体" w:hAnsi="宋体" w:eastAsia="宋体" w:cs="宋体"/>
                <w:bCs/>
                <w:sz w:val="24"/>
                <w:szCs w:val="24"/>
              </w:rPr>
            </w:pPr>
            <w:r>
              <w:rPr>
                <w:rFonts w:hint="eastAsia" w:ascii="宋体" w:hAnsi="宋体" w:eastAsia="宋体" w:cs="宋体"/>
                <w:bCs/>
                <w:sz w:val="24"/>
                <w:szCs w:val="24"/>
              </w:rPr>
              <w:t>株</w:t>
            </w:r>
          </w:p>
        </w:tc>
        <w:tc>
          <w:tcPr>
            <w:tcW w:w="442" w:type="pct"/>
            <w:noWrap w:val="0"/>
            <w:vAlign w:val="top"/>
          </w:tcPr>
          <w:p w14:paraId="6AC60358">
            <w:pPr>
              <w:jc w:val="center"/>
              <w:rPr>
                <w:rFonts w:hint="eastAsia" w:ascii="宋体" w:hAnsi="宋体" w:eastAsia="宋体" w:cs="宋体"/>
                <w:bCs/>
                <w:sz w:val="24"/>
                <w:szCs w:val="24"/>
              </w:rPr>
            </w:pPr>
            <w:r>
              <w:rPr>
                <w:rFonts w:hint="eastAsia" w:ascii="宋体" w:hAnsi="宋体" w:eastAsia="宋体" w:cs="宋体"/>
                <w:bCs/>
                <w:sz w:val="24"/>
                <w:szCs w:val="24"/>
              </w:rPr>
              <w:t>18</w:t>
            </w:r>
          </w:p>
        </w:tc>
        <w:tc>
          <w:tcPr>
            <w:tcW w:w="735" w:type="pct"/>
            <w:noWrap w:val="0"/>
            <w:vAlign w:val="top"/>
          </w:tcPr>
          <w:p w14:paraId="75E5EBB0">
            <w:pPr>
              <w:jc w:val="center"/>
              <w:rPr>
                <w:rFonts w:hint="eastAsia" w:ascii="宋体" w:hAnsi="宋体" w:eastAsia="宋体" w:cs="宋体"/>
                <w:bCs/>
                <w:sz w:val="24"/>
                <w:szCs w:val="24"/>
              </w:rPr>
            </w:pPr>
          </w:p>
        </w:tc>
      </w:tr>
      <w:tr w14:paraId="4470C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Merge w:val="continue"/>
            <w:noWrap w:val="0"/>
            <w:vAlign w:val="top"/>
          </w:tcPr>
          <w:p w14:paraId="3B64F88C">
            <w:pPr>
              <w:jc w:val="center"/>
              <w:rPr>
                <w:rFonts w:hint="eastAsia" w:ascii="宋体" w:hAnsi="宋体" w:eastAsia="宋体" w:cs="宋体"/>
                <w:bCs/>
                <w:sz w:val="24"/>
                <w:szCs w:val="24"/>
              </w:rPr>
            </w:pPr>
          </w:p>
        </w:tc>
        <w:tc>
          <w:tcPr>
            <w:tcW w:w="1028" w:type="pct"/>
            <w:noWrap w:val="0"/>
            <w:vAlign w:val="top"/>
          </w:tcPr>
          <w:p w14:paraId="02168D8F">
            <w:pPr>
              <w:jc w:val="center"/>
              <w:rPr>
                <w:rFonts w:hint="eastAsia" w:ascii="宋体" w:hAnsi="宋体" w:eastAsia="宋体" w:cs="宋体"/>
                <w:bCs/>
                <w:sz w:val="24"/>
                <w:szCs w:val="24"/>
              </w:rPr>
            </w:pPr>
            <w:r>
              <w:rPr>
                <w:rFonts w:hint="eastAsia" w:ascii="宋体" w:hAnsi="宋体" w:eastAsia="宋体" w:cs="宋体"/>
                <w:bCs/>
                <w:sz w:val="24"/>
                <w:szCs w:val="24"/>
              </w:rPr>
              <w:t>杨梅（丛生）</w:t>
            </w:r>
          </w:p>
        </w:tc>
        <w:tc>
          <w:tcPr>
            <w:tcW w:w="735" w:type="pct"/>
            <w:noWrap w:val="0"/>
            <w:vAlign w:val="top"/>
          </w:tcPr>
          <w:p w14:paraId="5769A960">
            <w:pPr>
              <w:jc w:val="center"/>
              <w:rPr>
                <w:rFonts w:hint="eastAsia" w:ascii="宋体" w:hAnsi="宋体" w:eastAsia="宋体" w:cs="宋体"/>
                <w:bCs/>
                <w:sz w:val="24"/>
                <w:szCs w:val="24"/>
              </w:rPr>
            </w:pPr>
            <w:r>
              <w:rPr>
                <w:rFonts w:hint="eastAsia" w:ascii="宋体" w:hAnsi="宋体" w:eastAsia="宋体" w:cs="宋体"/>
                <w:bCs/>
                <w:sz w:val="24"/>
                <w:szCs w:val="24"/>
              </w:rPr>
              <w:t>250-300</w:t>
            </w:r>
          </w:p>
        </w:tc>
        <w:tc>
          <w:tcPr>
            <w:tcW w:w="735" w:type="pct"/>
            <w:noWrap w:val="0"/>
            <w:vAlign w:val="top"/>
          </w:tcPr>
          <w:p w14:paraId="2FBCC033">
            <w:pPr>
              <w:jc w:val="center"/>
              <w:rPr>
                <w:rFonts w:hint="eastAsia" w:ascii="宋体" w:hAnsi="宋体" w:eastAsia="宋体" w:cs="宋体"/>
                <w:bCs/>
                <w:sz w:val="24"/>
                <w:szCs w:val="24"/>
              </w:rPr>
            </w:pPr>
            <w:r>
              <w:rPr>
                <w:rFonts w:hint="eastAsia" w:ascii="宋体" w:hAnsi="宋体" w:eastAsia="宋体" w:cs="宋体"/>
                <w:bCs/>
                <w:sz w:val="24"/>
                <w:szCs w:val="24"/>
              </w:rPr>
              <w:t>250-300</w:t>
            </w:r>
          </w:p>
        </w:tc>
        <w:tc>
          <w:tcPr>
            <w:tcW w:w="588" w:type="pct"/>
            <w:noWrap w:val="0"/>
            <w:vAlign w:val="top"/>
          </w:tcPr>
          <w:p w14:paraId="5B999B8D">
            <w:pPr>
              <w:jc w:val="center"/>
              <w:rPr>
                <w:rFonts w:hint="eastAsia" w:ascii="宋体" w:hAnsi="宋体" w:eastAsia="宋体" w:cs="宋体"/>
                <w:bCs/>
                <w:sz w:val="24"/>
                <w:szCs w:val="24"/>
              </w:rPr>
            </w:pPr>
            <w:r>
              <w:rPr>
                <w:rFonts w:hint="eastAsia" w:ascii="宋体" w:hAnsi="宋体" w:eastAsia="宋体" w:cs="宋体"/>
                <w:bCs/>
                <w:sz w:val="24"/>
                <w:szCs w:val="24"/>
              </w:rPr>
              <w:t>株</w:t>
            </w:r>
          </w:p>
        </w:tc>
        <w:tc>
          <w:tcPr>
            <w:tcW w:w="442" w:type="pct"/>
            <w:noWrap w:val="0"/>
            <w:vAlign w:val="top"/>
          </w:tcPr>
          <w:p w14:paraId="6B01F324">
            <w:pPr>
              <w:jc w:val="center"/>
              <w:rPr>
                <w:rFonts w:hint="eastAsia" w:ascii="宋体" w:hAnsi="宋体" w:eastAsia="宋体" w:cs="宋体"/>
                <w:bCs/>
                <w:sz w:val="24"/>
                <w:szCs w:val="24"/>
              </w:rPr>
            </w:pPr>
            <w:r>
              <w:rPr>
                <w:rFonts w:hint="eastAsia" w:ascii="宋体" w:hAnsi="宋体" w:eastAsia="宋体" w:cs="宋体"/>
                <w:bCs/>
                <w:sz w:val="24"/>
                <w:szCs w:val="24"/>
              </w:rPr>
              <w:t>4</w:t>
            </w:r>
          </w:p>
        </w:tc>
        <w:tc>
          <w:tcPr>
            <w:tcW w:w="735" w:type="pct"/>
            <w:noWrap w:val="0"/>
            <w:vAlign w:val="top"/>
          </w:tcPr>
          <w:p w14:paraId="59D7FC89">
            <w:pPr>
              <w:jc w:val="center"/>
              <w:rPr>
                <w:rFonts w:hint="eastAsia" w:ascii="宋体" w:hAnsi="宋体" w:eastAsia="宋体" w:cs="宋体"/>
                <w:bCs/>
                <w:sz w:val="24"/>
                <w:szCs w:val="24"/>
              </w:rPr>
            </w:pPr>
          </w:p>
        </w:tc>
      </w:tr>
      <w:tr w14:paraId="0AEE7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Merge w:val="continue"/>
            <w:noWrap w:val="0"/>
            <w:vAlign w:val="top"/>
          </w:tcPr>
          <w:p w14:paraId="5F08C636">
            <w:pPr>
              <w:jc w:val="center"/>
              <w:rPr>
                <w:rFonts w:hint="eastAsia" w:ascii="宋体" w:hAnsi="宋体" w:eastAsia="宋体" w:cs="宋体"/>
                <w:bCs/>
                <w:sz w:val="24"/>
                <w:szCs w:val="24"/>
              </w:rPr>
            </w:pPr>
          </w:p>
        </w:tc>
        <w:tc>
          <w:tcPr>
            <w:tcW w:w="1028" w:type="pct"/>
            <w:noWrap w:val="0"/>
            <w:vAlign w:val="top"/>
          </w:tcPr>
          <w:p w14:paraId="1466502B">
            <w:pPr>
              <w:jc w:val="center"/>
              <w:rPr>
                <w:rFonts w:hint="eastAsia" w:ascii="宋体" w:hAnsi="宋体" w:eastAsia="宋体" w:cs="宋体"/>
                <w:bCs/>
                <w:sz w:val="24"/>
                <w:szCs w:val="24"/>
              </w:rPr>
            </w:pPr>
            <w:r>
              <w:rPr>
                <w:rFonts w:hint="eastAsia" w:ascii="宋体" w:hAnsi="宋体" w:eastAsia="宋体" w:cs="宋体"/>
                <w:bCs/>
                <w:sz w:val="24"/>
                <w:szCs w:val="24"/>
              </w:rPr>
              <w:t>紫叶李</w:t>
            </w:r>
          </w:p>
        </w:tc>
        <w:tc>
          <w:tcPr>
            <w:tcW w:w="735" w:type="pct"/>
            <w:noWrap w:val="0"/>
            <w:vAlign w:val="top"/>
          </w:tcPr>
          <w:p w14:paraId="7438FF71">
            <w:pPr>
              <w:jc w:val="center"/>
              <w:rPr>
                <w:rFonts w:hint="eastAsia" w:ascii="宋体" w:hAnsi="宋体" w:eastAsia="宋体" w:cs="宋体"/>
                <w:bCs/>
                <w:sz w:val="24"/>
                <w:szCs w:val="24"/>
              </w:rPr>
            </w:pPr>
            <w:r>
              <w:rPr>
                <w:rFonts w:hint="eastAsia" w:ascii="宋体" w:hAnsi="宋体" w:eastAsia="宋体" w:cs="宋体"/>
                <w:bCs/>
                <w:sz w:val="24"/>
                <w:szCs w:val="24"/>
              </w:rPr>
              <w:t>250-300</w:t>
            </w:r>
          </w:p>
        </w:tc>
        <w:tc>
          <w:tcPr>
            <w:tcW w:w="735" w:type="pct"/>
            <w:noWrap w:val="0"/>
            <w:vAlign w:val="top"/>
          </w:tcPr>
          <w:p w14:paraId="3774B772">
            <w:pPr>
              <w:jc w:val="center"/>
              <w:rPr>
                <w:rFonts w:hint="eastAsia" w:ascii="宋体" w:hAnsi="宋体" w:eastAsia="宋体" w:cs="宋体"/>
                <w:bCs/>
                <w:sz w:val="24"/>
                <w:szCs w:val="24"/>
              </w:rPr>
            </w:pPr>
            <w:r>
              <w:rPr>
                <w:rFonts w:hint="eastAsia" w:ascii="宋体" w:hAnsi="宋体" w:eastAsia="宋体" w:cs="宋体"/>
                <w:bCs/>
                <w:sz w:val="24"/>
                <w:szCs w:val="24"/>
              </w:rPr>
              <w:t>150-180</w:t>
            </w:r>
          </w:p>
        </w:tc>
        <w:tc>
          <w:tcPr>
            <w:tcW w:w="588" w:type="pct"/>
            <w:noWrap w:val="0"/>
            <w:vAlign w:val="top"/>
          </w:tcPr>
          <w:p w14:paraId="57008A95">
            <w:pPr>
              <w:jc w:val="center"/>
              <w:rPr>
                <w:rFonts w:hint="eastAsia" w:ascii="宋体" w:hAnsi="宋体" w:eastAsia="宋体" w:cs="宋体"/>
                <w:bCs/>
                <w:sz w:val="24"/>
                <w:szCs w:val="24"/>
              </w:rPr>
            </w:pPr>
            <w:r>
              <w:rPr>
                <w:rFonts w:hint="eastAsia" w:ascii="宋体" w:hAnsi="宋体" w:eastAsia="宋体" w:cs="宋体"/>
                <w:bCs/>
                <w:sz w:val="24"/>
                <w:szCs w:val="24"/>
              </w:rPr>
              <w:t>株</w:t>
            </w:r>
          </w:p>
        </w:tc>
        <w:tc>
          <w:tcPr>
            <w:tcW w:w="442" w:type="pct"/>
            <w:noWrap w:val="0"/>
            <w:vAlign w:val="top"/>
          </w:tcPr>
          <w:p w14:paraId="761EC878">
            <w:pPr>
              <w:jc w:val="center"/>
              <w:rPr>
                <w:rFonts w:hint="eastAsia" w:ascii="宋体" w:hAnsi="宋体" w:eastAsia="宋体" w:cs="宋体"/>
                <w:bCs/>
                <w:sz w:val="24"/>
                <w:szCs w:val="24"/>
              </w:rPr>
            </w:pPr>
            <w:r>
              <w:rPr>
                <w:rFonts w:hint="eastAsia" w:ascii="宋体" w:hAnsi="宋体" w:eastAsia="宋体" w:cs="宋体"/>
                <w:bCs/>
                <w:sz w:val="24"/>
                <w:szCs w:val="24"/>
              </w:rPr>
              <w:t>3</w:t>
            </w:r>
          </w:p>
        </w:tc>
        <w:tc>
          <w:tcPr>
            <w:tcW w:w="735" w:type="pct"/>
            <w:noWrap w:val="0"/>
            <w:vAlign w:val="top"/>
          </w:tcPr>
          <w:p w14:paraId="5580ED30">
            <w:pPr>
              <w:jc w:val="center"/>
              <w:rPr>
                <w:rFonts w:hint="eastAsia" w:ascii="宋体" w:hAnsi="宋体" w:eastAsia="宋体" w:cs="宋体"/>
                <w:bCs/>
                <w:sz w:val="24"/>
                <w:szCs w:val="24"/>
              </w:rPr>
            </w:pPr>
          </w:p>
        </w:tc>
      </w:tr>
      <w:tr w14:paraId="73331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Merge w:val="restart"/>
            <w:noWrap w:val="0"/>
            <w:vAlign w:val="center"/>
          </w:tcPr>
          <w:p w14:paraId="4CB6D168">
            <w:pPr>
              <w:jc w:val="center"/>
              <w:rPr>
                <w:rFonts w:hint="eastAsia" w:ascii="宋体" w:hAnsi="宋体" w:eastAsia="宋体" w:cs="宋体"/>
                <w:bCs/>
                <w:sz w:val="24"/>
                <w:szCs w:val="24"/>
              </w:rPr>
            </w:pPr>
            <w:r>
              <w:rPr>
                <w:rFonts w:hint="eastAsia" w:ascii="宋体" w:hAnsi="宋体" w:eastAsia="宋体" w:cs="宋体"/>
                <w:bCs/>
                <w:sz w:val="24"/>
                <w:szCs w:val="24"/>
              </w:rPr>
              <w:t>地被苗木</w:t>
            </w:r>
          </w:p>
        </w:tc>
        <w:tc>
          <w:tcPr>
            <w:tcW w:w="1028" w:type="pct"/>
            <w:noWrap w:val="0"/>
            <w:vAlign w:val="top"/>
          </w:tcPr>
          <w:p w14:paraId="11CF786C">
            <w:pPr>
              <w:jc w:val="center"/>
              <w:rPr>
                <w:rFonts w:hint="eastAsia" w:ascii="宋体" w:hAnsi="宋体" w:eastAsia="宋体" w:cs="宋体"/>
                <w:bCs/>
                <w:sz w:val="24"/>
                <w:szCs w:val="24"/>
              </w:rPr>
            </w:pPr>
            <w:r>
              <w:rPr>
                <w:rFonts w:hint="eastAsia" w:ascii="宋体" w:hAnsi="宋体" w:eastAsia="宋体" w:cs="宋体"/>
                <w:bCs/>
                <w:sz w:val="24"/>
                <w:szCs w:val="24"/>
              </w:rPr>
              <w:t>红叶石楠</w:t>
            </w:r>
          </w:p>
        </w:tc>
        <w:tc>
          <w:tcPr>
            <w:tcW w:w="735" w:type="pct"/>
            <w:noWrap w:val="0"/>
            <w:vAlign w:val="top"/>
          </w:tcPr>
          <w:p w14:paraId="7A0010F8">
            <w:pPr>
              <w:jc w:val="center"/>
              <w:rPr>
                <w:rFonts w:hint="eastAsia" w:ascii="宋体" w:hAnsi="宋体" w:eastAsia="宋体" w:cs="宋体"/>
                <w:bCs/>
                <w:sz w:val="24"/>
                <w:szCs w:val="24"/>
              </w:rPr>
            </w:pPr>
            <w:r>
              <w:rPr>
                <w:rFonts w:hint="eastAsia" w:ascii="宋体" w:hAnsi="宋体" w:eastAsia="宋体" w:cs="宋体"/>
                <w:bCs/>
                <w:sz w:val="24"/>
                <w:szCs w:val="24"/>
              </w:rPr>
              <w:t>35-40</w:t>
            </w:r>
          </w:p>
        </w:tc>
        <w:tc>
          <w:tcPr>
            <w:tcW w:w="735" w:type="pct"/>
            <w:noWrap w:val="0"/>
            <w:vAlign w:val="top"/>
          </w:tcPr>
          <w:p w14:paraId="7A7C0DE1">
            <w:pPr>
              <w:jc w:val="center"/>
              <w:rPr>
                <w:rFonts w:hint="eastAsia" w:ascii="宋体" w:hAnsi="宋体" w:eastAsia="宋体" w:cs="宋体"/>
                <w:bCs/>
                <w:sz w:val="24"/>
                <w:szCs w:val="24"/>
              </w:rPr>
            </w:pPr>
            <w:r>
              <w:rPr>
                <w:rFonts w:hint="eastAsia" w:ascii="宋体" w:hAnsi="宋体" w:eastAsia="宋体" w:cs="宋体"/>
                <w:bCs/>
                <w:sz w:val="24"/>
                <w:szCs w:val="24"/>
              </w:rPr>
              <w:t>30-35</w:t>
            </w:r>
          </w:p>
        </w:tc>
        <w:tc>
          <w:tcPr>
            <w:tcW w:w="588" w:type="pct"/>
            <w:noWrap w:val="0"/>
            <w:vAlign w:val="top"/>
          </w:tcPr>
          <w:p w14:paraId="4958B934">
            <w:pPr>
              <w:jc w:val="center"/>
              <w:rPr>
                <w:rFonts w:hint="eastAsia" w:ascii="宋体" w:hAnsi="宋体" w:eastAsia="宋体" w:cs="宋体"/>
                <w:bCs/>
                <w:sz w:val="24"/>
                <w:szCs w:val="24"/>
              </w:rPr>
            </w:pPr>
            <w:r>
              <w:rPr>
                <w:rFonts w:hint="eastAsia" w:ascii="宋体" w:hAnsi="宋体" w:eastAsia="宋体" w:cs="宋体"/>
                <w:bCs/>
                <w:sz w:val="24"/>
                <w:szCs w:val="24"/>
              </w:rPr>
              <w:t>株</w:t>
            </w:r>
          </w:p>
        </w:tc>
        <w:tc>
          <w:tcPr>
            <w:tcW w:w="442" w:type="pct"/>
            <w:noWrap w:val="0"/>
            <w:vAlign w:val="top"/>
          </w:tcPr>
          <w:p w14:paraId="72F259A8">
            <w:pPr>
              <w:jc w:val="center"/>
              <w:rPr>
                <w:rFonts w:hint="eastAsia" w:ascii="宋体" w:hAnsi="宋体" w:eastAsia="宋体" w:cs="宋体"/>
                <w:bCs/>
                <w:sz w:val="24"/>
                <w:szCs w:val="24"/>
              </w:rPr>
            </w:pPr>
            <w:r>
              <w:rPr>
                <w:rFonts w:hint="eastAsia" w:ascii="宋体" w:hAnsi="宋体" w:eastAsia="宋体" w:cs="宋体"/>
                <w:bCs/>
                <w:sz w:val="24"/>
                <w:szCs w:val="24"/>
              </w:rPr>
              <w:t>147</w:t>
            </w:r>
          </w:p>
        </w:tc>
        <w:tc>
          <w:tcPr>
            <w:tcW w:w="735" w:type="pct"/>
            <w:noWrap w:val="0"/>
            <w:vAlign w:val="top"/>
          </w:tcPr>
          <w:p w14:paraId="27B43292">
            <w:pPr>
              <w:jc w:val="center"/>
              <w:rPr>
                <w:rFonts w:hint="eastAsia" w:ascii="宋体" w:hAnsi="宋体" w:eastAsia="宋体" w:cs="宋体"/>
                <w:bCs/>
                <w:sz w:val="24"/>
                <w:szCs w:val="24"/>
              </w:rPr>
            </w:pPr>
          </w:p>
        </w:tc>
      </w:tr>
      <w:tr w14:paraId="628EC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Merge w:val="continue"/>
            <w:noWrap w:val="0"/>
            <w:vAlign w:val="top"/>
          </w:tcPr>
          <w:p w14:paraId="18782055">
            <w:pPr>
              <w:jc w:val="center"/>
              <w:rPr>
                <w:rFonts w:hint="eastAsia" w:ascii="宋体" w:hAnsi="宋体" w:eastAsia="宋体" w:cs="宋体"/>
                <w:bCs/>
                <w:sz w:val="24"/>
                <w:szCs w:val="24"/>
              </w:rPr>
            </w:pPr>
          </w:p>
        </w:tc>
        <w:tc>
          <w:tcPr>
            <w:tcW w:w="1028" w:type="pct"/>
            <w:noWrap w:val="0"/>
            <w:vAlign w:val="top"/>
          </w:tcPr>
          <w:p w14:paraId="2EDC8B9B">
            <w:pPr>
              <w:jc w:val="center"/>
              <w:rPr>
                <w:rFonts w:hint="eastAsia" w:ascii="宋体" w:hAnsi="宋体" w:eastAsia="宋体" w:cs="宋体"/>
                <w:bCs/>
                <w:sz w:val="24"/>
                <w:szCs w:val="24"/>
              </w:rPr>
            </w:pPr>
            <w:r>
              <w:rPr>
                <w:rFonts w:hint="eastAsia" w:ascii="宋体" w:hAnsi="宋体" w:eastAsia="宋体" w:cs="宋体"/>
                <w:bCs/>
                <w:sz w:val="24"/>
                <w:szCs w:val="24"/>
              </w:rPr>
              <w:t>海桐</w:t>
            </w:r>
          </w:p>
        </w:tc>
        <w:tc>
          <w:tcPr>
            <w:tcW w:w="735" w:type="pct"/>
            <w:noWrap w:val="0"/>
            <w:vAlign w:val="top"/>
          </w:tcPr>
          <w:p w14:paraId="602DA24F">
            <w:pPr>
              <w:jc w:val="center"/>
              <w:rPr>
                <w:rFonts w:hint="eastAsia" w:ascii="宋体" w:hAnsi="宋体" w:eastAsia="宋体" w:cs="宋体"/>
                <w:bCs/>
                <w:sz w:val="24"/>
                <w:szCs w:val="24"/>
              </w:rPr>
            </w:pPr>
            <w:r>
              <w:rPr>
                <w:rFonts w:hint="eastAsia" w:ascii="宋体" w:hAnsi="宋体" w:eastAsia="宋体" w:cs="宋体"/>
                <w:bCs/>
                <w:sz w:val="24"/>
                <w:szCs w:val="24"/>
              </w:rPr>
              <w:t>35-40</w:t>
            </w:r>
          </w:p>
        </w:tc>
        <w:tc>
          <w:tcPr>
            <w:tcW w:w="735" w:type="pct"/>
            <w:noWrap w:val="0"/>
            <w:vAlign w:val="top"/>
          </w:tcPr>
          <w:p w14:paraId="3F352335">
            <w:pPr>
              <w:jc w:val="center"/>
              <w:rPr>
                <w:rFonts w:hint="eastAsia" w:ascii="宋体" w:hAnsi="宋体" w:eastAsia="宋体" w:cs="宋体"/>
                <w:bCs/>
                <w:sz w:val="24"/>
                <w:szCs w:val="24"/>
              </w:rPr>
            </w:pPr>
            <w:r>
              <w:rPr>
                <w:rFonts w:hint="eastAsia" w:ascii="宋体" w:hAnsi="宋体" w:eastAsia="宋体" w:cs="宋体"/>
                <w:bCs/>
                <w:sz w:val="24"/>
                <w:szCs w:val="24"/>
              </w:rPr>
              <w:t>30-35</w:t>
            </w:r>
          </w:p>
        </w:tc>
        <w:tc>
          <w:tcPr>
            <w:tcW w:w="588" w:type="pct"/>
            <w:noWrap w:val="0"/>
            <w:vAlign w:val="top"/>
          </w:tcPr>
          <w:p w14:paraId="1FD649DD">
            <w:pPr>
              <w:jc w:val="center"/>
              <w:rPr>
                <w:rFonts w:hint="eastAsia" w:ascii="宋体" w:hAnsi="宋体" w:eastAsia="宋体" w:cs="宋体"/>
                <w:bCs/>
                <w:sz w:val="24"/>
                <w:szCs w:val="24"/>
              </w:rPr>
            </w:pPr>
            <w:r>
              <w:rPr>
                <w:rFonts w:hint="eastAsia" w:ascii="宋体" w:hAnsi="宋体" w:eastAsia="宋体" w:cs="宋体"/>
                <w:bCs/>
                <w:sz w:val="24"/>
                <w:szCs w:val="24"/>
              </w:rPr>
              <w:t>株</w:t>
            </w:r>
          </w:p>
        </w:tc>
        <w:tc>
          <w:tcPr>
            <w:tcW w:w="442" w:type="pct"/>
            <w:noWrap w:val="0"/>
            <w:vAlign w:val="top"/>
          </w:tcPr>
          <w:p w14:paraId="2250BCF7">
            <w:pPr>
              <w:jc w:val="center"/>
              <w:rPr>
                <w:rFonts w:hint="eastAsia" w:ascii="宋体" w:hAnsi="宋体" w:eastAsia="宋体" w:cs="宋体"/>
                <w:bCs/>
                <w:sz w:val="24"/>
                <w:szCs w:val="24"/>
              </w:rPr>
            </w:pPr>
            <w:r>
              <w:rPr>
                <w:rFonts w:hint="eastAsia" w:ascii="宋体" w:hAnsi="宋体" w:eastAsia="宋体" w:cs="宋体"/>
                <w:bCs/>
                <w:sz w:val="24"/>
                <w:szCs w:val="24"/>
              </w:rPr>
              <w:t>132</w:t>
            </w:r>
          </w:p>
        </w:tc>
        <w:tc>
          <w:tcPr>
            <w:tcW w:w="735" w:type="pct"/>
            <w:noWrap w:val="0"/>
            <w:vAlign w:val="top"/>
          </w:tcPr>
          <w:p w14:paraId="07492DAA">
            <w:pPr>
              <w:jc w:val="center"/>
              <w:rPr>
                <w:rFonts w:hint="eastAsia" w:ascii="宋体" w:hAnsi="宋体" w:eastAsia="宋体" w:cs="宋体"/>
                <w:bCs/>
                <w:sz w:val="24"/>
                <w:szCs w:val="24"/>
              </w:rPr>
            </w:pPr>
          </w:p>
        </w:tc>
      </w:tr>
      <w:tr w14:paraId="28DEA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Merge w:val="continue"/>
            <w:noWrap w:val="0"/>
            <w:vAlign w:val="top"/>
          </w:tcPr>
          <w:p w14:paraId="47B57E30">
            <w:pPr>
              <w:jc w:val="center"/>
              <w:rPr>
                <w:rFonts w:hint="eastAsia" w:ascii="宋体" w:hAnsi="宋体" w:eastAsia="宋体" w:cs="宋体"/>
                <w:bCs/>
                <w:sz w:val="24"/>
                <w:szCs w:val="24"/>
              </w:rPr>
            </w:pPr>
          </w:p>
        </w:tc>
        <w:tc>
          <w:tcPr>
            <w:tcW w:w="1028" w:type="pct"/>
            <w:noWrap w:val="0"/>
            <w:vAlign w:val="top"/>
          </w:tcPr>
          <w:p w14:paraId="58095FF6">
            <w:pPr>
              <w:jc w:val="center"/>
              <w:rPr>
                <w:rFonts w:hint="eastAsia" w:ascii="宋体" w:hAnsi="宋体" w:eastAsia="宋体" w:cs="宋体"/>
                <w:bCs/>
                <w:sz w:val="24"/>
                <w:szCs w:val="24"/>
              </w:rPr>
            </w:pPr>
            <w:r>
              <w:rPr>
                <w:rFonts w:hint="eastAsia" w:ascii="宋体" w:hAnsi="宋体" w:eastAsia="宋体" w:cs="宋体"/>
                <w:bCs/>
                <w:sz w:val="24"/>
                <w:szCs w:val="24"/>
              </w:rPr>
              <w:t>金森女贞</w:t>
            </w:r>
          </w:p>
        </w:tc>
        <w:tc>
          <w:tcPr>
            <w:tcW w:w="735" w:type="pct"/>
            <w:noWrap w:val="0"/>
            <w:vAlign w:val="top"/>
          </w:tcPr>
          <w:p w14:paraId="63ECEFB2">
            <w:pPr>
              <w:jc w:val="center"/>
              <w:rPr>
                <w:rFonts w:hint="eastAsia" w:ascii="宋体" w:hAnsi="宋体" w:eastAsia="宋体" w:cs="宋体"/>
                <w:bCs/>
                <w:sz w:val="24"/>
                <w:szCs w:val="24"/>
              </w:rPr>
            </w:pPr>
            <w:r>
              <w:rPr>
                <w:rFonts w:hint="eastAsia" w:ascii="宋体" w:hAnsi="宋体" w:eastAsia="宋体" w:cs="宋体"/>
                <w:bCs/>
                <w:sz w:val="24"/>
                <w:szCs w:val="24"/>
              </w:rPr>
              <w:t>30-35</w:t>
            </w:r>
          </w:p>
        </w:tc>
        <w:tc>
          <w:tcPr>
            <w:tcW w:w="735" w:type="pct"/>
            <w:noWrap w:val="0"/>
            <w:vAlign w:val="top"/>
          </w:tcPr>
          <w:p w14:paraId="56843796">
            <w:pPr>
              <w:jc w:val="center"/>
              <w:rPr>
                <w:rFonts w:hint="eastAsia" w:ascii="宋体" w:hAnsi="宋体" w:eastAsia="宋体" w:cs="宋体"/>
                <w:bCs/>
                <w:sz w:val="24"/>
                <w:szCs w:val="24"/>
              </w:rPr>
            </w:pPr>
            <w:r>
              <w:rPr>
                <w:rFonts w:hint="eastAsia" w:ascii="宋体" w:hAnsi="宋体" w:eastAsia="宋体" w:cs="宋体"/>
                <w:bCs/>
                <w:sz w:val="24"/>
                <w:szCs w:val="24"/>
              </w:rPr>
              <w:t>25-30</w:t>
            </w:r>
          </w:p>
        </w:tc>
        <w:tc>
          <w:tcPr>
            <w:tcW w:w="588" w:type="pct"/>
            <w:noWrap w:val="0"/>
            <w:vAlign w:val="top"/>
          </w:tcPr>
          <w:p w14:paraId="294B25F7">
            <w:pPr>
              <w:jc w:val="center"/>
              <w:rPr>
                <w:rFonts w:hint="eastAsia" w:ascii="宋体" w:hAnsi="宋体" w:eastAsia="宋体" w:cs="宋体"/>
                <w:bCs/>
                <w:sz w:val="24"/>
                <w:szCs w:val="24"/>
              </w:rPr>
            </w:pPr>
            <w:r>
              <w:rPr>
                <w:rFonts w:hint="eastAsia" w:ascii="宋体" w:hAnsi="宋体" w:eastAsia="宋体" w:cs="宋体"/>
                <w:bCs/>
                <w:sz w:val="24"/>
                <w:szCs w:val="24"/>
              </w:rPr>
              <w:t>株</w:t>
            </w:r>
          </w:p>
        </w:tc>
        <w:tc>
          <w:tcPr>
            <w:tcW w:w="442" w:type="pct"/>
            <w:noWrap w:val="0"/>
            <w:vAlign w:val="top"/>
          </w:tcPr>
          <w:p w14:paraId="7AFC3172">
            <w:pPr>
              <w:jc w:val="center"/>
              <w:rPr>
                <w:rFonts w:hint="eastAsia" w:ascii="宋体" w:hAnsi="宋体" w:eastAsia="宋体" w:cs="宋体"/>
                <w:bCs/>
                <w:sz w:val="24"/>
                <w:szCs w:val="24"/>
              </w:rPr>
            </w:pPr>
            <w:r>
              <w:rPr>
                <w:rFonts w:hint="eastAsia" w:ascii="宋体" w:hAnsi="宋体" w:eastAsia="宋体" w:cs="宋体"/>
                <w:bCs/>
                <w:sz w:val="24"/>
                <w:szCs w:val="24"/>
              </w:rPr>
              <w:t>186</w:t>
            </w:r>
          </w:p>
        </w:tc>
        <w:tc>
          <w:tcPr>
            <w:tcW w:w="735" w:type="pct"/>
            <w:noWrap w:val="0"/>
            <w:vAlign w:val="top"/>
          </w:tcPr>
          <w:p w14:paraId="11634DBE">
            <w:pPr>
              <w:jc w:val="center"/>
              <w:rPr>
                <w:rFonts w:hint="eastAsia" w:ascii="宋体" w:hAnsi="宋体" w:eastAsia="宋体" w:cs="宋体"/>
                <w:bCs/>
                <w:sz w:val="24"/>
                <w:szCs w:val="24"/>
              </w:rPr>
            </w:pPr>
          </w:p>
        </w:tc>
      </w:tr>
      <w:tr w14:paraId="45C38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Merge w:val="continue"/>
            <w:noWrap w:val="0"/>
            <w:vAlign w:val="top"/>
          </w:tcPr>
          <w:p w14:paraId="16BD3F88">
            <w:pPr>
              <w:jc w:val="center"/>
              <w:rPr>
                <w:rFonts w:hint="eastAsia" w:ascii="宋体" w:hAnsi="宋体" w:eastAsia="宋体" w:cs="宋体"/>
                <w:bCs/>
                <w:sz w:val="24"/>
                <w:szCs w:val="24"/>
              </w:rPr>
            </w:pPr>
          </w:p>
        </w:tc>
        <w:tc>
          <w:tcPr>
            <w:tcW w:w="1028" w:type="pct"/>
            <w:noWrap w:val="0"/>
            <w:vAlign w:val="top"/>
          </w:tcPr>
          <w:p w14:paraId="04794BF0">
            <w:pPr>
              <w:jc w:val="center"/>
              <w:rPr>
                <w:rFonts w:hint="eastAsia" w:ascii="宋体" w:hAnsi="宋体" w:eastAsia="宋体" w:cs="宋体"/>
                <w:bCs/>
                <w:sz w:val="24"/>
                <w:szCs w:val="24"/>
              </w:rPr>
            </w:pPr>
            <w:r>
              <w:rPr>
                <w:rFonts w:hint="eastAsia" w:ascii="宋体" w:hAnsi="宋体" w:eastAsia="宋体" w:cs="宋体"/>
                <w:bCs/>
                <w:sz w:val="24"/>
                <w:szCs w:val="24"/>
              </w:rPr>
              <w:t>金丝批</w:t>
            </w:r>
          </w:p>
        </w:tc>
        <w:tc>
          <w:tcPr>
            <w:tcW w:w="735" w:type="pct"/>
            <w:noWrap w:val="0"/>
            <w:vAlign w:val="top"/>
          </w:tcPr>
          <w:p w14:paraId="5F3E9216">
            <w:pPr>
              <w:jc w:val="center"/>
              <w:rPr>
                <w:rFonts w:hint="eastAsia" w:ascii="宋体" w:hAnsi="宋体" w:eastAsia="宋体" w:cs="宋体"/>
                <w:bCs/>
                <w:sz w:val="24"/>
                <w:szCs w:val="24"/>
              </w:rPr>
            </w:pPr>
            <w:r>
              <w:rPr>
                <w:rFonts w:hint="eastAsia" w:ascii="宋体" w:hAnsi="宋体" w:eastAsia="宋体" w:cs="宋体"/>
                <w:bCs/>
                <w:sz w:val="24"/>
                <w:szCs w:val="24"/>
              </w:rPr>
              <w:t>45-50</w:t>
            </w:r>
          </w:p>
        </w:tc>
        <w:tc>
          <w:tcPr>
            <w:tcW w:w="735" w:type="pct"/>
            <w:noWrap w:val="0"/>
            <w:vAlign w:val="top"/>
          </w:tcPr>
          <w:p w14:paraId="1ADD9FA0">
            <w:pPr>
              <w:jc w:val="center"/>
              <w:rPr>
                <w:rFonts w:hint="eastAsia" w:ascii="宋体" w:hAnsi="宋体" w:eastAsia="宋体" w:cs="宋体"/>
                <w:bCs/>
                <w:sz w:val="24"/>
                <w:szCs w:val="24"/>
              </w:rPr>
            </w:pPr>
            <w:r>
              <w:rPr>
                <w:rFonts w:hint="eastAsia" w:ascii="宋体" w:hAnsi="宋体" w:eastAsia="宋体" w:cs="宋体"/>
                <w:bCs/>
                <w:sz w:val="24"/>
                <w:szCs w:val="24"/>
              </w:rPr>
              <w:t>35-40</w:t>
            </w:r>
          </w:p>
        </w:tc>
        <w:tc>
          <w:tcPr>
            <w:tcW w:w="588" w:type="pct"/>
            <w:noWrap w:val="0"/>
            <w:vAlign w:val="top"/>
          </w:tcPr>
          <w:p w14:paraId="1074A6DC">
            <w:pPr>
              <w:jc w:val="center"/>
              <w:rPr>
                <w:rFonts w:hint="eastAsia" w:ascii="宋体" w:hAnsi="宋体" w:eastAsia="宋体" w:cs="宋体"/>
                <w:bCs/>
                <w:sz w:val="24"/>
                <w:szCs w:val="24"/>
              </w:rPr>
            </w:pPr>
            <w:r>
              <w:rPr>
                <w:rFonts w:hint="eastAsia" w:ascii="宋体" w:hAnsi="宋体" w:eastAsia="宋体" w:cs="宋体"/>
                <w:bCs/>
                <w:sz w:val="24"/>
                <w:szCs w:val="24"/>
              </w:rPr>
              <w:t>株</w:t>
            </w:r>
          </w:p>
        </w:tc>
        <w:tc>
          <w:tcPr>
            <w:tcW w:w="442" w:type="pct"/>
            <w:noWrap w:val="0"/>
            <w:vAlign w:val="top"/>
          </w:tcPr>
          <w:p w14:paraId="1DCB533C">
            <w:pPr>
              <w:jc w:val="center"/>
              <w:rPr>
                <w:rFonts w:hint="eastAsia" w:ascii="宋体" w:hAnsi="宋体" w:eastAsia="宋体" w:cs="宋体"/>
                <w:bCs/>
                <w:sz w:val="24"/>
                <w:szCs w:val="24"/>
              </w:rPr>
            </w:pPr>
            <w:r>
              <w:rPr>
                <w:rFonts w:hint="eastAsia" w:ascii="宋体" w:hAnsi="宋体" w:eastAsia="宋体" w:cs="宋体"/>
                <w:bCs/>
                <w:sz w:val="24"/>
                <w:szCs w:val="24"/>
              </w:rPr>
              <w:t>159</w:t>
            </w:r>
          </w:p>
        </w:tc>
        <w:tc>
          <w:tcPr>
            <w:tcW w:w="735" w:type="pct"/>
            <w:noWrap w:val="0"/>
            <w:vAlign w:val="top"/>
          </w:tcPr>
          <w:p w14:paraId="63B2229E">
            <w:pPr>
              <w:jc w:val="center"/>
              <w:rPr>
                <w:rFonts w:hint="eastAsia" w:ascii="宋体" w:hAnsi="宋体" w:eastAsia="宋体" w:cs="宋体"/>
                <w:bCs/>
                <w:sz w:val="24"/>
                <w:szCs w:val="24"/>
              </w:rPr>
            </w:pPr>
          </w:p>
        </w:tc>
      </w:tr>
      <w:tr w14:paraId="4D7E1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Merge w:val="continue"/>
            <w:noWrap w:val="0"/>
            <w:vAlign w:val="top"/>
          </w:tcPr>
          <w:p w14:paraId="22EC3C53">
            <w:pPr>
              <w:jc w:val="center"/>
              <w:rPr>
                <w:rFonts w:hint="eastAsia" w:ascii="宋体" w:hAnsi="宋体" w:eastAsia="宋体" w:cs="宋体"/>
                <w:bCs/>
                <w:sz w:val="24"/>
                <w:szCs w:val="24"/>
              </w:rPr>
            </w:pPr>
          </w:p>
        </w:tc>
        <w:tc>
          <w:tcPr>
            <w:tcW w:w="1028" w:type="pct"/>
            <w:noWrap w:val="0"/>
            <w:vAlign w:val="top"/>
          </w:tcPr>
          <w:p w14:paraId="2B5D7D39">
            <w:pPr>
              <w:jc w:val="center"/>
              <w:rPr>
                <w:rFonts w:hint="eastAsia" w:ascii="宋体" w:hAnsi="宋体" w:eastAsia="宋体" w:cs="宋体"/>
                <w:bCs/>
                <w:sz w:val="24"/>
                <w:szCs w:val="24"/>
              </w:rPr>
            </w:pPr>
            <w:r>
              <w:rPr>
                <w:rFonts w:hint="eastAsia" w:ascii="宋体" w:hAnsi="宋体" w:eastAsia="宋体" w:cs="宋体"/>
                <w:bCs/>
                <w:sz w:val="24"/>
                <w:szCs w:val="24"/>
              </w:rPr>
              <w:t>毛杜鹃</w:t>
            </w:r>
          </w:p>
        </w:tc>
        <w:tc>
          <w:tcPr>
            <w:tcW w:w="735" w:type="pct"/>
            <w:noWrap w:val="0"/>
            <w:vAlign w:val="top"/>
          </w:tcPr>
          <w:p w14:paraId="69E06734">
            <w:pPr>
              <w:jc w:val="center"/>
              <w:rPr>
                <w:rFonts w:hint="eastAsia" w:ascii="宋体" w:hAnsi="宋体" w:eastAsia="宋体" w:cs="宋体"/>
                <w:bCs/>
                <w:sz w:val="24"/>
                <w:szCs w:val="24"/>
              </w:rPr>
            </w:pPr>
            <w:r>
              <w:rPr>
                <w:rFonts w:hint="eastAsia" w:ascii="宋体" w:hAnsi="宋体" w:eastAsia="宋体" w:cs="宋体"/>
                <w:bCs/>
                <w:sz w:val="24"/>
                <w:szCs w:val="24"/>
              </w:rPr>
              <w:t>25-30</w:t>
            </w:r>
          </w:p>
        </w:tc>
        <w:tc>
          <w:tcPr>
            <w:tcW w:w="735" w:type="pct"/>
            <w:noWrap w:val="0"/>
            <w:vAlign w:val="top"/>
          </w:tcPr>
          <w:p w14:paraId="0A70BD16">
            <w:pPr>
              <w:jc w:val="center"/>
              <w:rPr>
                <w:rFonts w:hint="eastAsia" w:ascii="宋体" w:hAnsi="宋体" w:eastAsia="宋体" w:cs="宋体"/>
                <w:bCs/>
                <w:sz w:val="24"/>
                <w:szCs w:val="24"/>
              </w:rPr>
            </w:pPr>
            <w:r>
              <w:rPr>
                <w:rFonts w:hint="eastAsia" w:ascii="宋体" w:hAnsi="宋体" w:eastAsia="宋体" w:cs="宋体"/>
                <w:bCs/>
                <w:sz w:val="24"/>
                <w:szCs w:val="24"/>
              </w:rPr>
              <w:t>20-25</w:t>
            </w:r>
          </w:p>
        </w:tc>
        <w:tc>
          <w:tcPr>
            <w:tcW w:w="588" w:type="pct"/>
            <w:noWrap w:val="0"/>
            <w:vAlign w:val="top"/>
          </w:tcPr>
          <w:p w14:paraId="24542262">
            <w:pPr>
              <w:jc w:val="center"/>
              <w:rPr>
                <w:rFonts w:hint="eastAsia" w:ascii="宋体" w:hAnsi="宋体" w:eastAsia="宋体" w:cs="宋体"/>
                <w:bCs/>
                <w:sz w:val="24"/>
                <w:szCs w:val="24"/>
              </w:rPr>
            </w:pPr>
            <w:r>
              <w:rPr>
                <w:rFonts w:hint="eastAsia" w:ascii="宋体" w:hAnsi="宋体" w:eastAsia="宋体" w:cs="宋体"/>
                <w:bCs/>
                <w:sz w:val="24"/>
                <w:szCs w:val="24"/>
              </w:rPr>
              <w:t>株</w:t>
            </w:r>
          </w:p>
        </w:tc>
        <w:tc>
          <w:tcPr>
            <w:tcW w:w="442" w:type="pct"/>
            <w:noWrap w:val="0"/>
            <w:vAlign w:val="top"/>
          </w:tcPr>
          <w:p w14:paraId="3FF8B2D6">
            <w:pPr>
              <w:jc w:val="center"/>
              <w:rPr>
                <w:rFonts w:hint="eastAsia" w:ascii="宋体" w:hAnsi="宋体" w:eastAsia="宋体" w:cs="宋体"/>
                <w:bCs/>
                <w:sz w:val="24"/>
                <w:szCs w:val="24"/>
              </w:rPr>
            </w:pPr>
            <w:r>
              <w:rPr>
                <w:rFonts w:hint="eastAsia" w:ascii="宋体" w:hAnsi="宋体" w:eastAsia="宋体" w:cs="宋体"/>
                <w:bCs/>
                <w:sz w:val="24"/>
                <w:szCs w:val="24"/>
              </w:rPr>
              <w:t>145</w:t>
            </w:r>
          </w:p>
        </w:tc>
        <w:tc>
          <w:tcPr>
            <w:tcW w:w="735" w:type="pct"/>
            <w:noWrap w:val="0"/>
            <w:vAlign w:val="top"/>
          </w:tcPr>
          <w:p w14:paraId="3A17B1F9">
            <w:pPr>
              <w:jc w:val="center"/>
              <w:rPr>
                <w:rFonts w:hint="eastAsia" w:ascii="宋体" w:hAnsi="宋体" w:eastAsia="宋体" w:cs="宋体"/>
                <w:bCs/>
                <w:sz w:val="24"/>
                <w:szCs w:val="24"/>
              </w:rPr>
            </w:pPr>
          </w:p>
        </w:tc>
      </w:tr>
      <w:tr w14:paraId="6A5EF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Merge w:val="continue"/>
            <w:noWrap w:val="0"/>
            <w:vAlign w:val="top"/>
          </w:tcPr>
          <w:p w14:paraId="343B01CB">
            <w:pPr>
              <w:jc w:val="center"/>
              <w:rPr>
                <w:rFonts w:hint="eastAsia" w:ascii="宋体" w:hAnsi="宋体" w:eastAsia="宋体" w:cs="宋体"/>
                <w:bCs/>
                <w:sz w:val="24"/>
                <w:szCs w:val="24"/>
              </w:rPr>
            </w:pPr>
          </w:p>
        </w:tc>
        <w:tc>
          <w:tcPr>
            <w:tcW w:w="1028" w:type="pct"/>
            <w:noWrap w:val="0"/>
            <w:vAlign w:val="top"/>
          </w:tcPr>
          <w:p w14:paraId="2B6EE2FB">
            <w:pPr>
              <w:jc w:val="center"/>
              <w:rPr>
                <w:rFonts w:hint="eastAsia" w:ascii="宋体" w:hAnsi="宋体" w:eastAsia="宋体" w:cs="宋体"/>
                <w:bCs/>
                <w:sz w:val="24"/>
                <w:szCs w:val="24"/>
              </w:rPr>
            </w:pPr>
            <w:r>
              <w:rPr>
                <w:rFonts w:hint="eastAsia" w:ascii="宋体" w:hAnsi="宋体" w:eastAsia="宋体" w:cs="宋体"/>
                <w:bCs/>
                <w:sz w:val="24"/>
                <w:szCs w:val="24"/>
              </w:rPr>
              <w:t>阔叶麦冬</w:t>
            </w:r>
          </w:p>
        </w:tc>
        <w:tc>
          <w:tcPr>
            <w:tcW w:w="735" w:type="pct"/>
            <w:noWrap w:val="0"/>
            <w:vAlign w:val="top"/>
          </w:tcPr>
          <w:p w14:paraId="60F27452">
            <w:pPr>
              <w:jc w:val="center"/>
              <w:rPr>
                <w:rFonts w:hint="eastAsia" w:ascii="宋体" w:hAnsi="宋体" w:eastAsia="宋体" w:cs="宋体"/>
                <w:bCs/>
                <w:sz w:val="24"/>
                <w:szCs w:val="24"/>
              </w:rPr>
            </w:pPr>
            <w:r>
              <w:rPr>
                <w:rFonts w:hint="eastAsia" w:ascii="宋体" w:hAnsi="宋体" w:eastAsia="宋体" w:cs="宋体"/>
                <w:bCs/>
                <w:sz w:val="24"/>
                <w:szCs w:val="24"/>
              </w:rPr>
              <w:t>15-20</w:t>
            </w:r>
          </w:p>
        </w:tc>
        <w:tc>
          <w:tcPr>
            <w:tcW w:w="735" w:type="pct"/>
            <w:noWrap w:val="0"/>
            <w:vAlign w:val="top"/>
          </w:tcPr>
          <w:p w14:paraId="093B31E4">
            <w:pPr>
              <w:jc w:val="center"/>
              <w:rPr>
                <w:rFonts w:hint="eastAsia" w:ascii="宋体" w:hAnsi="宋体" w:eastAsia="宋体" w:cs="宋体"/>
                <w:bCs/>
                <w:sz w:val="24"/>
                <w:szCs w:val="24"/>
              </w:rPr>
            </w:pPr>
            <w:r>
              <w:rPr>
                <w:rFonts w:hint="eastAsia" w:ascii="宋体" w:hAnsi="宋体" w:eastAsia="宋体" w:cs="宋体"/>
                <w:bCs/>
                <w:sz w:val="24"/>
                <w:szCs w:val="24"/>
              </w:rPr>
              <w:t>15-20</w:t>
            </w:r>
          </w:p>
        </w:tc>
        <w:tc>
          <w:tcPr>
            <w:tcW w:w="588" w:type="pct"/>
            <w:noWrap w:val="0"/>
            <w:vAlign w:val="top"/>
          </w:tcPr>
          <w:p w14:paraId="7EF24F71">
            <w:pPr>
              <w:jc w:val="center"/>
              <w:rPr>
                <w:rFonts w:hint="eastAsia" w:ascii="宋体" w:hAnsi="宋体" w:eastAsia="宋体" w:cs="宋体"/>
                <w:bCs/>
                <w:sz w:val="24"/>
                <w:szCs w:val="24"/>
              </w:rPr>
            </w:pPr>
            <w:r>
              <w:rPr>
                <w:rFonts w:hint="eastAsia" w:ascii="宋体" w:hAnsi="宋体" w:eastAsia="宋体" w:cs="宋体"/>
                <w:bCs/>
                <w:sz w:val="24"/>
                <w:szCs w:val="24"/>
              </w:rPr>
              <w:t>株</w:t>
            </w:r>
          </w:p>
        </w:tc>
        <w:tc>
          <w:tcPr>
            <w:tcW w:w="442" w:type="pct"/>
            <w:noWrap w:val="0"/>
            <w:vAlign w:val="top"/>
          </w:tcPr>
          <w:p w14:paraId="652CFD61">
            <w:pPr>
              <w:jc w:val="center"/>
              <w:rPr>
                <w:rFonts w:hint="eastAsia" w:ascii="宋体" w:hAnsi="宋体" w:eastAsia="宋体" w:cs="宋体"/>
                <w:bCs/>
                <w:sz w:val="24"/>
                <w:szCs w:val="24"/>
              </w:rPr>
            </w:pPr>
            <w:r>
              <w:rPr>
                <w:rFonts w:hint="eastAsia" w:ascii="宋体" w:hAnsi="宋体" w:eastAsia="宋体" w:cs="宋体"/>
                <w:bCs/>
                <w:sz w:val="24"/>
                <w:szCs w:val="24"/>
              </w:rPr>
              <w:t>185</w:t>
            </w:r>
          </w:p>
        </w:tc>
        <w:tc>
          <w:tcPr>
            <w:tcW w:w="735" w:type="pct"/>
            <w:noWrap w:val="0"/>
            <w:vAlign w:val="top"/>
          </w:tcPr>
          <w:p w14:paraId="0AF0BDC8">
            <w:pPr>
              <w:jc w:val="center"/>
              <w:rPr>
                <w:rFonts w:hint="eastAsia" w:ascii="宋体" w:hAnsi="宋体" w:eastAsia="宋体" w:cs="宋体"/>
                <w:bCs/>
                <w:sz w:val="24"/>
                <w:szCs w:val="24"/>
              </w:rPr>
            </w:pPr>
          </w:p>
        </w:tc>
      </w:tr>
      <w:tr w14:paraId="58426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Merge w:val="continue"/>
            <w:noWrap w:val="0"/>
            <w:vAlign w:val="top"/>
          </w:tcPr>
          <w:p w14:paraId="70421A0A">
            <w:pPr>
              <w:jc w:val="center"/>
              <w:rPr>
                <w:rFonts w:hint="eastAsia" w:ascii="宋体" w:hAnsi="宋体" w:eastAsia="宋体" w:cs="宋体"/>
                <w:bCs/>
                <w:sz w:val="24"/>
                <w:szCs w:val="24"/>
              </w:rPr>
            </w:pPr>
          </w:p>
        </w:tc>
        <w:tc>
          <w:tcPr>
            <w:tcW w:w="1028" w:type="pct"/>
            <w:noWrap w:val="0"/>
            <w:vAlign w:val="top"/>
          </w:tcPr>
          <w:p w14:paraId="20988BBB">
            <w:pPr>
              <w:jc w:val="center"/>
              <w:rPr>
                <w:rFonts w:hint="eastAsia" w:ascii="宋体" w:hAnsi="宋体" w:eastAsia="宋体" w:cs="宋体"/>
                <w:bCs/>
                <w:sz w:val="24"/>
                <w:szCs w:val="24"/>
              </w:rPr>
            </w:pPr>
            <w:r>
              <w:rPr>
                <w:rFonts w:hint="eastAsia" w:ascii="宋体" w:hAnsi="宋体" w:eastAsia="宋体" w:cs="宋体"/>
                <w:bCs/>
                <w:sz w:val="24"/>
                <w:szCs w:val="24"/>
              </w:rPr>
              <w:t>大花萱草</w:t>
            </w:r>
          </w:p>
        </w:tc>
        <w:tc>
          <w:tcPr>
            <w:tcW w:w="735" w:type="pct"/>
            <w:noWrap w:val="0"/>
            <w:vAlign w:val="top"/>
          </w:tcPr>
          <w:p w14:paraId="0139D98E">
            <w:pPr>
              <w:jc w:val="center"/>
              <w:rPr>
                <w:rFonts w:hint="eastAsia" w:ascii="宋体" w:hAnsi="宋体" w:eastAsia="宋体" w:cs="宋体"/>
                <w:bCs/>
                <w:sz w:val="24"/>
                <w:szCs w:val="24"/>
              </w:rPr>
            </w:pPr>
            <w:r>
              <w:rPr>
                <w:rFonts w:hint="eastAsia" w:ascii="宋体" w:hAnsi="宋体" w:eastAsia="宋体" w:cs="宋体"/>
                <w:bCs/>
                <w:sz w:val="24"/>
                <w:szCs w:val="24"/>
              </w:rPr>
              <w:t>30-40</w:t>
            </w:r>
          </w:p>
        </w:tc>
        <w:tc>
          <w:tcPr>
            <w:tcW w:w="735" w:type="pct"/>
            <w:noWrap w:val="0"/>
            <w:vAlign w:val="top"/>
          </w:tcPr>
          <w:p w14:paraId="014ABC39">
            <w:pPr>
              <w:jc w:val="center"/>
              <w:rPr>
                <w:rFonts w:hint="eastAsia" w:ascii="宋体" w:hAnsi="宋体" w:eastAsia="宋体" w:cs="宋体"/>
                <w:bCs/>
                <w:sz w:val="24"/>
                <w:szCs w:val="24"/>
              </w:rPr>
            </w:pPr>
            <w:r>
              <w:rPr>
                <w:rFonts w:hint="eastAsia" w:ascii="宋体" w:hAnsi="宋体" w:eastAsia="宋体" w:cs="宋体"/>
                <w:bCs/>
                <w:sz w:val="24"/>
                <w:szCs w:val="24"/>
              </w:rPr>
              <w:t>15-20</w:t>
            </w:r>
          </w:p>
        </w:tc>
        <w:tc>
          <w:tcPr>
            <w:tcW w:w="588" w:type="pct"/>
            <w:noWrap w:val="0"/>
            <w:vAlign w:val="top"/>
          </w:tcPr>
          <w:p w14:paraId="3B2B4A1F">
            <w:pPr>
              <w:jc w:val="center"/>
              <w:rPr>
                <w:rFonts w:hint="eastAsia" w:ascii="宋体" w:hAnsi="宋体" w:eastAsia="宋体" w:cs="宋体"/>
                <w:bCs/>
                <w:sz w:val="24"/>
                <w:szCs w:val="24"/>
              </w:rPr>
            </w:pPr>
            <w:r>
              <w:rPr>
                <w:rFonts w:hint="eastAsia" w:ascii="宋体" w:hAnsi="宋体" w:eastAsia="宋体" w:cs="宋体"/>
                <w:bCs/>
                <w:sz w:val="24"/>
                <w:szCs w:val="24"/>
              </w:rPr>
              <w:t>株</w:t>
            </w:r>
          </w:p>
        </w:tc>
        <w:tc>
          <w:tcPr>
            <w:tcW w:w="442" w:type="pct"/>
            <w:noWrap w:val="0"/>
            <w:vAlign w:val="top"/>
          </w:tcPr>
          <w:p w14:paraId="14459457">
            <w:pPr>
              <w:jc w:val="center"/>
              <w:rPr>
                <w:rFonts w:hint="eastAsia" w:ascii="宋体" w:hAnsi="宋体" w:eastAsia="宋体" w:cs="宋体"/>
                <w:bCs/>
                <w:sz w:val="24"/>
                <w:szCs w:val="24"/>
              </w:rPr>
            </w:pPr>
            <w:r>
              <w:rPr>
                <w:rFonts w:hint="eastAsia" w:ascii="宋体" w:hAnsi="宋体" w:eastAsia="宋体" w:cs="宋体"/>
                <w:bCs/>
                <w:sz w:val="24"/>
                <w:szCs w:val="24"/>
              </w:rPr>
              <w:t>400</w:t>
            </w:r>
          </w:p>
        </w:tc>
        <w:tc>
          <w:tcPr>
            <w:tcW w:w="735" w:type="pct"/>
            <w:noWrap w:val="0"/>
            <w:vAlign w:val="top"/>
          </w:tcPr>
          <w:p w14:paraId="70C1A791">
            <w:pPr>
              <w:jc w:val="center"/>
              <w:rPr>
                <w:rFonts w:hint="eastAsia" w:ascii="宋体" w:hAnsi="宋体" w:eastAsia="宋体" w:cs="宋体"/>
                <w:bCs/>
                <w:sz w:val="24"/>
                <w:szCs w:val="24"/>
              </w:rPr>
            </w:pPr>
          </w:p>
        </w:tc>
      </w:tr>
      <w:tr w14:paraId="1F623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Merge w:val="continue"/>
            <w:noWrap w:val="0"/>
            <w:vAlign w:val="top"/>
          </w:tcPr>
          <w:p w14:paraId="76FEE753">
            <w:pPr>
              <w:jc w:val="center"/>
              <w:rPr>
                <w:rFonts w:hint="eastAsia" w:ascii="宋体" w:hAnsi="宋体" w:eastAsia="宋体" w:cs="宋体"/>
                <w:bCs/>
                <w:sz w:val="24"/>
                <w:szCs w:val="24"/>
              </w:rPr>
            </w:pPr>
          </w:p>
        </w:tc>
        <w:tc>
          <w:tcPr>
            <w:tcW w:w="1028" w:type="pct"/>
            <w:noWrap w:val="0"/>
            <w:vAlign w:val="top"/>
          </w:tcPr>
          <w:p w14:paraId="798AEE6C">
            <w:pPr>
              <w:jc w:val="center"/>
              <w:rPr>
                <w:rFonts w:hint="eastAsia" w:ascii="宋体" w:hAnsi="宋体" w:eastAsia="宋体" w:cs="宋体"/>
                <w:bCs/>
                <w:sz w:val="24"/>
                <w:szCs w:val="24"/>
              </w:rPr>
            </w:pPr>
            <w:r>
              <w:rPr>
                <w:rFonts w:hint="eastAsia" w:ascii="宋体" w:hAnsi="宋体" w:eastAsia="宋体" w:cs="宋体"/>
                <w:bCs/>
                <w:sz w:val="24"/>
                <w:szCs w:val="24"/>
              </w:rPr>
              <w:t>风雨兰</w:t>
            </w:r>
          </w:p>
        </w:tc>
        <w:tc>
          <w:tcPr>
            <w:tcW w:w="735" w:type="pct"/>
            <w:noWrap w:val="0"/>
            <w:vAlign w:val="top"/>
          </w:tcPr>
          <w:p w14:paraId="2714DA73">
            <w:pPr>
              <w:jc w:val="center"/>
              <w:rPr>
                <w:rFonts w:hint="eastAsia" w:ascii="宋体" w:hAnsi="宋体" w:eastAsia="宋体" w:cs="宋体"/>
                <w:bCs/>
                <w:sz w:val="24"/>
                <w:szCs w:val="24"/>
              </w:rPr>
            </w:pPr>
            <w:r>
              <w:rPr>
                <w:rFonts w:hint="eastAsia" w:ascii="宋体" w:hAnsi="宋体" w:eastAsia="宋体" w:cs="宋体"/>
                <w:bCs/>
                <w:sz w:val="24"/>
                <w:szCs w:val="24"/>
              </w:rPr>
              <w:t>15-20</w:t>
            </w:r>
          </w:p>
        </w:tc>
        <w:tc>
          <w:tcPr>
            <w:tcW w:w="735" w:type="pct"/>
            <w:noWrap w:val="0"/>
            <w:vAlign w:val="top"/>
          </w:tcPr>
          <w:p w14:paraId="5BEAD59C">
            <w:pPr>
              <w:jc w:val="center"/>
              <w:rPr>
                <w:rFonts w:hint="eastAsia" w:ascii="宋体" w:hAnsi="宋体" w:eastAsia="宋体" w:cs="宋体"/>
                <w:bCs/>
                <w:sz w:val="24"/>
                <w:szCs w:val="24"/>
              </w:rPr>
            </w:pPr>
            <w:r>
              <w:rPr>
                <w:rFonts w:hint="eastAsia" w:ascii="宋体" w:hAnsi="宋体" w:eastAsia="宋体" w:cs="宋体"/>
                <w:bCs/>
                <w:sz w:val="24"/>
                <w:szCs w:val="24"/>
              </w:rPr>
              <w:t>10-15</w:t>
            </w:r>
          </w:p>
        </w:tc>
        <w:tc>
          <w:tcPr>
            <w:tcW w:w="588" w:type="pct"/>
            <w:noWrap w:val="0"/>
            <w:vAlign w:val="top"/>
          </w:tcPr>
          <w:p w14:paraId="73A4DBE6">
            <w:pPr>
              <w:jc w:val="center"/>
              <w:rPr>
                <w:rFonts w:hint="eastAsia" w:ascii="宋体" w:hAnsi="宋体" w:eastAsia="宋体" w:cs="宋体"/>
                <w:bCs/>
                <w:sz w:val="24"/>
                <w:szCs w:val="24"/>
              </w:rPr>
            </w:pPr>
            <w:r>
              <w:rPr>
                <w:rFonts w:hint="eastAsia" w:ascii="宋体" w:hAnsi="宋体" w:eastAsia="宋体" w:cs="宋体"/>
                <w:bCs/>
                <w:sz w:val="24"/>
                <w:szCs w:val="24"/>
              </w:rPr>
              <w:t>株</w:t>
            </w:r>
          </w:p>
        </w:tc>
        <w:tc>
          <w:tcPr>
            <w:tcW w:w="442" w:type="pct"/>
            <w:noWrap w:val="0"/>
            <w:vAlign w:val="top"/>
          </w:tcPr>
          <w:p w14:paraId="068C163C">
            <w:pPr>
              <w:jc w:val="center"/>
              <w:rPr>
                <w:rFonts w:hint="eastAsia" w:ascii="宋体" w:hAnsi="宋体" w:eastAsia="宋体" w:cs="宋体"/>
                <w:bCs/>
                <w:sz w:val="24"/>
                <w:szCs w:val="24"/>
              </w:rPr>
            </w:pPr>
            <w:r>
              <w:rPr>
                <w:rFonts w:hint="eastAsia" w:ascii="宋体" w:hAnsi="宋体" w:eastAsia="宋体" w:cs="宋体"/>
                <w:bCs/>
                <w:sz w:val="24"/>
                <w:szCs w:val="24"/>
              </w:rPr>
              <w:t>77</w:t>
            </w:r>
          </w:p>
        </w:tc>
        <w:tc>
          <w:tcPr>
            <w:tcW w:w="735" w:type="pct"/>
            <w:noWrap w:val="0"/>
            <w:vAlign w:val="top"/>
          </w:tcPr>
          <w:p w14:paraId="358474D2">
            <w:pPr>
              <w:jc w:val="center"/>
              <w:rPr>
                <w:rFonts w:hint="eastAsia" w:ascii="宋体" w:hAnsi="宋体" w:eastAsia="宋体" w:cs="宋体"/>
                <w:bCs/>
                <w:sz w:val="24"/>
                <w:szCs w:val="24"/>
              </w:rPr>
            </w:pPr>
          </w:p>
        </w:tc>
      </w:tr>
      <w:tr w14:paraId="4D1CA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Merge w:val="continue"/>
            <w:noWrap w:val="0"/>
            <w:vAlign w:val="top"/>
          </w:tcPr>
          <w:p w14:paraId="405FADFA">
            <w:pPr>
              <w:jc w:val="center"/>
              <w:rPr>
                <w:rFonts w:hint="eastAsia" w:ascii="宋体" w:hAnsi="宋体" w:eastAsia="宋体" w:cs="宋体"/>
                <w:bCs/>
                <w:sz w:val="24"/>
                <w:szCs w:val="24"/>
              </w:rPr>
            </w:pPr>
          </w:p>
        </w:tc>
        <w:tc>
          <w:tcPr>
            <w:tcW w:w="1028" w:type="pct"/>
            <w:noWrap w:val="0"/>
            <w:vAlign w:val="top"/>
          </w:tcPr>
          <w:p w14:paraId="38373F6D">
            <w:pPr>
              <w:jc w:val="center"/>
              <w:rPr>
                <w:rFonts w:hint="eastAsia" w:ascii="宋体" w:hAnsi="宋体" w:eastAsia="宋体" w:cs="宋体"/>
                <w:bCs/>
                <w:sz w:val="24"/>
                <w:szCs w:val="24"/>
              </w:rPr>
            </w:pPr>
            <w:r>
              <w:rPr>
                <w:rFonts w:hint="eastAsia" w:ascii="宋体" w:hAnsi="宋体" w:eastAsia="宋体" w:cs="宋体"/>
                <w:bCs/>
                <w:sz w:val="24"/>
                <w:szCs w:val="24"/>
              </w:rPr>
              <w:t>爱生百慕大</w:t>
            </w:r>
          </w:p>
        </w:tc>
        <w:tc>
          <w:tcPr>
            <w:tcW w:w="735" w:type="pct"/>
            <w:noWrap w:val="0"/>
            <w:vAlign w:val="top"/>
          </w:tcPr>
          <w:p w14:paraId="79B622E7">
            <w:pPr>
              <w:jc w:val="center"/>
              <w:rPr>
                <w:rFonts w:hint="eastAsia" w:ascii="宋体" w:hAnsi="宋体" w:eastAsia="宋体" w:cs="宋体"/>
                <w:bCs/>
                <w:sz w:val="24"/>
                <w:szCs w:val="24"/>
              </w:rPr>
            </w:pPr>
          </w:p>
        </w:tc>
        <w:tc>
          <w:tcPr>
            <w:tcW w:w="735" w:type="pct"/>
            <w:noWrap w:val="0"/>
            <w:vAlign w:val="top"/>
          </w:tcPr>
          <w:p w14:paraId="01F07979">
            <w:pPr>
              <w:jc w:val="center"/>
              <w:rPr>
                <w:rFonts w:hint="eastAsia" w:ascii="宋体" w:hAnsi="宋体" w:eastAsia="宋体" w:cs="宋体"/>
                <w:bCs/>
                <w:sz w:val="24"/>
                <w:szCs w:val="24"/>
              </w:rPr>
            </w:pPr>
          </w:p>
        </w:tc>
        <w:tc>
          <w:tcPr>
            <w:tcW w:w="588" w:type="pct"/>
            <w:noWrap w:val="0"/>
            <w:vAlign w:val="top"/>
          </w:tcPr>
          <w:p w14:paraId="401A4080">
            <w:pPr>
              <w:jc w:val="center"/>
              <w:rPr>
                <w:rFonts w:hint="eastAsia" w:ascii="宋体" w:hAnsi="宋体" w:eastAsia="宋体" w:cs="宋体"/>
                <w:bCs/>
                <w:sz w:val="24"/>
                <w:szCs w:val="24"/>
              </w:rPr>
            </w:pPr>
            <w:r>
              <w:rPr>
                <w:rFonts w:hint="eastAsia" w:ascii="宋体" w:hAnsi="宋体" w:eastAsia="宋体" w:cs="宋体"/>
                <w:bCs/>
                <w:sz w:val="24"/>
                <w:szCs w:val="24"/>
              </w:rPr>
              <w:t>株</w:t>
            </w:r>
          </w:p>
        </w:tc>
        <w:tc>
          <w:tcPr>
            <w:tcW w:w="442" w:type="pct"/>
            <w:noWrap w:val="0"/>
            <w:vAlign w:val="top"/>
          </w:tcPr>
          <w:p w14:paraId="6B30EEF8">
            <w:pPr>
              <w:jc w:val="center"/>
              <w:rPr>
                <w:rFonts w:hint="eastAsia" w:ascii="宋体" w:hAnsi="宋体" w:eastAsia="宋体" w:cs="宋体"/>
                <w:bCs/>
                <w:sz w:val="24"/>
                <w:szCs w:val="24"/>
              </w:rPr>
            </w:pPr>
            <w:r>
              <w:rPr>
                <w:rFonts w:hint="eastAsia" w:ascii="宋体" w:hAnsi="宋体" w:eastAsia="宋体" w:cs="宋体"/>
                <w:bCs/>
                <w:sz w:val="24"/>
                <w:szCs w:val="24"/>
              </w:rPr>
              <w:t>750</w:t>
            </w:r>
          </w:p>
        </w:tc>
        <w:tc>
          <w:tcPr>
            <w:tcW w:w="735" w:type="pct"/>
            <w:noWrap w:val="0"/>
            <w:vAlign w:val="top"/>
          </w:tcPr>
          <w:p w14:paraId="6A51DDB4">
            <w:pPr>
              <w:jc w:val="center"/>
              <w:rPr>
                <w:rFonts w:hint="eastAsia" w:ascii="宋体" w:hAnsi="宋体" w:eastAsia="宋体" w:cs="宋体"/>
                <w:bCs/>
                <w:sz w:val="24"/>
                <w:szCs w:val="24"/>
              </w:rPr>
            </w:pPr>
          </w:p>
        </w:tc>
      </w:tr>
      <w:tr w14:paraId="20C00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Merge w:val="continue"/>
            <w:noWrap w:val="0"/>
            <w:vAlign w:val="top"/>
          </w:tcPr>
          <w:p w14:paraId="42BE39CB">
            <w:pPr>
              <w:jc w:val="center"/>
              <w:rPr>
                <w:rFonts w:hint="eastAsia" w:ascii="宋体" w:hAnsi="宋体" w:eastAsia="宋体" w:cs="宋体"/>
                <w:bCs/>
                <w:sz w:val="24"/>
                <w:szCs w:val="24"/>
              </w:rPr>
            </w:pPr>
          </w:p>
        </w:tc>
        <w:tc>
          <w:tcPr>
            <w:tcW w:w="1028" w:type="pct"/>
            <w:noWrap w:val="0"/>
            <w:vAlign w:val="top"/>
          </w:tcPr>
          <w:p w14:paraId="323AAE03">
            <w:pPr>
              <w:jc w:val="center"/>
              <w:rPr>
                <w:rFonts w:hint="eastAsia" w:ascii="宋体" w:hAnsi="宋体" w:eastAsia="宋体" w:cs="宋体"/>
                <w:bCs/>
                <w:sz w:val="24"/>
                <w:szCs w:val="24"/>
              </w:rPr>
            </w:pPr>
            <w:r>
              <w:rPr>
                <w:rFonts w:hint="eastAsia" w:ascii="宋体" w:hAnsi="宋体" w:eastAsia="宋体" w:cs="宋体"/>
                <w:bCs/>
                <w:sz w:val="24"/>
                <w:szCs w:val="24"/>
              </w:rPr>
              <w:t>细叶麦冬</w:t>
            </w:r>
          </w:p>
        </w:tc>
        <w:tc>
          <w:tcPr>
            <w:tcW w:w="735" w:type="pct"/>
            <w:noWrap w:val="0"/>
            <w:vAlign w:val="top"/>
          </w:tcPr>
          <w:p w14:paraId="54E4FBD3">
            <w:pPr>
              <w:jc w:val="center"/>
              <w:rPr>
                <w:rFonts w:hint="eastAsia" w:ascii="宋体" w:hAnsi="宋体" w:eastAsia="宋体" w:cs="宋体"/>
                <w:bCs/>
                <w:sz w:val="24"/>
                <w:szCs w:val="24"/>
              </w:rPr>
            </w:pPr>
            <w:r>
              <w:rPr>
                <w:rFonts w:hint="eastAsia" w:ascii="宋体" w:hAnsi="宋体" w:eastAsia="宋体" w:cs="宋体"/>
                <w:bCs/>
                <w:sz w:val="24"/>
                <w:szCs w:val="24"/>
              </w:rPr>
              <w:t>15</w:t>
            </w:r>
          </w:p>
        </w:tc>
        <w:tc>
          <w:tcPr>
            <w:tcW w:w="735" w:type="pct"/>
            <w:noWrap w:val="0"/>
            <w:vAlign w:val="top"/>
          </w:tcPr>
          <w:p w14:paraId="20A4269B">
            <w:pPr>
              <w:jc w:val="center"/>
              <w:rPr>
                <w:rFonts w:hint="eastAsia" w:ascii="宋体" w:hAnsi="宋体" w:eastAsia="宋体" w:cs="宋体"/>
                <w:bCs/>
                <w:sz w:val="24"/>
                <w:szCs w:val="24"/>
              </w:rPr>
            </w:pPr>
            <w:r>
              <w:rPr>
                <w:rFonts w:hint="eastAsia" w:ascii="宋体" w:hAnsi="宋体" w:eastAsia="宋体" w:cs="宋体"/>
                <w:bCs/>
                <w:sz w:val="24"/>
                <w:szCs w:val="24"/>
              </w:rPr>
              <w:t>15</w:t>
            </w:r>
          </w:p>
        </w:tc>
        <w:tc>
          <w:tcPr>
            <w:tcW w:w="588" w:type="pct"/>
            <w:noWrap w:val="0"/>
            <w:vAlign w:val="top"/>
          </w:tcPr>
          <w:p w14:paraId="48FFB40D">
            <w:pPr>
              <w:jc w:val="center"/>
              <w:rPr>
                <w:rFonts w:hint="eastAsia" w:ascii="宋体" w:hAnsi="宋体" w:eastAsia="宋体" w:cs="宋体"/>
                <w:bCs/>
                <w:sz w:val="24"/>
                <w:szCs w:val="24"/>
              </w:rPr>
            </w:pPr>
            <w:r>
              <w:rPr>
                <w:rFonts w:hint="eastAsia" w:ascii="宋体" w:hAnsi="宋体" w:eastAsia="宋体" w:cs="宋体"/>
                <w:bCs/>
                <w:sz w:val="24"/>
                <w:szCs w:val="24"/>
              </w:rPr>
              <w:t>株</w:t>
            </w:r>
          </w:p>
        </w:tc>
        <w:tc>
          <w:tcPr>
            <w:tcW w:w="442" w:type="pct"/>
            <w:noWrap w:val="0"/>
            <w:vAlign w:val="top"/>
          </w:tcPr>
          <w:p w14:paraId="52BBA6D1">
            <w:pPr>
              <w:jc w:val="center"/>
              <w:rPr>
                <w:rFonts w:hint="eastAsia" w:ascii="宋体" w:hAnsi="宋体" w:eastAsia="宋体" w:cs="宋体"/>
                <w:bCs/>
                <w:sz w:val="24"/>
                <w:szCs w:val="24"/>
              </w:rPr>
            </w:pPr>
            <w:r>
              <w:rPr>
                <w:rFonts w:hint="eastAsia" w:ascii="宋体" w:hAnsi="宋体" w:eastAsia="宋体" w:cs="宋体"/>
                <w:bCs/>
                <w:sz w:val="24"/>
                <w:szCs w:val="24"/>
              </w:rPr>
              <w:t>165</w:t>
            </w:r>
          </w:p>
        </w:tc>
        <w:tc>
          <w:tcPr>
            <w:tcW w:w="735" w:type="pct"/>
            <w:noWrap w:val="0"/>
            <w:vAlign w:val="top"/>
          </w:tcPr>
          <w:p w14:paraId="18588CD8">
            <w:pPr>
              <w:jc w:val="center"/>
              <w:rPr>
                <w:rFonts w:hint="eastAsia" w:ascii="宋体" w:hAnsi="宋体" w:eastAsia="宋体" w:cs="宋体"/>
                <w:bCs/>
                <w:sz w:val="24"/>
                <w:szCs w:val="24"/>
              </w:rPr>
            </w:pPr>
          </w:p>
        </w:tc>
      </w:tr>
      <w:tr w14:paraId="7B313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Merge w:val="continue"/>
            <w:noWrap w:val="0"/>
            <w:vAlign w:val="top"/>
          </w:tcPr>
          <w:p w14:paraId="1D53A28D">
            <w:pPr>
              <w:jc w:val="center"/>
              <w:rPr>
                <w:rFonts w:hint="eastAsia" w:ascii="宋体" w:hAnsi="宋体" w:eastAsia="宋体" w:cs="宋体"/>
                <w:bCs/>
                <w:sz w:val="24"/>
                <w:szCs w:val="24"/>
              </w:rPr>
            </w:pPr>
          </w:p>
        </w:tc>
        <w:tc>
          <w:tcPr>
            <w:tcW w:w="1028" w:type="pct"/>
            <w:noWrap w:val="0"/>
            <w:vAlign w:val="top"/>
          </w:tcPr>
          <w:p w14:paraId="68F1ED05">
            <w:pPr>
              <w:jc w:val="center"/>
              <w:rPr>
                <w:rFonts w:hint="eastAsia" w:ascii="宋体" w:hAnsi="宋体" w:eastAsia="宋体" w:cs="宋体"/>
                <w:bCs/>
                <w:sz w:val="24"/>
                <w:szCs w:val="24"/>
              </w:rPr>
            </w:pPr>
            <w:r>
              <w:rPr>
                <w:rFonts w:hint="eastAsia" w:ascii="宋体" w:hAnsi="宋体" w:eastAsia="宋体" w:cs="宋体"/>
                <w:bCs/>
                <w:sz w:val="24"/>
                <w:szCs w:val="24"/>
              </w:rPr>
              <w:t>八宝景天</w:t>
            </w:r>
          </w:p>
        </w:tc>
        <w:tc>
          <w:tcPr>
            <w:tcW w:w="735" w:type="pct"/>
            <w:noWrap w:val="0"/>
            <w:vAlign w:val="top"/>
          </w:tcPr>
          <w:p w14:paraId="78EB7D19">
            <w:pPr>
              <w:jc w:val="center"/>
              <w:rPr>
                <w:rFonts w:hint="eastAsia" w:ascii="宋体" w:hAnsi="宋体" w:eastAsia="宋体" w:cs="宋体"/>
                <w:bCs/>
                <w:sz w:val="24"/>
                <w:szCs w:val="24"/>
              </w:rPr>
            </w:pPr>
            <w:r>
              <w:rPr>
                <w:rFonts w:hint="eastAsia" w:ascii="宋体" w:hAnsi="宋体" w:eastAsia="宋体" w:cs="宋体"/>
                <w:bCs/>
                <w:sz w:val="24"/>
                <w:szCs w:val="24"/>
              </w:rPr>
              <w:t>25-30</w:t>
            </w:r>
          </w:p>
        </w:tc>
        <w:tc>
          <w:tcPr>
            <w:tcW w:w="735" w:type="pct"/>
            <w:noWrap w:val="0"/>
            <w:vAlign w:val="top"/>
          </w:tcPr>
          <w:p w14:paraId="33247EB8">
            <w:pPr>
              <w:jc w:val="center"/>
              <w:rPr>
                <w:rFonts w:hint="eastAsia" w:ascii="宋体" w:hAnsi="宋体" w:eastAsia="宋体" w:cs="宋体"/>
                <w:bCs/>
                <w:sz w:val="24"/>
                <w:szCs w:val="24"/>
              </w:rPr>
            </w:pPr>
            <w:r>
              <w:rPr>
                <w:rFonts w:hint="eastAsia" w:ascii="宋体" w:hAnsi="宋体" w:eastAsia="宋体" w:cs="宋体"/>
                <w:bCs/>
                <w:sz w:val="24"/>
                <w:szCs w:val="24"/>
              </w:rPr>
              <w:t>15-20</w:t>
            </w:r>
          </w:p>
        </w:tc>
        <w:tc>
          <w:tcPr>
            <w:tcW w:w="588" w:type="pct"/>
            <w:noWrap w:val="0"/>
            <w:vAlign w:val="top"/>
          </w:tcPr>
          <w:p w14:paraId="17395F69">
            <w:pPr>
              <w:jc w:val="center"/>
              <w:rPr>
                <w:rFonts w:hint="eastAsia" w:ascii="宋体" w:hAnsi="宋体" w:eastAsia="宋体" w:cs="宋体"/>
                <w:bCs/>
                <w:sz w:val="24"/>
                <w:szCs w:val="24"/>
              </w:rPr>
            </w:pPr>
            <w:r>
              <w:rPr>
                <w:rFonts w:hint="eastAsia" w:ascii="宋体" w:hAnsi="宋体" w:eastAsia="宋体" w:cs="宋体"/>
                <w:bCs/>
                <w:sz w:val="24"/>
                <w:szCs w:val="24"/>
              </w:rPr>
              <w:t>株</w:t>
            </w:r>
          </w:p>
        </w:tc>
        <w:tc>
          <w:tcPr>
            <w:tcW w:w="442" w:type="pct"/>
            <w:noWrap w:val="0"/>
            <w:vAlign w:val="top"/>
          </w:tcPr>
          <w:p w14:paraId="24CCEBA3">
            <w:pPr>
              <w:jc w:val="center"/>
              <w:rPr>
                <w:rFonts w:hint="eastAsia" w:ascii="宋体" w:hAnsi="宋体" w:eastAsia="宋体" w:cs="宋体"/>
                <w:bCs/>
                <w:sz w:val="24"/>
                <w:szCs w:val="24"/>
              </w:rPr>
            </w:pPr>
            <w:r>
              <w:rPr>
                <w:rFonts w:hint="eastAsia" w:ascii="宋体" w:hAnsi="宋体" w:eastAsia="宋体" w:cs="宋体"/>
                <w:bCs/>
                <w:sz w:val="24"/>
                <w:szCs w:val="24"/>
              </w:rPr>
              <w:t>20</w:t>
            </w:r>
          </w:p>
        </w:tc>
        <w:tc>
          <w:tcPr>
            <w:tcW w:w="735" w:type="pct"/>
            <w:noWrap w:val="0"/>
            <w:vAlign w:val="top"/>
          </w:tcPr>
          <w:p w14:paraId="16926687">
            <w:pPr>
              <w:jc w:val="center"/>
              <w:rPr>
                <w:rFonts w:hint="eastAsia" w:ascii="宋体" w:hAnsi="宋体" w:eastAsia="宋体" w:cs="宋体"/>
                <w:bCs/>
                <w:sz w:val="24"/>
                <w:szCs w:val="24"/>
              </w:rPr>
            </w:pPr>
          </w:p>
        </w:tc>
      </w:tr>
      <w:tr w14:paraId="61B4C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Merge w:val="continue"/>
            <w:noWrap w:val="0"/>
            <w:vAlign w:val="top"/>
          </w:tcPr>
          <w:p w14:paraId="39929969">
            <w:pPr>
              <w:jc w:val="center"/>
              <w:rPr>
                <w:rFonts w:hint="eastAsia" w:ascii="宋体" w:hAnsi="宋体" w:eastAsia="宋体" w:cs="宋体"/>
                <w:bCs/>
                <w:sz w:val="24"/>
                <w:szCs w:val="24"/>
              </w:rPr>
            </w:pPr>
          </w:p>
        </w:tc>
        <w:tc>
          <w:tcPr>
            <w:tcW w:w="1028" w:type="pct"/>
            <w:noWrap w:val="0"/>
            <w:vAlign w:val="top"/>
          </w:tcPr>
          <w:p w14:paraId="5D477384">
            <w:pPr>
              <w:jc w:val="center"/>
              <w:rPr>
                <w:rFonts w:hint="eastAsia" w:ascii="宋体" w:hAnsi="宋体" w:eastAsia="宋体" w:cs="宋体"/>
                <w:bCs/>
                <w:sz w:val="24"/>
                <w:szCs w:val="24"/>
              </w:rPr>
            </w:pPr>
            <w:r>
              <w:rPr>
                <w:rFonts w:hint="eastAsia" w:ascii="宋体" w:hAnsi="宋体" w:eastAsia="宋体" w:cs="宋体"/>
                <w:bCs/>
                <w:sz w:val="24"/>
                <w:szCs w:val="24"/>
              </w:rPr>
              <w:t>风雨兰</w:t>
            </w:r>
          </w:p>
        </w:tc>
        <w:tc>
          <w:tcPr>
            <w:tcW w:w="735" w:type="pct"/>
            <w:noWrap w:val="0"/>
            <w:vAlign w:val="top"/>
          </w:tcPr>
          <w:p w14:paraId="155AB459">
            <w:pPr>
              <w:jc w:val="center"/>
              <w:rPr>
                <w:rFonts w:hint="eastAsia" w:ascii="宋体" w:hAnsi="宋体" w:eastAsia="宋体" w:cs="宋体"/>
                <w:bCs/>
                <w:sz w:val="24"/>
                <w:szCs w:val="24"/>
              </w:rPr>
            </w:pPr>
            <w:r>
              <w:rPr>
                <w:rFonts w:hint="eastAsia" w:ascii="宋体" w:hAnsi="宋体" w:eastAsia="宋体" w:cs="宋体"/>
                <w:bCs/>
                <w:sz w:val="24"/>
                <w:szCs w:val="24"/>
              </w:rPr>
              <w:t>15-20</w:t>
            </w:r>
          </w:p>
        </w:tc>
        <w:tc>
          <w:tcPr>
            <w:tcW w:w="735" w:type="pct"/>
            <w:noWrap w:val="0"/>
            <w:vAlign w:val="top"/>
          </w:tcPr>
          <w:p w14:paraId="2E19BB84">
            <w:pPr>
              <w:jc w:val="center"/>
              <w:rPr>
                <w:rFonts w:hint="eastAsia" w:ascii="宋体" w:hAnsi="宋体" w:eastAsia="宋体" w:cs="宋体"/>
                <w:bCs/>
                <w:sz w:val="24"/>
                <w:szCs w:val="24"/>
              </w:rPr>
            </w:pPr>
            <w:r>
              <w:rPr>
                <w:rFonts w:hint="eastAsia" w:ascii="宋体" w:hAnsi="宋体" w:eastAsia="宋体" w:cs="宋体"/>
                <w:bCs/>
                <w:sz w:val="24"/>
                <w:szCs w:val="24"/>
              </w:rPr>
              <w:t>10-15</w:t>
            </w:r>
          </w:p>
        </w:tc>
        <w:tc>
          <w:tcPr>
            <w:tcW w:w="588" w:type="pct"/>
            <w:noWrap w:val="0"/>
            <w:vAlign w:val="top"/>
          </w:tcPr>
          <w:p w14:paraId="6994F527">
            <w:pPr>
              <w:jc w:val="center"/>
              <w:rPr>
                <w:rFonts w:hint="eastAsia" w:ascii="宋体" w:hAnsi="宋体" w:eastAsia="宋体" w:cs="宋体"/>
                <w:bCs/>
                <w:sz w:val="24"/>
                <w:szCs w:val="24"/>
              </w:rPr>
            </w:pPr>
            <w:r>
              <w:rPr>
                <w:rFonts w:hint="eastAsia" w:ascii="宋体" w:hAnsi="宋体" w:eastAsia="宋体" w:cs="宋体"/>
                <w:bCs/>
                <w:sz w:val="24"/>
                <w:szCs w:val="24"/>
              </w:rPr>
              <w:t>株</w:t>
            </w:r>
          </w:p>
        </w:tc>
        <w:tc>
          <w:tcPr>
            <w:tcW w:w="442" w:type="pct"/>
            <w:noWrap w:val="0"/>
            <w:vAlign w:val="top"/>
          </w:tcPr>
          <w:p w14:paraId="63DB6AA9">
            <w:pPr>
              <w:jc w:val="center"/>
              <w:rPr>
                <w:rFonts w:hint="eastAsia" w:ascii="宋体" w:hAnsi="宋体" w:eastAsia="宋体" w:cs="宋体"/>
                <w:bCs/>
                <w:sz w:val="24"/>
                <w:szCs w:val="24"/>
              </w:rPr>
            </w:pPr>
            <w:r>
              <w:rPr>
                <w:rFonts w:hint="eastAsia" w:ascii="宋体" w:hAnsi="宋体" w:eastAsia="宋体" w:cs="宋体"/>
                <w:bCs/>
                <w:sz w:val="24"/>
                <w:szCs w:val="24"/>
              </w:rPr>
              <w:t>38</w:t>
            </w:r>
          </w:p>
        </w:tc>
        <w:tc>
          <w:tcPr>
            <w:tcW w:w="735" w:type="pct"/>
            <w:noWrap w:val="0"/>
            <w:vAlign w:val="top"/>
          </w:tcPr>
          <w:p w14:paraId="53DF6CF0">
            <w:pPr>
              <w:jc w:val="center"/>
              <w:rPr>
                <w:rFonts w:hint="eastAsia" w:ascii="宋体" w:hAnsi="宋体" w:eastAsia="宋体" w:cs="宋体"/>
                <w:bCs/>
                <w:sz w:val="24"/>
                <w:szCs w:val="24"/>
              </w:rPr>
            </w:pPr>
          </w:p>
        </w:tc>
      </w:tr>
      <w:tr w14:paraId="2B8C9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Merge w:val="continue"/>
            <w:noWrap w:val="0"/>
            <w:vAlign w:val="top"/>
          </w:tcPr>
          <w:p w14:paraId="3A796F10">
            <w:pPr>
              <w:jc w:val="center"/>
              <w:rPr>
                <w:rFonts w:hint="eastAsia" w:ascii="宋体" w:hAnsi="宋体" w:eastAsia="宋体" w:cs="宋体"/>
                <w:bCs/>
                <w:sz w:val="24"/>
                <w:szCs w:val="24"/>
              </w:rPr>
            </w:pPr>
          </w:p>
        </w:tc>
        <w:tc>
          <w:tcPr>
            <w:tcW w:w="1028" w:type="pct"/>
            <w:noWrap w:val="0"/>
            <w:vAlign w:val="top"/>
          </w:tcPr>
          <w:p w14:paraId="3EBAA208">
            <w:pPr>
              <w:jc w:val="center"/>
              <w:rPr>
                <w:rFonts w:hint="eastAsia" w:ascii="宋体" w:hAnsi="宋体" w:eastAsia="宋体" w:cs="宋体"/>
                <w:bCs/>
                <w:sz w:val="24"/>
                <w:szCs w:val="24"/>
              </w:rPr>
            </w:pPr>
            <w:r>
              <w:rPr>
                <w:rFonts w:hint="eastAsia" w:ascii="宋体" w:hAnsi="宋体" w:eastAsia="宋体" w:cs="宋体"/>
                <w:bCs/>
                <w:sz w:val="24"/>
                <w:szCs w:val="24"/>
              </w:rPr>
              <w:t>小叶女贞</w:t>
            </w:r>
          </w:p>
        </w:tc>
        <w:tc>
          <w:tcPr>
            <w:tcW w:w="735" w:type="pct"/>
            <w:noWrap w:val="0"/>
            <w:vAlign w:val="top"/>
          </w:tcPr>
          <w:p w14:paraId="03CA57A7">
            <w:pPr>
              <w:jc w:val="center"/>
              <w:rPr>
                <w:rFonts w:hint="eastAsia" w:ascii="宋体" w:hAnsi="宋体" w:eastAsia="宋体" w:cs="宋体"/>
                <w:bCs/>
                <w:sz w:val="24"/>
                <w:szCs w:val="24"/>
              </w:rPr>
            </w:pPr>
            <w:r>
              <w:rPr>
                <w:rFonts w:hint="eastAsia" w:ascii="宋体" w:hAnsi="宋体" w:eastAsia="宋体" w:cs="宋体"/>
                <w:bCs/>
                <w:sz w:val="24"/>
                <w:szCs w:val="24"/>
              </w:rPr>
              <w:t>35-40</w:t>
            </w:r>
          </w:p>
        </w:tc>
        <w:tc>
          <w:tcPr>
            <w:tcW w:w="735" w:type="pct"/>
            <w:noWrap w:val="0"/>
            <w:vAlign w:val="top"/>
          </w:tcPr>
          <w:p w14:paraId="3810D17A">
            <w:pPr>
              <w:jc w:val="center"/>
              <w:rPr>
                <w:rFonts w:hint="eastAsia" w:ascii="宋体" w:hAnsi="宋体" w:eastAsia="宋体" w:cs="宋体"/>
                <w:bCs/>
                <w:sz w:val="24"/>
                <w:szCs w:val="24"/>
              </w:rPr>
            </w:pPr>
            <w:r>
              <w:rPr>
                <w:rFonts w:hint="eastAsia" w:ascii="宋体" w:hAnsi="宋体" w:eastAsia="宋体" w:cs="宋体"/>
                <w:bCs/>
                <w:sz w:val="24"/>
                <w:szCs w:val="24"/>
              </w:rPr>
              <w:t>30-35</w:t>
            </w:r>
          </w:p>
        </w:tc>
        <w:tc>
          <w:tcPr>
            <w:tcW w:w="588" w:type="pct"/>
            <w:noWrap w:val="0"/>
            <w:vAlign w:val="top"/>
          </w:tcPr>
          <w:p w14:paraId="0A8F98FA">
            <w:pPr>
              <w:jc w:val="center"/>
              <w:rPr>
                <w:rFonts w:hint="eastAsia" w:ascii="宋体" w:hAnsi="宋体" w:eastAsia="宋体" w:cs="宋体"/>
                <w:bCs/>
                <w:sz w:val="24"/>
                <w:szCs w:val="24"/>
              </w:rPr>
            </w:pPr>
            <w:r>
              <w:rPr>
                <w:rFonts w:hint="eastAsia" w:ascii="宋体" w:hAnsi="宋体" w:eastAsia="宋体" w:cs="宋体"/>
                <w:bCs/>
                <w:sz w:val="24"/>
                <w:szCs w:val="24"/>
              </w:rPr>
              <w:t>株</w:t>
            </w:r>
          </w:p>
        </w:tc>
        <w:tc>
          <w:tcPr>
            <w:tcW w:w="442" w:type="pct"/>
            <w:noWrap w:val="0"/>
            <w:vAlign w:val="top"/>
          </w:tcPr>
          <w:p w14:paraId="7E9E9A5A">
            <w:pPr>
              <w:jc w:val="center"/>
              <w:rPr>
                <w:rFonts w:hint="eastAsia" w:ascii="宋体" w:hAnsi="宋体" w:eastAsia="宋体" w:cs="宋体"/>
                <w:bCs/>
                <w:sz w:val="24"/>
                <w:szCs w:val="24"/>
              </w:rPr>
            </w:pPr>
            <w:r>
              <w:rPr>
                <w:rFonts w:hint="eastAsia" w:ascii="宋体" w:hAnsi="宋体" w:eastAsia="宋体" w:cs="宋体"/>
                <w:bCs/>
                <w:sz w:val="24"/>
                <w:szCs w:val="24"/>
              </w:rPr>
              <w:t>22</w:t>
            </w:r>
          </w:p>
        </w:tc>
        <w:tc>
          <w:tcPr>
            <w:tcW w:w="735" w:type="pct"/>
            <w:noWrap w:val="0"/>
            <w:vAlign w:val="top"/>
          </w:tcPr>
          <w:p w14:paraId="7E44CA97">
            <w:pPr>
              <w:jc w:val="center"/>
              <w:rPr>
                <w:rFonts w:hint="eastAsia" w:ascii="宋体" w:hAnsi="宋体" w:eastAsia="宋体" w:cs="宋体"/>
                <w:bCs/>
                <w:sz w:val="24"/>
                <w:szCs w:val="24"/>
              </w:rPr>
            </w:pPr>
          </w:p>
        </w:tc>
      </w:tr>
      <w:tr w14:paraId="52B8A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Merge w:val="restart"/>
            <w:noWrap w:val="0"/>
            <w:vAlign w:val="center"/>
          </w:tcPr>
          <w:p w14:paraId="3F80C9B1">
            <w:pPr>
              <w:jc w:val="center"/>
              <w:rPr>
                <w:rFonts w:hint="eastAsia" w:ascii="宋体" w:hAnsi="宋体" w:eastAsia="宋体" w:cs="宋体"/>
                <w:bCs/>
                <w:sz w:val="24"/>
                <w:szCs w:val="24"/>
              </w:rPr>
            </w:pPr>
            <w:r>
              <w:rPr>
                <w:rFonts w:hint="eastAsia" w:ascii="宋体" w:hAnsi="宋体" w:eastAsia="宋体" w:cs="宋体"/>
                <w:bCs/>
                <w:sz w:val="24"/>
                <w:szCs w:val="24"/>
              </w:rPr>
              <w:t>灌木苗木</w:t>
            </w:r>
          </w:p>
        </w:tc>
        <w:tc>
          <w:tcPr>
            <w:tcW w:w="1028" w:type="pct"/>
            <w:noWrap w:val="0"/>
            <w:vAlign w:val="top"/>
          </w:tcPr>
          <w:p w14:paraId="28D174B2">
            <w:pPr>
              <w:jc w:val="center"/>
              <w:rPr>
                <w:rFonts w:hint="eastAsia" w:ascii="宋体" w:hAnsi="宋体" w:eastAsia="宋体" w:cs="宋体"/>
                <w:bCs/>
                <w:sz w:val="24"/>
                <w:szCs w:val="24"/>
              </w:rPr>
            </w:pPr>
            <w:r>
              <w:rPr>
                <w:rFonts w:hint="eastAsia" w:ascii="宋体" w:hAnsi="宋体" w:eastAsia="宋体" w:cs="宋体"/>
                <w:bCs/>
                <w:sz w:val="24"/>
                <w:szCs w:val="24"/>
              </w:rPr>
              <w:t>山茶</w:t>
            </w:r>
          </w:p>
        </w:tc>
        <w:tc>
          <w:tcPr>
            <w:tcW w:w="735" w:type="pct"/>
            <w:noWrap w:val="0"/>
            <w:vAlign w:val="top"/>
          </w:tcPr>
          <w:p w14:paraId="52B94DFD">
            <w:pPr>
              <w:jc w:val="center"/>
              <w:rPr>
                <w:rFonts w:hint="eastAsia" w:ascii="宋体" w:hAnsi="宋体" w:eastAsia="宋体" w:cs="宋体"/>
                <w:bCs/>
                <w:sz w:val="24"/>
                <w:szCs w:val="24"/>
              </w:rPr>
            </w:pPr>
            <w:r>
              <w:rPr>
                <w:rFonts w:hint="eastAsia" w:ascii="宋体" w:hAnsi="宋体" w:eastAsia="宋体" w:cs="宋体"/>
                <w:bCs/>
                <w:sz w:val="24"/>
                <w:szCs w:val="24"/>
              </w:rPr>
              <w:t>150-200</w:t>
            </w:r>
          </w:p>
        </w:tc>
        <w:tc>
          <w:tcPr>
            <w:tcW w:w="735" w:type="pct"/>
            <w:noWrap w:val="0"/>
            <w:vAlign w:val="top"/>
          </w:tcPr>
          <w:p w14:paraId="0870380E">
            <w:pPr>
              <w:jc w:val="center"/>
              <w:rPr>
                <w:rFonts w:hint="eastAsia" w:ascii="宋体" w:hAnsi="宋体" w:eastAsia="宋体" w:cs="宋体"/>
                <w:bCs/>
                <w:sz w:val="24"/>
                <w:szCs w:val="24"/>
              </w:rPr>
            </w:pPr>
            <w:r>
              <w:rPr>
                <w:rFonts w:hint="eastAsia" w:ascii="宋体" w:hAnsi="宋体" w:eastAsia="宋体" w:cs="宋体"/>
                <w:bCs/>
                <w:sz w:val="24"/>
                <w:szCs w:val="24"/>
              </w:rPr>
              <w:t>120-150</w:t>
            </w:r>
          </w:p>
        </w:tc>
        <w:tc>
          <w:tcPr>
            <w:tcW w:w="588" w:type="pct"/>
            <w:noWrap w:val="0"/>
            <w:vAlign w:val="top"/>
          </w:tcPr>
          <w:p w14:paraId="0EA35439">
            <w:pPr>
              <w:jc w:val="center"/>
              <w:rPr>
                <w:rFonts w:hint="eastAsia" w:ascii="宋体" w:hAnsi="宋体" w:eastAsia="宋体" w:cs="宋体"/>
                <w:bCs/>
                <w:sz w:val="24"/>
                <w:szCs w:val="24"/>
              </w:rPr>
            </w:pPr>
            <w:r>
              <w:rPr>
                <w:rFonts w:hint="eastAsia" w:ascii="宋体" w:hAnsi="宋体" w:eastAsia="宋体" w:cs="宋体"/>
                <w:bCs/>
                <w:sz w:val="24"/>
                <w:szCs w:val="24"/>
              </w:rPr>
              <w:t>株</w:t>
            </w:r>
          </w:p>
        </w:tc>
        <w:tc>
          <w:tcPr>
            <w:tcW w:w="442" w:type="pct"/>
            <w:noWrap w:val="0"/>
            <w:vAlign w:val="top"/>
          </w:tcPr>
          <w:p w14:paraId="273A2FB8">
            <w:pPr>
              <w:jc w:val="center"/>
              <w:rPr>
                <w:rFonts w:hint="eastAsia" w:ascii="宋体" w:hAnsi="宋体" w:eastAsia="宋体" w:cs="宋体"/>
                <w:bCs/>
                <w:sz w:val="24"/>
                <w:szCs w:val="24"/>
              </w:rPr>
            </w:pPr>
            <w:r>
              <w:rPr>
                <w:rFonts w:hint="eastAsia" w:ascii="宋体" w:hAnsi="宋体" w:eastAsia="宋体" w:cs="宋体"/>
                <w:bCs/>
                <w:sz w:val="24"/>
                <w:szCs w:val="24"/>
              </w:rPr>
              <w:t>2</w:t>
            </w:r>
          </w:p>
        </w:tc>
        <w:tc>
          <w:tcPr>
            <w:tcW w:w="735" w:type="pct"/>
            <w:noWrap w:val="0"/>
            <w:vAlign w:val="top"/>
          </w:tcPr>
          <w:p w14:paraId="09919077">
            <w:pPr>
              <w:jc w:val="center"/>
              <w:rPr>
                <w:rFonts w:hint="eastAsia" w:ascii="宋体" w:hAnsi="宋体" w:eastAsia="宋体" w:cs="宋体"/>
                <w:bCs/>
                <w:sz w:val="24"/>
                <w:szCs w:val="24"/>
              </w:rPr>
            </w:pPr>
          </w:p>
        </w:tc>
      </w:tr>
      <w:tr w14:paraId="0634A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Merge w:val="continue"/>
            <w:noWrap w:val="0"/>
            <w:vAlign w:val="top"/>
          </w:tcPr>
          <w:p w14:paraId="76533504">
            <w:pPr>
              <w:jc w:val="center"/>
              <w:rPr>
                <w:rFonts w:hint="eastAsia" w:ascii="宋体" w:hAnsi="宋体" w:eastAsia="宋体" w:cs="宋体"/>
                <w:bCs/>
                <w:sz w:val="24"/>
                <w:szCs w:val="24"/>
              </w:rPr>
            </w:pPr>
          </w:p>
        </w:tc>
        <w:tc>
          <w:tcPr>
            <w:tcW w:w="1028" w:type="pct"/>
            <w:noWrap w:val="0"/>
            <w:vAlign w:val="top"/>
          </w:tcPr>
          <w:p w14:paraId="2E7A9079">
            <w:pPr>
              <w:jc w:val="center"/>
              <w:rPr>
                <w:rFonts w:hint="eastAsia" w:ascii="宋体" w:hAnsi="宋体" w:eastAsia="宋体" w:cs="宋体"/>
                <w:bCs/>
                <w:sz w:val="24"/>
                <w:szCs w:val="24"/>
              </w:rPr>
            </w:pPr>
            <w:r>
              <w:rPr>
                <w:rFonts w:hint="eastAsia" w:ascii="宋体" w:hAnsi="宋体" w:eastAsia="宋体" w:cs="宋体"/>
                <w:bCs/>
                <w:sz w:val="24"/>
                <w:szCs w:val="24"/>
              </w:rPr>
              <w:t>紫荆</w:t>
            </w:r>
          </w:p>
        </w:tc>
        <w:tc>
          <w:tcPr>
            <w:tcW w:w="735" w:type="pct"/>
            <w:noWrap w:val="0"/>
            <w:vAlign w:val="top"/>
          </w:tcPr>
          <w:p w14:paraId="340D02BF">
            <w:pPr>
              <w:jc w:val="center"/>
              <w:rPr>
                <w:rFonts w:hint="eastAsia" w:ascii="宋体" w:hAnsi="宋体" w:eastAsia="宋体" w:cs="宋体"/>
                <w:bCs/>
                <w:sz w:val="24"/>
                <w:szCs w:val="24"/>
              </w:rPr>
            </w:pPr>
            <w:r>
              <w:rPr>
                <w:rFonts w:hint="eastAsia" w:ascii="宋体" w:hAnsi="宋体" w:eastAsia="宋体" w:cs="宋体"/>
                <w:bCs/>
                <w:sz w:val="24"/>
                <w:szCs w:val="24"/>
              </w:rPr>
              <w:t>200-220</w:t>
            </w:r>
          </w:p>
        </w:tc>
        <w:tc>
          <w:tcPr>
            <w:tcW w:w="735" w:type="pct"/>
            <w:noWrap w:val="0"/>
            <w:vAlign w:val="top"/>
          </w:tcPr>
          <w:p w14:paraId="21B1FD62">
            <w:pPr>
              <w:jc w:val="center"/>
              <w:rPr>
                <w:rFonts w:hint="eastAsia" w:ascii="宋体" w:hAnsi="宋体" w:eastAsia="宋体" w:cs="宋体"/>
                <w:bCs/>
                <w:sz w:val="24"/>
                <w:szCs w:val="24"/>
              </w:rPr>
            </w:pPr>
            <w:r>
              <w:rPr>
                <w:rFonts w:hint="eastAsia" w:ascii="宋体" w:hAnsi="宋体" w:eastAsia="宋体" w:cs="宋体"/>
                <w:bCs/>
                <w:sz w:val="24"/>
                <w:szCs w:val="24"/>
              </w:rPr>
              <w:t>200-220</w:t>
            </w:r>
          </w:p>
        </w:tc>
        <w:tc>
          <w:tcPr>
            <w:tcW w:w="588" w:type="pct"/>
            <w:noWrap w:val="0"/>
            <w:vAlign w:val="top"/>
          </w:tcPr>
          <w:p w14:paraId="4A588D1D">
            <w:pPr>
              <w:jc w:val="center"/>
              <w:rPr>
                <w:rFonts w:hint="eastAsia" w:ascii="宋体" w:hAnsi="宋体" w:eastAsia="宋体" w:cs="宋体"/>
                <w:bCs/>
                <w:sz w:val="24"/>
                <w:szCs w:val="24"/>
              </w:rPr>
            </w:pPr>
            <w:r>
              <w:rPr>
                <w:rFonts w:hint="eastAsia" w:ascii="宋体" w:hAnsi="宋体" w:eastAsia="宋体" w:cs="宋体"/>
                <w:bCs/>
                <w:sz w:val="24"/>
                <w:szCs w:val="24"/>
              </w:rPr>
              <w:t>株</w:t>
            </w:r>
          </w:p>
        </w:tc>
        <w:tc>
          <w:tcPr>
            <w:tcW w:w="442" w:type="pct"/>
            <w:noWrap w:val="0"/>
            <w:vAlign w:val="top"/>
          </w:tcPr>
          <w:p w14:paraId="237F645C">
            <w:pPr>
              <w:jc w:val="center"/>
              <w:rPr>
                <w:rFonts w:hint="eastAsia" w:ascii="宋体" w:hAnsi="宋体" w:eastAsia="宋体" w:cs="宋体"/>
                <w:bCs/>
                <w:sz w:val="24"/>
                <w:szCs w:val="24"/>
              </w:rPr>
            </w:pPr>
            <w:r>
              <w:rPr>
                <w:rFonts w:hint="eastAsia" w:ascii="宋体" w:hAnsi="宋体" w:eastAsia="宋体" w:cs="宋体"/>
                <w:bCs/>
                <w:sz w:val="24"/>
                <w:szCs w:val="24"/>
              </w:rPr>
              <w:t>10</w:t>
            </w:r>
          </w:p>
        </w:tc>
        <w:tc>
          <w:tcPr>
            <w:tcW w:w="735" w:type="pct"/>
            <w:noWrap w:val="0"/>
            <w:vAlign w:val="top"/>
          </w:tcPr>
          <w:p w14:paraId="1A18D818">
            <w:pPr>
              <w:jc w:val="center"/>
              <w:rPr>
                <w:rFonts w:hint="eastAsia" w:ascii="宋体" w:hAnsi="宋体" w:eastAsia="宋体" w:cs="宋体"/>
                <w:bCs/>
                <w:sz w:val="24"/>
                <w:szCs w:val="24"/>
              </w:rPr>
            </w:pPr>
          </w:p>
        </w:tc>
      </w:tr>
      <w:tr w14:paraId="67E0C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Merge w:val="continue"/>
            <w:noWrap w:val="0"/>
            <w:vAlign w:val="top"/>
          </w:tcPr>
          <w:p w14:paraId="236EADE8">
            <w:pPr>
              <w:jc w:val="center"/>
              <w:rPr>
                <w:rFonts w:hint="eastAsia" w:ascii="宋体" w:hAnsi="宋体" w:eastAsia="宋体" w:cs="宋体"/>
                <w:bCs/>
                <w:sz w:val="24"/>
                <w:szCs w:val="24"/>
              </w:rPr>
            </w:pPr>
          </w:p>
        </w:tc>
        <w:tc>
          <w:tcPr>
            <w:tcW w:w="1028" w:type="pct"/>
            <w:noWrap w:val="0"/>
            <w:vAlign w:val="top"/>
          </w:tcPr>
          <w:p w14:paraId="3B1683EA">
            <w:pPr>
              <w:jc w:val="center"/>
              <w:rPr>
                <w:rFonts w:hint="eastAsia" w:ascii="宋体" w:hAnsi="宋体" w:eastAsia="宋体" w:cs="宋体"/>
                <w:bCs/>
                <w:sz w:val="24"/>
                <w:szCs w:val="24"/>
              </w:rPr>
            </w:pPr>
            <w:r>
              <w:rPr>
                <w:rFonts w:hint="eastAsia" w:ascii="宋体" w:hAnsi="宋体" w:eastAsia="宋体" w:cs="宋体"/>
                <w:bCs/>
                <w:sz w:val="24"/>
                <w:szCs w:val="24"/>
              </w:rPr>
              <w:t>红叶石楠球</w:t>
            </w:r>
          </w:p>
        </w:tc>
        <w:tc>
          <w:tcPr>
            <w:tcW w:w="735" w:type="pct"/>
            <w:noWrap w:val="0"/>
            <w:vAlign w:val="top"/>
          </w:tcPr>
          <w:p w14:paraId="4B507D24">
            <w:pPr>
              <w:jc w:val="center"/>
              <w:rPr>
                <w:rFonts w:hint="eastAsia" w:ascii="宋体" w:hAnsi="宋体" w:eastAsia="宋体" w:cs="宋体"/>
                <w:bCs/>
                <w:sz w:val="24"/>
                <w:szCs w:val="24"/>
              </w:rPr>
            </w:pPr>
            <w:r>
              <w:rPr>
                <w:rFonts w:hint="eastAsia" w:ascii="宋体" w:hAnsi="宋体" w:eastAsia="宋体" w:cs="宋体"/>
                <w:bCs/>
                <w:sz w:val="24"/>
                <w:szCs w:val="24"/>
              </w:rPr>
              <w:t>150</w:t>
            </w:r>
          </w:p>
        </w:tc>
        <w:tc>
          <w:tcPr>
            <w:tcW w:w="735" w:type="pct"/>
            <w:noWrap w:val="0"/>
            <w:vAlign w:val="top"/>
          </w:tcPr>
          <w:p w14:paraId="3A628AE2">
            <w:pPr>
              <w:jc w:val="center"/>
              <w:rPr>
                <w:rFonts w:hint="eastAsia" w:ascii="宋体" w:hAnsi="宋体" w:eastAsia="宋体" w:cs="宋体"/>
                <w:bCs/>
                <w:sz w:val="24"/>
                <w:szCs w:val="24"/>
              </w:rPr>
            </w:pPr>
            <w:r>
              <w:rPr>
                <w:rFonts w:hint="eastAsia" w:ascii="宋体" w:hAnsi="宋体" w:eastAsia="宋体" w:cs="宋体"/>
                <w:bCs/>
                <w:sz w:val="24"/>
                <w:szCs w:val="24"/>
              </w:rPr>
              <w:t>150</w:t>
            </w:r>
          </w:p>
        </w:tc>
        <w:tc>
          <w:tcPr>
            <w:tcW w:w="588" w:type="pct"/>
            <w:noWrap w:val="0"/>
            <w:vAlign w:val="top"/>
          </w:tcPr>
          <w:p w14:paraId="27CB1032">
            <w:pPr>
              <w:jc w:val="center"/>
              <w:rPr>
                <w:rFonts w:hint="eastAsia" w:ascii="宋体" w:hAnsi="宋体" w:eastAsia="宋体" w:cs="宋体"/>
                <w:bCs/>
                <w:sz w:val="24"/>
                <w:szCs w:val="24"/>
              </w:rPr>
            </w:pPr>
            <w:r>
              <w:rPr>
                <w:rFonts w:hint="eastAsia" w:ascii="宋体" w:hAnsi="宋体" w:eastAsia="宋体" w:cs="宋体"/>
                <w:bCs/>
                <w:sz w:val="24"/>
                <w:szCs w:val="24"/>
              </w:rPr>
              <w:t>株</w:t>
            </w:r>
          </w:p>
        </w:tc>
        <w:tc>
          <w:tcPr>
            <w:tcW w:w="442" w:type="pct"/>
            <w:noWrap w:val="0"/>
            <w:vAlign w:val="top"/>
          </w:tcPr>
          <w:p w14:paraId="3195FB35">
            <w:pPr>
              <w:jc w:val="center"/>
              <w:rPr>
                <w:rFonts w:hint="eastAsia" w:ascii="宋体" w:hAnsi="宋体" w:eastAsia="宋体" w:cs="宋体"/>
                <w:bCs/>
                <w:sz w:val="24"/>
                <w:szCs w:val="24"/>
              </w:rPr>
            </w:pPr>
            <w:r>
              <w:rPr>
                <w:rFonts w:hint="eastAsia" w:ascii="宋体" w:hAnsi="宋体" w:eastAsia="宋体" w:cs="宋体"/>
                <w:bCs/>
                <w:sz w:val="24"/>
                <w:szCs w:val="24"/>
              </w:rPr>
              <w:t>4</w:t>
            </w:r>
          </w:p>
        </w:tc>
        <w:tc>
          <w:tcPr>
            <w:tcW w:w="735" w:type="pct"/>
            <w:noWrap w:val="0"/>
            <w:vAlign w:val="top"/>
          </w:tcPr>
          <w:p w14:paraId="6139D746">
            <w:pPr>
              <w:jc w:val="center"/>
              <w:rPr>
                <w:rFonts w:hint="eastAsia" w:ascii="宋体" w:hAnsi="宋体" w:eastAsia="宋体" w:cs="宋体"/>
                <w:bCs/>
                <w:sz w:val="24"/>
                <w:szCs w:val="24"/>
              </w:rPr>
            </w:pPr>
          </w:p>
        </w:tc>
      </w:tr>
      <w:tr w14:paraId="77CE8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Merge w:val="continue"/>
            <w:noWrap w:val="0"/>
            <w:vAlign w:val="top"/>
          </w:tcPr>
          <w:p w14:paraId="56FF56E8">
            <w:pPr>
              <w:jc w:val="center"/>
              <w:rPr>
                <w:rFonts w:hint="eastAsia" w:ascii="宋体" w:hAnsi="宋体" w:eastAsia="宋体" w:cs="宋体"/>
                <w:bCs/>
                <w:sz w:val="24"/>
                <w:szCs w:val="24"/>
              </w:rPr>
            </w:pPr>
          </w:p>
        </w:tc>
        <w:tc>
          <w:tcPr>
            <w:tcW w:w="1028" w:type="pct"/>
            <w:noWrap w:val="0"/>
            <w:vAlign w:val="top"/>
          </w:tcPr>
          <w:p w14:paraId="49CDEC8B">
            <w:pPr>
              <w:jc w:val="center"/>
              <w:rPr>
                <w:rFonts w:hint="eastAsia" w:ascii="宋体" w:hAnsi="宋体" w:eastAsia="宋体" w:cs="宋体"/>
                <w:bCs/>
                <w:sz w:val="24"/>
                <w:szCs w:val="24"/>
              </w:rPr>
            </w:pPr>
            <w:r>
              <w:rPr>
                <w:rFonts w:hint="eastAsia" w:ascii="宋体" w:hAnsi="宋体" w:eastAsia="宋体" w:cs="宋体"/>
                <w:bCs/>
                <w:sz w:val="24"/>
                <w:szCs w:val="24"/>
              </w:rPr>
              <w:t>海桐球</w:t>
            </w:r>
          </w:p>
        </w:tc>
        <w:tc>
          <w:tcPr>
            <w:tcW w:w="735" w:type="pct"/>
            <w:noWrap w:val="0"/>
            <w:vAlign w:val="top"/>
          </w:tcPr>
          <w:p w14:paraId="3F1F62D4">
            <w:pPr>
              <w:jc w:val="center"/>
              <w:rPr>
                <w:rFonts w:hint="eastAsia" w:ascii="宋体" w:hAnsi="宋体" w:eastAsia="宋体" w:cs="宋体"/>
                <w:bCs/>
                <w:sz w:val="24"/>
                <w:szCs w:val="24"/>
              </w:rPr>
            </w:pPr>
            <w:r>
              <w:rPr>
                <w:rFonts w:hint="eastAsia" w:ascii="宋体" w:hAnsi="宋体" w:eastAsia="宋体" w:cs="宋体"/>
                <w:bCs/>
                <w:sz w:val="24"/>
                <w:szCs w:val="24"/>
              </w:rPr>
              <w:t>150</w:t>
            </w:r>
          </w:p>
        </w:tc>
        <w:tc>
          <w:tcPr>
            <w:tcW w:w="735" w:type="pct"/>
            <w:noWrap w:val="0"/>
            <w:vAlign w:val="top"/>
          </w:tcPr>
          <w:p w14:paraId="6DD3E921">
            <w:pPr>
              <w:jc w:val="center"/>
              <w:rPr>
                <w:rFonts w:hint="eastAsia" w:ascii="宋体" w:hAnsi="宋体" w:eastAsia="宋体" w:cs="宋体"/>
                <w:bCs/>
                <w:sz w:val="24"/>
                <w:szCs w:val="24"/>
              </w:rPr>
            </w:pPr>
            <w:r>
              <w:rPr>
                <w:rFonts w:hint="eastAsia" w:ascii="宋体" w:hAnsi="宋体" w:eastAsia="宋体" w:cs="宋体"/>
                <w:bCs/>
                <w:sz w:val="24"/>
                <w:szCs w:val="24"/>
              </w:rPr>
              <w:t>150</w:t>
            </w:r>
          </w:p>
        </w:tc>
        <w:tc>
          <w:tcPr>
            <w:tcW w:w="588" w:type="pct"/>
            <w:noWrap w:val="0"/>
            <w:vAlign w:val="top"/>
          </w:tcPr>
          <w:p w14:paraId="04516F65">
            <w:pPr>
              <w:jc w:val="center"/>
              <w:rPr>
                <w:rFonts w:hint="eastAsia" w:ascii="宋体" w:hAnsi="宋体" w:eastAsia="宋体" w:cs="宋体"/>
                <w:bCs/>
                <w:sz w:val="24"/>
                <w:szCs w:val="24"/>
              </w:rPr>
            </w:pPr>
            <w:r>
              <w:rPr>
                <w:rFonts w:hint="eastAsia" w:ascii="宋体" w:hAnsi="宋体" w:eastAsia="宋体" w:cs="宋体"/>
                <w:bCs/>
                <w:sz w:val="24"/>
                <w:szCs w:val="24"/>
              </w:rPr>
              <w:t>株</w:t>
            </w:r>
          </w:p>
        </w:tc>
        <w:tc>
          <w:tcPr>
            <w:tcW w:w="442" w:type="pct"/>
            <w:noWrap w:val="0"/>
            <w:vAlign w:val="top"/>
          </w:tcPr>
          <w:p w14:paraId="10B2FCBC">
            <w:pPr>
              <w:jc w:val="center"/>
              <w:rPr>
                <w:rFonts w:hint="eastAsia" w:ascii="宋体" w:hAnsi="宋体" w:eastAsia="宋体" w:cs="宋体"/>
                <w:bCs/>
                <w:sz w:val="24"/>
                <w:szCs w:val="24"/>
              </w:rPr>
            </w:pPr>
            <w:r>
              <w:rPr>
                <w:rFonts w:hint="eastAsia" w:ascii="宋体" w:hAnsi="宋体" w:eastAsia="宋体" w:cs="宋体"/>
                <w:bCs/>
                <w:sz w:val="24"/>
                <w:szCs w:val="24"/>
              </w:rPr>
              <w:t>9</w:t>
            </w:r>
          </w:p>
        </w:tc>
        <w:tc>
          <w:tcPr>
            <w:tcW w:w="735" w:type="pct"/>
            <w:noWrap w:val="0"/>
            <w:vAlign w:val="top"/>
          </w:tcPr>
          <w:p w14:paraId="13D9A817">
            <w:pPr>
              <w:jc w:val="center"/>
              <w:rPr>
                <w:rFonts w:hint="eastAsia" w:ascii="宋体" w:hAnsi="宋体" w:eastAsia="宋体" w:cs="宋体"/>
                <w:bCs/>
                <w:sz w:val="24"/>
                <w:szCs w:val="24"/>
              </w:rPr>
            </w:pPr>
          </w:p>
        </w:tc>
      </w:tr>
      <w:tr w14:paraId="194FD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Merge w:val="continue"/>
            <w:noWrap w:val="0"/>
            <w:vAlign w:val="top"/>
          </w:tcPr>
          <w:p w14:paraId="33FF48F0">
            <w:pPr>
              <w:jc w:val="center"/>
              <w:rPr>
                <w:rFonts w:hint="eastAsia" w:ascii="宋体" w:hAnsi="宋体" w:eastAsia="宋体" w:cs="宋体"/>
                <w:bCs/>
                <w:sz w:val="24"/>
                <w:szCs w:val="24"/>
              </w:rPr>
            </w:pPr>
          </w:p>
        </w:tc>
        <w:tc>
          <w:tcPr>
            <w:tcW w:w="1028" w:type="pct"/>
            <w:noWrap w:val="0"/>
            <w:vAlign w:val="top"/>
          </w:tcPr>
          <w:p w14:paraId="06C35C39">
            <w:pPr>
              <w:jc w:val="center"/>
              <w:rPr>
                <w:rFonts w:hint="eastAsia" w:ascii="宋体" w:hAnsi="宋体" w:eastAsia="宋体" w:cs="宋体"/>
                <w:bCs/>
                <w:sz w:val="24"/>
                <w:szCs w:val="24"/>
              </w:rPr>
            </w:pPr>
            <w:r>
              <w:rPr>
                <w:rFonts w:hint="eastAsia" w:ascii="宋体" w:hAnsi="宋体" w:eastAsia="宋体" w:cs="宋体"/>
                <w:bCs/>
                <w:sz w:val="24"/>
                <w:szCs w:val="24"/>
              </w:rPr>
              <w:t>金叶女贞球</w:t>
            </w:r>
          </w:p>
        </w:tc>
        <w:tc>
          <w:tcPr>
            <w:tcW w:w="735" w:type="pct"/>
            <w:noWrap w:val="0"/>
            <w:vAlign w:val="top"/>
          </w:tcPr>
          <w:p w14:paraId="4A0C3F85">
            <w:pPr>
              <w:jc w:val="center"/>
              <w:rPr>
                <w:rFonts w:hint="eastAsia" w:ascii="宋体" w:hAnsi="宋体" w:eastAsia="宋体" w:cs="宋体"/>
                <w:bCs/>
                <w:sz w:val="24"/>
                <w:szCs w:val="24"/>
              </w:rPr>
            </w:pPr>
            <w:r>
              <w:rPr>
                <w:rFonts w:hint="eastAsia" w:ascii="宋体" w:hAnsi="宋体" w:eastAsia="宋体" w:cs="宋体"/>
                <w:bCs/>
                <w:sz w:val="24"/>
                <w:szCs w:val="24"/>
              </w:rPr>
              <w:t>120</w:t>
            </w:r>
          </w:p>
        </w:tc>
        <w:tc>
          <w:tcPr>
            <w:tcW w:w="735" w:type="pct"/>
            <w:noWrap w:val="0"/>
            <w:vAlign w:val="top"/>
          </w:tcPr>
          <w:p w14:paraId="19DD7DC2">
            <w:pPr>
              <w:jc w:val="center"/>
              <w:rPr>
                <w:rFonts w:hint="eastAsia" w:ascii="宋体" w:hAnsi="宋体" w:eastAsia="宋体" w:cs="宋体"/>
                <w:bCs/>
                <w:sz w:val="24"/>
                <w:szCs w:val="24"/>
              </w:rPr>
            </w:pPr>
            <w:r>
              <w:rPr>
                <w:rFonts w:hint="eastAsia" w:ascii="宋体" w:hAnsi="宋体" w:eastAsia="宋体" w:cs="宋体"/>
                <w:bCs/>
                <w:sz w:val="24"/>
                <w:szCs w:val="24"/>
              </w:rPr>
              <w:t>120</w:t>
            </w:r>
          </w:p>
        </w:tc>
        <w:tc>
          <w:tcPr>
            <w:tcW w:w="588" w:type="pct"/>
            <w:noWrap w:val="0"/>
            <w:vAlign w:val="top"/>
          </w:tcPr>
          <w:p w14:paraId="3D04AA19">
            <w:pPr>
              <w:jc w:val="center"/>
              <w:rPr>
                <w:rFonts w:hint="eastAsia" w:ascii="宋体" w:hAnsi="宋体" w:eastAsia="宋体" w:cs="宋体"/>
                <w:bCs/>
                <w:sz w:val="24"/>
                <w:szCs w:val="24"/>
              </w:rPr>
            </w:pPr>
            <w:r>
              <w:rPr>
                <w:rFonts w:hint="eastAsia" w:ascii="宋体" w:hAnsi="宋体" w:eastAsia="宋体" w:cs="宋体"/>
                <w:bCs/>
                <w:sz w:val="24"/>
                <w:szCs w:val="24"/>
              </w:rPr>
              <w:t>株</w:t>
            </w:r>
          </w:p>
        </w:tc>
        <w:tc>
          <w:tcPr>
            <w:tcW w:w="442" w:type="pct"/>
            <w:noWrap w:val="0"/>
            <w:vAlign w:val="top"/>
          </w:tcPr>
          <w:p w14:paraId="71E8BA7E">
            <w:pPr>
              <w:jc w:val="center"/>
              <w:rPr>
                <w:rFonts w:hint="eastAsia" w:ascii="宋体" w:hAnsi="宋体" w:eastAsia="宋体" w:cs="宋体"/>
                <w:bCs/>
                <w:sz w:val="24"/>
                <w:szCs w:val="24"/>
              </w:rPr>
            </w:pPr>
            <w:r>
              <w:rPr>
                <w:rFonts w:hint="eastAsia" w:ascii="宋体" w:hAnsi="宋体" w:eastAsia="宋体" w:cs="宋体"/>
                <w:bCs/>
                <w:sz w:val="24"/>
                <w:szCs w:val="24"/>
              </w:rPr>
              <w:t>6</w:t>
            </w:r>
          </w:p>
        </w:tc>
        <w:tc>
          <w:tcPr>
            <w:tcW w:w="735" w:type="pct"/>
            <w:noWrap w:val="0"/>
            <w:vAlign w:val="top"/>
          </w:tcPr>
          <w:p w14:paraId="261B52A3">
            <w:pPr>
              <w:jc w:val="center"/>
              <w:rPr>
                <w:rFonts w:hint="eastAsia" w:ascii="宋体" w:hAnsi="宋体" w:eastAsia="宋体" w:cs="宋体"/>
                <w:bCs/>
                <w:sz w:val="24"/>
                <w:szCs w:val="24"/>
              </w:rPr>
            </w:pPr>
          </w:p>
        </w:tc>
      </w:tr>
      <w:tr w14:paraId="6DE32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Merge w:val="continue"/>
            <w:noWrap w:val="0"/>
            <w:vAlign w:val="top"/>
          </w:tcPr>
          <w:p w14:paraId="33E31974">
            <w:pPr>
              <w:jc w:val="center"/>
              <w:rPr>
                <w:rFonts w:hint="eastAsia" w:ascii="宋体" w:hAnsi="宋体" w:eastAsia="宋体" w:cs="宋体"/>
                <w:bCs/>
                <w:sz w:val="24"/>
                <w:szCs w:val="24"/>
              </w:rPr>
            </w:pPr>
          </w:p>
        </w:tc>
        <w:tc>
          <w:tcPr>
            <w:tcW w:w="1028" w:type="pct"/>
            <w:noWrap w:val="0"/>
            <w:vAlign w:val="top"/>
          </w:tcPr>
          <w:p w14:paraId="3642D008">
            <w:pPr>
              <w:jc w:val="center"/>
              <w:rPr>
                <w:rFonts w:hint="eastAsia" w:ascii="宋体" w:hAnsi="宋体" w:eastAsia="宋体" w:cs="宋体"/>
                <w:bCs/>
                <w:sz w:val="24"/>
                <w:szCs w:val="24"/>
              </w:rPr>
            </w:pPr>
            <w:r>
              <w:rPr>
                <w:rFonts w:hint="eastAsia" w:ascii="宋体" w:hAnsi="宋体" w:eastAsia="宋体" w:cs="宋体"/>
                <w:bCs/>
                <w:sz w:val="24"/>
                <w:szCs w:val="24"/>
              </w:rPr>
              <w:t>杜鹃花</w:t>
            </w:r>
          </w:p>
        </w:tc>
        <w:tc>
          <w:tcPr>
            <w:tcW w:w="735" w:type="pct"/>
            <w:noWrap w:val="0"/>
            <w:vAlign w:val="top"/>
          </w:tcPr>
          <w:p w14:paraId="2B2750F8">
            <w:pPr>
              <w:jc w:val="center"/>
              <w:rPr>
                <w:rFonts w:hint="eastAsia" w:ascii="宋体" w:hAnsi="宋体" w:eastAsia="宋体" w:cs="宋体"/>
                <w:bCs/>
                <w:sz w:val="24"/>
                <w:szCs w:val="24"/>
              </w:rPr>
            </w:pPr>
            <w:r>
              <w:rPr>
                <w:rFonts w:hint="eastAsia" w:ascii="宋体" w:hAnsi="宋体" w:eastAsia="宋体" w:cs="宋体"/>
                <w:bCs/>
                <w:sz w:val="24"/>
                <w:szCs w:val="24"/>
              </w:rPr>
              <w:t>100-120</w:t>
            </w:r>
          </w:p>
        </w:tc>
        <w:tc>
          <w:tcPr>
            <w:tcW w:w="735" w:type="pct"/>
            <w:noWrap w:val="0"/>
            <w:vAlign w:val="top"/>
          </w:tcPr>
          <w:p w14:paraId="573892E7">
            <w:pPr>
              <w:jc w:val="center"/>
              <w:rPr>
                <w:rFonts w:hint="eastAsia" w:ascii="宋体" w:hAnsi="宋体" w:eastAsia="宋体" w:cs="宋体"/>
                <w:bCs/>
                <w:sz w:val="24"/>
                <w:szCs w:val="24"/>
              </w:rPr>
            </w:pPr>
            <w:r>
              <w:rPr>
                <w:rFonts w:hint="eastAsia" w:ascii="宋体" w:hAnsi="宋体" w:eastAsia="宋体" w:cs="宋体"/>
                <w:bCs/>
                <w:sz w:val="24"/>
                <w:szCs w:val="24"/>
              </w:rPr>
              <w:t>100-120</w:t>
            </w:r>
          </w:p>
        </w:tc>
        <w:tc>
          <w:tcPr>
            <w:tcW w:w="588" w:type="pct"/>
            <w:noWrap w:val="0"/>
            <w:vAlign w:val="top"/>
          </w:tcPr>
          <w:p w14:paraId="66AF2901">
            <w:pPr>
              <w:jc w:val="center"/>
              <w:rPr>
                <w:rFonts w:hint="eastAsia" w:ascii="宋体" w:hAnsi="宋体" w:eastAsia="宋体" w:cs="宋体"/>
                <w:bCs/>
                <w:sz w:val="24"/>
                <w:szCs w:val="24"/>
              </w:rPr>
            </w:pPr>
            <w:r>
              <w:rPr>
                <w:rFonts w:hint="eastAsia" w:ascii="宋体" w:hAnsi="宋体" w:eastAsia="宋体" w:cs="宋体"/>
                <w:bCs/>
                <w:sz w:val="24"/>
                <w:szCs w:val="24"/>
              </w:rPr>
              <w:t>株</w:t>
            </w:r>
          </w:p>
        </w:tc>
        <w:tc>
          <w:tcPr>
            <w:tcW w:w="442" w:type="pct"/>
            <w:noWrap w:val="0"/>
            <w:vAlign w:val="top"/>
          </w:tcPr>
          <w:p w14:paraId="04ACBBCC">
            <w:pPr>
              <w:jc w:val="center"/>
              <w:rPr>
                <w:rFonts w:hint="eastAsia" w:ascii="宋体" w:hAnsi="宋体" w:eastAsia="宋体" w:cs="宋体"/>
                <w:bCs/>
                <w:sz w:val="24"/>
                <w:szCs w:val="24"/>
              </w:rPr>
            </w:pPr>
            <w:r>
              <w:rPr>
                <w:rFonts w:hint="eastAsia" w:ascii="宋体" w:hAnsi="宋体" w:eastAsia="宋体" w:cs="宋体"/>
                <w:bCs/>
                <w:sz w:val="24"/>
                <w:szCs w:val="24"/>
              </w:rPr>
              <w:t>10</w:t>
            </w:r>
          </w:p>
        </w:tc>
        <w:tc>
          <w:tcPr>
            <w:tcW w:w="735" w:type="pct"/>
            <w:noWrap w:val="0"/>
            <w:vAlign w:val="top"/>
          </w:tcPr>
          <w:p w14:paraId="6D468D53">
            <w:pPr>
              <w:jc w:val="center"/>
              <w:rPr>
                <w:rFonts w:hint="eastAsia" w:ascii="宋体" w:hAnsi="宋体" w:eastAsia="宋体" w:cs="宋体"/>
                <w:bCs/>
                <w:sz w:val="24"/>
                <w:szCs w:val="24"/>
              </w:rPr>
            </w:pPr>
          </w:p>
        </w:tc>
      </w:tr>
      <w:tr w14:paraId="690A3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Merge w:val="continue"/>
            <w:noWrap w:val="0"/>
            <w:vAlign w:val="top"/>
          </w:tcPr>
          <w:p w14:paraId="2A0D5180">
            <w:pPr>
              <w:jc w:val="center"/>
              <w:rPr>
                <w:rFonts w:hint="eastAsia" w:ascii="宋体" w:hAnsi="宋体" w:eastAsia="宋体" w:cs="宋体"/>
                <w:bCs/>
                <w:sz w:val="24"/>
                <w:szCs w:val="24"/>
              </w:rPr>
            </w:pPr>
          </w:p>
        </w:tc>
        <w:tc>
          <w:tcPr>
            <w:tcW w:w="1028" w:type="pct"/>
            <w:noWrap w:val="0"/>
            <w:vAlign w:val="top"/>
          </w:tcPr>
          <w:p w14:paraId="51CC1A7C">
            <w:pPr>
              <w:jc w:val="center"/>
              <w:rPr>
                <w:rFonts w:hint="eastAsia" w:ascii="宋体" w:hAnsi="宋体" w:eastAsia="宋体" w:cs="宋体"/>
                <w:bCs/>
                <w:sz w:val="24"/>
                <w:szCs w:val="24"/>
              </w:rPr>
            </w:pPr>
            <w:r>
              <w:rPr>
                <w:rFonts w:hint="eastAsia" w:ascii="宋体" w:hAnsi="宋体" w:eastAsia="宋体" w:cs="宋体"/>
                <w:bCs/>
                <w:sz w:val="24"/>
                <w:szCs w:val="24"/>
              </w:rPr>
              <w:t>金边黄杨</w:t>
            </w:r>
          </w:p>
        </w:tc>
        <w:tc>
          <w:tcPr>
            <w:tcW w:w="735" w:type="pct"/>
            <w:noWrap w:val="0"/>
            <w:vAlign w:val="top"/>
          </w:tcPr>
          <w:p w14:paraId="338E6057">
            <w:pPr>
              <w:jc w:val="center"/>
              <w:rPr>
                <w:rFonts w:hint="eastAsia" w:ascii="宋体" w:hAnsi="宋体" w:eastAsia="宋体" w:cs="宋体"/>
                <w:bCs/>
                <w:sz w:val="24"/>
                <w:szCs w:val="24"/>
              </w:rPr>
            </w:pPr>
            <w:r>
              <w:rPr>
                <w:rFonts w:hint="eastAsia" w:ascii="宋体" w:hAnsi="宋体" w:eastAsia="宋体" w:cs="宋体"/>
                <w:bCs/>
                <w:sz w:val="24"/>
                <w:szCs w:val="24"/>
              </w:rPr>
              <w:t>120-130</w:t>
            </w:r>
          </w:p>
        </w:tc>
        <w:tc>
          <w:tcPr>
            <w:tcW w:w="735" w:type="pct"/>
            <w:noWrap w:val="0"/>
            <w:vAlign w:val="top"/>
          </w:tcPr>
          <w:p w14:paraId="2B3D1EC2">
            <w:pPr>
              <w:jc w:val="center"/>
              <w:rPr>
                <w:rFonts w:hint="eastAsia" w:ascii="宋体" w:hAnsi="宋体" w:eastAsia="宋体" w:cs="宋体"/>
                <w:bCs/>
                <w:sz w:val="24"/>
                <w:szCs w:val="24"/>
              </w:rPr>
            </w:pPr>
            <w:r>
              <w:rPr>
                <w:rFonts w:hint="eastAsia" w:ascii="宋体" w:hAnsi="宋体" w:eastAsia="宋体" w:cs="宋体"/>
                <w:bCs/>
                <w:sz w:val="24"/>
                <w:szCs w:val="24"/>
              </w:rPr>
              <w:t>40-60</w:t>
            </w:r>
          </w:p>
        </w:tc>
        <w:tc>
          <w:tcPr>
            <w:tcW w:w="588" w:type="pct"/>
            <w:noWrap w:val="0"/>
            <w:vAlign w:val="top"/>
          </w:tcPr>
          <w:p w14:paraId="2545684D">
            <w:pPr>
              <w:jc w:val="center"/>
              <w:rPr>
                <w:rFonts w:hint="eastAsia" w:ascii="宋体" w:hAnsi="宋体" w:eastAsia="宋体" w:cs="宋体"/>
                <w:bCs/>
                <w:sz w:val="24"/>
                <w:szCs w:val="24"/>
              </w:rPr>
            </w:pPr>
            <w:r>
              <w:rPr>
                <w:rFonts w:hint="eastAsia" w:ascii="宋体" w:hAnsi="宋体" w:eastAsia="宋体" w:cs="宋体"/>
                <w:bCs/>
                <w:sz w:val="24"/>
                <w:szCs w:val="24"/>
              </w:rPr>
              <w:t>平米</w:t>
            </w:r>
          </w:p>
        </w:tc>
        <w:tc>
          <w:tcPr>
            <w:tcW w:w="442" w:type="pct"/>
            <w:noWrap w:val="0"/>
            <w:vAlign w:val="top"/>
          </w:tcPr>
          <w:p w14:paraId="404476B0">
            <w:pPr>
              <w:jc w:val="center"/>
              <w:rPr>
                <w:rFonts w:hint="eastAsia" w:ascii="宋体" w:hAnsi="宋体" w:eastAsia="宋体" w:cs="宋体"/>
                <w:bCs/>
                <w:sz w:val="24"/>
                <w:szCs w:val="24"/>
              </w:rPr>
            </w:pPr>
            <w:r>
              <w:rPr>
                <w:rFonts w:hint="eastAsia" w:ascii="宋体" w:hAnsi="宋体" w:eastAsia="宋体" w:cs="宋体"/>
                <w:bCs/>
                <w:sz w:val="24"/>
                <w:szCs w:val="24"/>
              </w:rPr>
              <w:t>72</w:t>
            </w:r>
          </w:p>
        </w:tc>
        <w:tc>
          <w:tcPr>
            <w:tcW w:w="735" w:type="pct"/>
            <w:noWrap w:val="0"/>
            <w:vAlign w:val="top"/>
          </w:tcPr>
          <w:p w14:paraId="6FEB929C">
            <w:pPr>
              <w:jc w:val="center"/>
              <w:rPr>
                <w:rFonts w:hint="eastAsia" w:ascii="宋体" w:hAnsi="宋体" w:eastAsia="宋体" w:cs="宋体"/>
                <w:bCs/>
                <w:sz w:val="24"/>
                <w:szCs w:val="24"/>
              </w:rPr>
            </w:pPr>
          </w:p>
        </w:tc>
      </w:tr>
      <w:tr w14:paraId="17D5C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Merge w:val="continue"/>
            <w:noWrap w:val="0"/>
            <w:vAlign w:val="top"/>
          </w:tcPr>
          <w:p w14:paraId="1864CDF8">
            <w:pPr>
              <w:jc w:val="center"/>
              <w:rPr>
                <w:rFonts w:hint="eastAsia" w:ascii="宋体" w:hAnsi="宋体" w:eastAsia="宋体" w:cs="宋体"/>
                <w:bCs/>
                <w:sz w:val="24"/>
                <w:szCs w:val="24"/>
              </w:rPr>
            </w:pPr>
          </w:p>
        </w:tc>
        <w:tc>
          <w:tcPr>
            <w:tcW w:w="1028" w:type="pct"/>
            <w:noWrap w:val="0"/>
            <w:vAlign w:val="top"/>
          </w:tcPr>
          <w:p w14:paraId="7978B43F">
            <w:pPr>
              <w:jc w:val="center"/>
              <w:rPr>
                <w:rFonts w:hint="eastAsia" w:ascii="宋体" w:hAnsi="宋体" w:eastAsia="宋体" w:cs="宋体"/>
                <w:bCs/>
                <w:sz w:val="24"/>
                <w:szCs w:val="24"/>
              </w:rPr>
            </w:pPr>
            <w:r>
              <w:rPr>
                <w:rFonts w:hint="eastAsia" w:ascii="宋体" w:hAnsi="宋体" w:eastAsia="宋体" w:cs="宋体"/>
                <w:bCs/>
                <w:sz w:val="24"/>
                <w:szCs w:val="24"/>
              </w:rPr>
              <w:t>珊瑚树篱</w:t>
            </w:r>
          </w:p>
        </w:tc>
        <w:tc>
          <w:tcPr>
            <w:tcW w:w="735" w:type="pct"/>
            <w:noWrap w:val="0"/>
            <w:vAlign w:val="top"/>
          </w:tcPr>
          <w:p w14:paraId="39407381">
            <w:pPr>
              <w:jc w:val="center"/>
              <w:rPr>
                <w:rFonts w:hint="eastAsia" w:ascii="宋体" w:hAnsi="宋体" w:eastAsia="宋体" w:cs="宋体"/>
                <w:bCs/>
                <w:sz w:val="24"/>
                <w:szCs w:val="24"/>
              </w:rPr>
            </w:pPr>
            <w:r>
              <w:rPr>
                <w:rFonts w:hint="eastAsia" w:ascii="宋体" w:hAnsi="宋体" w:eastAsia="宋体" w:cs="宋体"/>
                <w:bCs/>
                <w:sz w:val="24"/>
                <w:szCs w:val="24"/>
              </w:rPr>
              <w:t>120-130</w:t>
            </w:r>
          </w:p>
        </w:tc>
        <w:tc>
          <w:tcPr>
            <w:tcW w:w="735" w:type="pct"/>
            <w:noWrap w:val="0"/>
            <w:vAlign w:val="top"/>
          </w:tcPr>
          <w:p w14:paraId="4708F803">
            <w:pPr>
              <w:jc w:val="center"/>
              <w:rPr>
                <w:rFonts w:hint="eastAsia" w:ascii="宋体" w:hAnsi="宋体" w:eastAsia="宋体" w:cs="宋体"/>
                <w:bCs/>
                <w:sz w:val="24"/>
                <w:szCs w:val="24"/>
              </w:rPr>
            </w:pPr>
            <w:r>
              <w:rPr>
                <w:rFonts w:hint="eastAsia" w:ascii="宋体" w:hAnsi="宋体" w:eastAsia="宋体" w:cs="宋体"/>
                <w:bCs/>
                <w:sz w:val="24"/>
                <w:szCs w:val="24"/>
              </w:rPr>
              <w:t>40-60</w:t>
            </w:r>
          </w:p>
        </w:tc>
        <w:tc>
          <w:tcPr>
            <w:tcW w:w="588" w:type="pct"/>
            <w:noWrap w:val="0"/>
            <w:vAlign w:val="top"/>
          </w:tcPr>
          <w:p w14:paraId="73170A5D">
            <w:pPr>
              <w:jc w:val="center"/>
              <w:rPr>
                <w:rFonts w:hint="eastAsia" w:ascii="宋体" w:hAnsi="宋体" w:eastAsia="宋体" w:cs="宋体"/>
                <w:bCs/>
                <w:sz w:val="24"/>
                <w:szCs w:val="24"/>
              </w:rPr>
            </w:pPr>
            <w:r>
              <w:rPr>
                <w:rFonts w:hint="eastAsia" w:ascii="宋体" w:hAnsi="宋体" w:eastAsia="宋体" w:cs="宋体"/>
                <w:bCs/>
                <w:sz w:val="24"/>
                <w:szCs w:val="24"/>
              </w:rPr>
              <w:t>平米</w:t>
            </w:r>
          </w:p>
        </w:tc>
        <w:tc>
          <w:tcPr>
            <w:tcW w:w="442" w:type="pct"/>
            <w:noWrap w:val="0"/>
            <w:vAlign w:val="top"/>
          </w:tcPr>
          <w:p w14:paraId="105FC818">
            <w:pPr>
              <w:jc w:val="center"/>
              <w:rPr>
                <w:rFonts w:hint="eastAsia" w:ascii="宋体" w:hAnsi="宋体" w:eastAsia="宋体" w:cs="宋体"/>
                <w:bCs/>
                <w:sz w:val="24"/>
                <w:szCs w:val="24"/>
              </w:rPr>
            </w:pPr>
            <w:r>
              <w:rPr>
                <w:rFonts w:hint="eastAsia" w:ascii="宋体" w:hAnsi="宋体" w:eastAsia="宋体" w:cs="宋体"/>
                <w:bCs/>
                <w:sz w:val="24"/>
                <w:szCs w:val="24"/>
              </w:rPr>
              <w:t>24</w:t>
            </w:r>
          </w:p>
        </w:tc>
        <w:tc>
          <w:tcPr>
            <w:tcW w:w="735" w:type="pct"/>
            <w:noWrap w:val="0"/>
            <w:vAlign w:val="top"/>
          </w:tcPr>
          <w:p w14:paraId="51FF6D97">
            <w:pPr>
              <w:jc w:val="center"/>
              <w:rPr>
                <w:rFonts w:hint="eastAsia" w:ascii="宋体" w:hAnsi="宋体" w:eastAsia="宋体" w:cs="宋体"/>
                <w:bCs/>
                <w:sz w:val="24"/>
                <w:szCs w:val="24"/>
              </w:rPr>
            </w:pPr>
          </w:p>
        </w:tc>
      </w:tr>
      <w:tr w14:paraId="65D3E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noWrap w:val="0"/>
            <w:vAlign w:val="top"/>
          </w:tcPr>
          <w:p w14:paraId="3420914C">
            <w:pPr>
              <w:jc w:val="center"/>
              <w:rPr>
                <w:rFonts w:hint="eastAsia" w:ascii="宋体" w:hAnsi="宋体" w:eastAsia="宋体" w:cs="宋体"/>
                <w:bCs/>
                <w:sz w:val="24"/>
                <w:szCs w:val="24"/>
              </w:rPr>
            </w:pPr>
            <w:r>
              <w:rPr>
                <w:rFonts w:hint="eastAsia" w:ascii="宋体" w:hAnsi="宋体" w:eastAsia="宋体" w:cs="宋体"/>
                <w:bCs/>
                <w:sz w:val="24"/>
                <w:szCs w:val="24"/>
              </w:rPr>
              <w:t>竹苗木</w:t>
            </w:r>
          </w:p>
        </w:tc>
        <w:tc>
          <w:tcPr>
            <w:tcW w:w="1028" w:type="pct"/>
            <w:noWrap w:val="0"/>
            <w:vAlign w:val="top"/>
          </w:tcPr>
          <w:p w14:paraId="5AD766DA">
            <w:pPr>
              <w:jc w:val="center"/>
              <w:rPr>
                <w:rFonts w:hint="eastAsia" w:ascii="宋体" w:hAnsi="宋体" w:eastAsia="宋体" w:cs="宋体"/>
                <w:bCs/>
                <w:sz w:val="24"/>
                <w:szCs w:val="24"/>
              </w:rPr>
            </w:pPr>
            <w:r>
              <w:rPr>
                <w:rFonts w:hint="eastAsia" w:ascii="宋体" w:hAnsi="宋体" w:eastAsia="宋体" w:cs="宋体"/>
                <w:bCs/>
                <w:sz w:val="24"/>
                <w:szCs w:val="24"/>
              </w:rPr>
              <w:t>黄金间碧玉竹</w:t>
            </w:r>
          </w:p>
        </w:tc>
        <w:tc>
          <w:tcPr>
            <w:tcW w:w="735" w:type="pct"/>
            <w:noWrap w:val="0"/>
            <w:vAlign w:val="top"/>
          </w:tcPr>
          <w:p w14:paraId="4B8AD912">
            <w:pPr>
              <w:jc w:val="center"/>
              <w:rPr>
                <w:rFonts w:hint="eastAsia" w:ascii="宋体" w:hAnsi="宋体" w:eastAsia="宋体" w:cs="宋体"/>
                <w:bCs/>
                <w:sz w:val="24"/>
                <w:szCs w:val="24"/>
              </w:rPr>
            </w:pPr>
            <w:r>
              <w:rPr>
                <w:rFonts w:hint="eastAsia" w:ascii="宋体" w:hAnsi="宋体" w:eastAsia="宋体" w:cs="宋体"/>
                <w:bCs/>
                <w:sz w:val="24"/>
                <w:szCs w:val="24"/>
              </w:rPr>
              <w:t>200-250</w:t>
            </w:r>
          </w:p>
        </w:tc>
        <w:tc>
          <w:tcPr>
            <w:tcW w:w="735" w:type="pct"/>
            <w:noWrap w:val="0"/>
            <w:vAlign w:val="top"/>
          </w:tcPr>
          <w:p w14:paraId="4B0B6F90">
            <w:pPr>
              <w:jc w:val="center"/>
              <w:rPr>
                <w:rFonts w:hint="eastAsia" w:ascii="宋体" w:hAnsi="宋体" w:eastAsia="宋体" w:cs="宋体"/>
                <w:bCs/>
                <w:sz w:val="24"/>
                <w:szCs w:val="24"/>
              </w:rPr>
            </w:pPr>
          </w:p>
        </w:tc>
        <w:tc>
          <w:tcPr>
            <w:tcW w:w="588" w:type="pct"/>
            <w:noWrap w:val="0"/>
            <w:vAlign w:val="top"/>
          </w:tcPr>
          <w:p w14:paraId="447262C3">
            <w:pPr>
              <w:jc w:val="center"/>
              <w:rPr>
                <w:rFonts w:hint="eastAsia" w:ascii="宋体" w:hAnsi="宋体" w:eastAsia="宋体" w:cs="宋体"/>
                <w:bCs/>
                <w:sz w:val="24"/>
                <w:szCs w:val="24"/>
              </w:rPr>
            </w:pPr>
            <w:r>
              <w:rPr>
                <w:rFonts w:hint="eastAsia" w:ascii="宋体" w:hAnsi="宋体" w:eastAsia="宋体" w:cs="宋体"/>
                <w:bCs/>
                <w:sz w:val="24"/>
                <w:szCs w:val="24"/>
              </w:rPr>
              <w:t>平米</w:t>
            </w:r>
          </w:p>
        </w:tc>
        <w:tc>
          <w:tcPr>
            <w:tcW w:w="442" w:type="pct"/>
            <w:noWrap w:val="0"/>
            <w:vAlign w:val="top"/>
          </w:tcPr>
          <w:p w14:paraId="4D18C9C5">
            <w:pPr>
              <w:jc w:val="center"/>
              <w:rPr>
                <w:rFonts w:hint="eastAsia" w:ascii="宋体" w:hAnsi="宋体" w:eastAsia="宋体" w:cs="宋体"/>
                <w:bCs/>
                <w:sz w:val="24"/>
                <w:szCs w:val="24"/>
              </w:rPr>
            </w:pPr>
            <w:r>
              <w:rPr>
                <w:rFonts w:hint="eastAsia" w:ascii="宋体" w:hAnsi="宋体" w:eastAsia="宋体" w:cs="宋体"/>
                <w:bCs/>
                <w:sz w:val="24"/>
                <w:szCs w:val="24"/>
              </w:rPr>
              <w:t>113</w:t>
            </w:r>
          </w:p>
        </w:tc>
        <w:tc>
          <w:tcPr>
            <w:tcW w:w="735" w:type="pct"/>
            <w:noWrap w:val="0"/>
            <w:vAlign w:val="top"/>
          </w:tcPr>
          <w:p w14:paraId="6141942C">
            <w:pPr>
              <w:jc w:val="center"/>
              <w:rPr>
                <w:rFonts w:hint="eastAsia" w:ascii="宋体" w:hAnsi="宋体" w:eastAsia="宋体" w:cs="宋体"/>
                <w:bCs/>
                <w:sz w:val="24"/>
                <w:szCs w:val="24"/>
              </w:rPr>
            </w:pPr>
          </w:p>
        </w:tc>
      </w:tr>
    </w:tbl>
    <w:p w14:paraId="37A3BDBF">
      <w:pPr>
        <w:spacing w:line="400" w:lineRule="exact"/>
        <w:ind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bCs/>
          <w:sz w:val="24"/>
          <w:szCs w:val="24"/>
        </w:rPr>
        <w:t>注：以上数据以实际数量为准。</w:t>
      </w:r>
    </w:p>
    <w:p w14:paraId="4B7AE2E6">
      <w:pPr>
        <w:keepNext w:val="0"/>
        <w:keepLines w:val="0"/>
        <w:pageBreakBefore w:val="0"/>
        <w:widowControl w:val="0"/>
        <w:kinsoku/>
        <w:wordWrap/>
        <w:overflowPunct/>
        <w:topLinePunct w:val="0"/>
        <w:autoSpaceDE/>
        <w:autoSpaceDN/>
        <w:bidi w:val="0"/>
        <w:adjustRightInd/>
        <w:snapToGrid/>
        <w:spacing w:line="360" w:lineRule="auto"/>
        <w:ind w:firstLine="437"/>
        <w:jc w:val="left"/>
        <w:textAlignment w:val="auto"/>
        <w:outlineLvl w:val="3"/>
        <w:rPr>
          <w:rFonts w:hint="eastAsia" w:ascii="宋体" w:hAnsi="宋体" w:eastAsia="宋体" w:cs="宋体"/>
          <w:b/>
          <w:bCs w:val="0"/>
          <w:sz w:val="24"/>
        </w:rPr>
      </w:pPr>
      <w:r>
        <w:rPr>
          <w:rFonts w:hint="eastAsia" w:ascii="宋体" w:hAnsi="宋体" w:eastAsia="宋体" w:cs="宋体"/>
          <w:b/>
          <w:bCs w:val="0"/>
          <w:sz w:val="24"/>
        </w:rPr>
        <w:t>三、服务需求</w:t>
      </w:r>
    </w:p>
    <w:p w14:paraId="76D3E57A">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本项目招标物业的服务管理内容包括：</w:t>
      </w:r>
      <w:bookmarkStart w:id="5" w:name="OLE_LINK22"/>
      <w:r>
        <w:rPr>
          <w:rFonts w:hint="eastAsia" w:ascii="宋体" w:hAnsi="宋体" w:eastAsia="宋体" w:cs="宋体"/>
          <w:sz w:val="24"/>
          <w:szCs w:val="24"/>
        </w:rPr>
        <w:t>公共秩序维护和安全服务、室内外环境保洁、绿化和绿植摆放养护服务（含病虫害防治）、垃圾清运（按照属地要求做好垃圾分类工作）、除“四害”、零星维修服务</w:t>
      </w:r>
      <w:bookmarkStart w:id="6" w:name="OLE_LINK2"/>
      <w:r>
        <w:rPr>
          <w:rFonts w:hint="eastAsia" w:ascii="宋体" w:hAnsi="宋体" w:eastAsia="宋体" w:cs="宋体"/>
          <w:sz w:val="24"/>
          <w:szCs w:val="24"/>
        </w:rPr>
        <w:t>、</w:t>
      </w:r>
      <w:bookmarkEnd w:id="6"/>
      <w:r>
        <w:rPr>
          <w:rFonts w:hint="eastAsia" w:ascii="宋体" w:hAnsi="宋体" w:eastAsia="宋体" w:cs="宋体"/>
          <w:sz w:val="24"/>
          <w:szCs w:val="24"/>
        </w:rPr>
        <w:t>房屋（含屋面）和设施设备运行管理（包括电梯、中央空调、消防系统、开水器等）、智能车库运行管理。配合学校做好文明城市创建工作、卫生防疫工作、突发事件应急处置、重大活动保障等服务管理工作。</w:t>
      </w:r>
    </w:p>
    <w:bookmarkEnd w:id="5"/>
    <w:p w14:paraId="41175F26">
      <w:pPr>
        <w:pStyle w:val="4"/>
        <w:keepNext w:val="0"/>
        <w:keepLines w:val="0"/>
        <w:pageBreakBefore w:val="0"/>
        <w:widowControl w:val="0"/>
        <w:kinsoku/>
        <w:wordWrap/>
        <w:overflowPunct/>
        <w:topLinePunct w:val="0"/>
        <w:autoSpaceDE/>
        <w:autoSpaceDN/>
        <w:bidi w:val="0"/>
        <w:adjustRightInd/>
        <w:snapToGrid/>
        <w:spacing w:after="0" w:line="360" w:lineRule="auto"/>
        <w:ind w:lef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物业服务除了要符合GB 2894-2025《安全色和安全标志》、</w:t>
      </w:r>
      <w:r>
        <w:rPr>
          <w:rFonts w:hint="eastAsia" w:ascii="宋体" w:hAnsi="宋体" w:eastAsia="宋体" w:cs="宋体"/>
          <w:color w:val="auto"/>
          <w:kern w:val="2"/>
          <w:sz w:val="24"/>
          <w:szCs w:val="24"/>
          <w:lang w:val="zh-CN" w:eastAsia="zh-CN" w:bidi="ar-SA"/>
        </w:rPr>
        <w:t>《声环境质量标准》（GB 3096-2008）</w:t>
      </w:r>
      <w:r>
        <w:rPr>
          <w:rFonts w:hint="eastAsia" w:ascii="宋体" w:hAnsi="宋体" w:eastAsia="宋体" w:cs="宋体"/>
          <w:color w:val="auto"/>
          <w:sz w:val="24"/>
          <w:szCs w:val="24"/>
        </w:rPr>
        <w:t>、《标志用公共信息图形符号第1部分：通用符号》（GB/T10001.1）、GB 13495.1-2015《消防安全标志》、《常用危险化学品贮存通则》（GB15603）、《污水综合排放标准》（GB8978-1996）、《中华人民共和国特种设备安全法》、《住宅室内装饰装修管理办法》（住建部 第110号，自 2002年5月1日起施行）、《建筑装饰工程验收规范》（GB50210）、《住宅装饰装修工程施工规范》（GB50327）、《民用建筑工程室内环境污染控制规范》（GB50325）、《安徽省民用建筑节能办法》（安徽省人民政府令  第243号）、《危险化学品安全管理办法》（国务院令第591 号）、GB 17051-2025《二次供水设施卫生规范》、《生活饮用水卫生标准》（GB5749）、《电梯维护保养规则》（TSG T5002）、TSG 08-2026《特种设备使用管理规则》、《空调通风系统运行管理标准》（GB50365）、《室内空气质量标准》（GB/T18883）、《安全防范系统维护保养规范》（GA/T 1081）等标准外，还应满足采购人提出的下列物业服务内容及其标准。</w:t>
      </w:r>
    </w:p>
    <w:p w14:paraId="1BF55CC5">
      <w:pPr>
        <w:pStyle w:val="4"/>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kern w:val="2"/>
          <w:sz w:val="24"/>
          <w:szCs w:val="24"/>
          <w:lang w:val="zh-CN" w:eastAsia="zh-CN" w:bidi="ar-SA"/>
        </w:rPr>
        <w:t>（一）</w:t>
      </w:r>
      <w:r>
        <w:rPr>
          <w:rFonts w:hint="eastAsia" w:ascii="宋体" w:hAnsi="宋体" w:eastAsia="宋体" w:cs="宋体"/>
          <w:b/>
          <w:bCs/>
          <w:color w:val="auto"/>
          <w:sz w:val="24"/>
          <w:szCs w:val="24"/>
        </w:rPr>
        <w:t>总体要求</w:t>
      </w:r>
    </w:p>
    <w:p w14:paraId="456CE19E">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1.中标人应保持房屋建筑的完好和设施设备的正常运行。</w:t>
      </w:r>
    </w:p>
    <w:p w14:paraId="1F8CAA59">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2.中标人应从本项目实际出发，根据《安徽省民用建筑节能办法》，充分考虑制定合适、有效的节约能源方案，并付诸实施。</w:t>
      </w:r>
    </w:p>
    <w:p w14:paraId="63F23D92">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3.中标人应提供全天候的公共秩序维护和安全服务，维护正常的办公秩序。</w:t>
      </w:r>
    </w:p>
    <w:p w14:paraId="7170899B">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4.中标人应按时完成规定的环境卫生保洁服务，为工作人员和来访者提供整洁、卫生、安全、舒适、美观的工作环境。</w:t>
      </w:r>
    </w:p>
    <w:p w14:paraId="55B98F5C">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5.中标人应对物业服务范围内的室内外绿化进行养护服务，及时进行修剪整理，保持景观效果和优美环境。</w:t>
      </w:r>
    </w:p>
    <w:p w14:paraId="4DA1BE31">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6.中标人应保持房屋建筑本体的完好和各项功能的正常。</w:t>
      </w:r>
    </w:p>
    <w:p w14:paraId="03170175">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7.中标人应加强对各类设施设备的养护和维修，保证其正常运行。从实际出发，考虑制定合适、有效的节约能源方案，并付诸实施。</w:t>
      </w:r>
    </w:p>
    <w:p w14:paraId="644773B1">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8.中标人应对自然灾害、事故、公共卫生事件和社会安全事件等突发公共事件建立应急预案，并组织实施培训、演习、评价和改进，突发事件按规定途径及时报告有关部门，并采取相应措施。</w:t>
      </w:r>
    </w:p>
    <w:p w14:paraId="4ACA3932">
      <w:pPr>
        <w:pStyle w:val="4"/>
        <w:keepNext w:val="0"/>
        <w:keepLines w:val="0"/>
        <w:pageBreakBefore w:val="0"/>
        <w:widowControl w:val="0"/>
        <w:kinsoku/>
        <w:wordWrap/>
        <w:overflowPunct/>
        <w:topLinePunct w:val="0"/>
        <w:autoSpaceDE/>
        <w:autoSpaceDN/>
        <w:bidi w:val="0"/>
        <w:adjustRightInd/>
        <w:snapToGrid/>
        <w:spacing w:after="0" w:line="360" w:lineRule="auto"/>
        <w:ind w:lef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9.物业档案管理有较完善的物业管理档案制度，档案内容至少应包括：物业竣工验收档案；楼宇及其配套设施清册；设备使用说明书，设备管理、维修保养档案；物业日常管理工作档案。</w:t>
      </w:r>
    </w:p>
    <w:p w14:paraId="14E22CF1">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10.中标人应管理好专业维保公司，使其工作及其质量符合要求和标准，做到安全、及时、有效。</w:t>
      </w:r>
    </w:p>
    <w:p w14:paraId="145198E3">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11.工作人员工作期间一律规范着装。</w:t>
      </w:r>
    </w:p>
    <w:p w14:paraId="14A6C01E">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12.物业管理服务应符合《合肥市非住宅项目物业服务质量评价标准》。</w:t>
      </w:r>
    </w:p>
    <w:p w14:paraId="4F9925DD">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13.完成学校交办的其他物业工作任务。</w:t>
      </w:r>
    </w:p>
    <w:p w14:paraId="515F3F2B">
      <w:pPr>
        <w:keepNext w:val="0"/>
        <w:keepLines w:val="0"/>
        <w:pageBreakBefore w:val="0"/>
        <w:widowControl w:val="0"/>
        <w:numPr>
          <w:ilvl w:val="0"/>
          <w:numId w:val="0"/>
        </w:numPr>
        <w:kinsoku/>
        <w:wordWrap/>
        <w:overflowPunct/>
        <w:topLinePunct w:val="0"/>
        <w:autoSpaceDE/>
        <w:autoSpaceDN/>
        <w:bidi w:val="0"/>
        <w:adjustRightInd/>
        <w:snapToGrid/>
        <w:spacing w:line="360" w:lineRule="auto"/>
        <w:contextualSpacing/>
        <w:jc w:val="both"/>
        <w:textAlignment w:val="auto"/>
        <w:rPr>
          <w:rFonts w:hint="eastAsia" w:ascii="宋体" w:hAnsi="宋体" w:eastAsia="宋体" w:cs="宋体"/>
          <w:b/>
          <w:bCs/>
          <w:sz w:val="24"/>
          <w:szCs w:val="24"/>
        </w:rPr>
      </w:pPr>
      <w:r>
        <w:rPr>
          <w:rFonts w:hint="eastAsia" w:ascii="宋体" w:hAnsi="宋体" w:eastAsia="宋体" w:cs="宋体"/>
          <w:b/>
          <w:bCs/>
          <w:kern w:val="2"/>
          <w:sz w:val="24"/>
          <w:szCs w:val="24"/>
          <w:lang w:val="en-US" w:eastAsia="zh-CN" w:bidi="ar-SA"/>
        </w:rPr>
        <w:t>（二）</w:t>
      </w:r>
      <w:r>
        <w:rPr>
          <w:rFonts w:hint="eastAsia" w:ascii="宋体" w:hAnsi="宋体" w:eastAsia="宋体" w:cs="宋体"/>
          <w:b/>
          <w:bCs/>
          <w:sz w:val="24"/>
          <w:szCs w:val="24"/>
        </w:rPr>
        <w:t>秩序管理</w:t>
      </w:r>
    </w:p>
    <w:p w14:paraId="6695E5A2">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1.门卫：出入口实行24小时值岗，工作人员从人行闸机通行。对来访人员实行身份证查验登记并电话联系，非办公时间一般不得进入办公区域。接待人员对来访人员用语礼貌规范；对物品进出实施分类管理，实行大件物品进出审验制度，拒绝危险物品进入。</w:t>
      </w:r>
    </w:p>
    <w:p w14:paraId="1F50415B">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2.巡查：明确巡查工作职责，规范巡查工作流程，制定相对固定的巡查路线。对重点区域、重点部位（火灾隐患、水、气泄漏等）至少每2小时巡查一次并记录，确保楼内相关设施设备稳定运行。发现违章行为应及时制止和纠正，对可疑现象应及时进行查问；巡查应使用巡更设备，在监控中心保持巡更记录；收到中央监控室发出的指令后，巡查人员应及时到达现场，并采取相应措施；巡查中发现各区域内的异常情况，应立即通知有关部门并在现场采取必要措施，随时准备启动相应的应急预案。配合学校安全管理部门开展的安全检查工作。</w:t>
      </w:r>
    </w:p>
    <w:p w14:paraId="4BAE1702">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3.监控：监视监控设施应24小时开通，保持完整的监控记录，保证对楼宇安全出入口、内部重点区域的安全监控、录像及协助布警；监控中心收到火情、险情及其他异常情况报警信号后，应及时报警，并安排保安人员及时赶到现场进行前期处理；监控的录入资料应至少保持90天，有特殊要求的参照相关规定或行业标准执行。监控室由安全和消防两部分，安排专人24小时值班，</w:t>
      </w:r>
      <w:r>
        <w:rPr>
          <w:rFonts w:hint="eastAsia" w:ascii="宋体" w:hAnsi="宋体" w:eastAsia="宋体" w:cs="宋体"/>
          <w:sz w:val="24"/>
          <w:szCs w:val="24"/>
          <w:lang w:eastAsia="zh-CN"/>
        </w:rPr>
        <w:t>监控室值班人员</w:t>
      </w:r>
      <w:r>
        <w:rPr>
          <w:rFonts w:hint="eastAsia" w:ascii="宋体" w:hAnsi="宋体" w:eastAsia="宋体" w:cs="宋体"/>
          <w:sz w:val="24"/>
          <w:szCs w:val="24"/>
        </w:rPr>
        <w:t>持证中级（4级消防操作员）上岗。悬挂消控室火灾报警处置流程图、消防控制室值班制度、值班员操作证书复印件。</w:t>
      </w:r>
    </w:p>
    <w:p w14:paraId="04E96946">
      <w:pPr>
        <w:pStyle w:val="4"/>
        <w:keepNext w:val="0"/>
        <w:keepLines w:val="0"/>
        <w:pageBreakBefore w:val="0"/>
        <w:widowControl w:val="0"/>
        <w:kinsoku/>
        <w:wordWrap/>
        <w:overflowPunct/>
        <w:topLinePunct w:val="0"/>
        <w:autoSpaceDE/>
        <w:autoSpaceDN/>
        <w:bidi w:val="0"/>
        <w:adjustRightInd/>
        <w:snapToGrid/>
        <w:spacing w:after="0" w:line="360" w:lineRule="auto"/>
        <w:ind w:lef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rPr>
        <w:t>4.</w:t>
      </w:r>
      <w:r>
        <w:rPr>
          <w:rFonts w:hint="eastAsia" w:ascii="宋体" w:hAnsi="宋体" w:eastAsia="宋体" w:cs="宋体"/>
          <w:color w:val="auto"/>
          <w:sz w:val="24"/>
          <w:szCs w:val="24"/>
        </w:rPr>
        <w:t>停车收费管理：安保人员应对进出区域内的各类车辆进行管理，维护交通秩序，保证车辆便于通行、易于停放；地下车库</w:t>
      </w:r>
      <w:r>
        <w:rPr>
          <w:rFonts w:hint="eastAsia" w:ascii="宋体" w:hAnsi="宋体" w:eastAsia="宋体" w:cs="宋体"/>
          <w:color w:val="auto"/>
          <w:sz w:val="24"/>
          <w:szCs w:val="24"/>
          <w:lang w:val="en-US"/>
        </w:rPr>
        <w:t>实施</w:t>
      </w:r>
      <w:r>
        <w:rPr>
          <w:rFonts w:hint="eastAsia" w:ascii="宋体" w:hAnsi="宋体" w:eastAsia="宋体" w:cs="宋体"/>
          <w:color w:val="auto"/>
          <w:sz w:val="24"/>
          <w:szCs w:val="24"/>
        </w:rPr>
        <w:t xml:space="preserve"> 24 小时专人管理，</w:t>
      </w:r>
      <w:r>
        <w:rPr>
          <w:rFonts w:hint="eastAsia" w:ascii="宋体" w:hAnsi="宋体" w:eastAsia="宋体" w:cs="宋体"/>
          <w:color w:val="auto"/>
          <w:sz w:val="24"/>
          <w:szCs w:val="24"/>
          <w:lang w:val="en-US"/>
        </w:rPr>
        <w:t>车辆停放有序，</w:t>
      </w:r>
      <w:r>
        <w:rPr>
          <w:rFonts w:hint="eastAsia" w:ascii="宋体" w:hAnsi="宋体" w:eastAsia="宋体" w:cs="宋体"/>
          <w:color w:val="auto"/>
          <w:sz w:val="24"/>
          <w:szCs w:val="24"/>
        </w:rPr>
        <w:t>每</w:t>
      </w:r>
      <w:r>
        <w:rPr>
          <w:rFonts w:hint="eastAsia" w:ascii="宋体" w:hAnsi="宋体" w:eastAsia="宋体" w:cs="宋体"/>
          <w:color w:val="auto"/>
          <w:sz w:val="24"/>
          <w:szCs w:val="24"/>
          <w:lang w:val="en-US"/>
        </w:rPr>
        <w:t>1</w:t>
      </w:r>
      <w:r>
        <w:rPr>
          <w:rFonts w:hint="eastAsia" w:ascii="宋体" w:hAnsi="宋体" w:eastAsia="宋体" w:cs="宋体"/>
          <w:color w:val="auto"/>
          <w:sz w:val="24"/>
          <w:szCs w:val="24"/>
        </w:rPr>
        <w:t>小时巡查一次。车库场地地面无废弃物、无明显污渍、油渍，无渗漏、无积水，通风良好；无杂物、易燃易爆物等物品存放；非机动车应定点有序停放。</w:t>
      </w:r>
    </w:p>
    <w:p w14:paraId="1DBFBECD">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5.突发公共事件处置：依照《安徽省突发公共事件总体应急预案》的要求，制定物业突发公共事件的应急预案，并在物业办公室、监控室、机房等处室内悬挂。每年应组织不少于1次的突发公共事件应急演习；当发生突发公共事件时，各岗位管理人员必须按规定实行岗位警戒，根据不同突发公共事件的现场情况应变处理。在有关部门到达现场前，保证人身安全，减少财产损失，并全力协助政府部门处理相关事宜。</w:t>
      </w:r>
    </w:p>
    <w:p w14:paraId="41C2B81F">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6.完成学校交办的其他物业工作任务。</w:t>
      </w:r>
    </w:p>
    <w:p w14:paraId="15DA6819">
      <w:pPr>
        <w:pStyle w:val="4"/>
        <w:keepNext w:val="0"/>
        <w:keepLines w:val="0"/>
        <w:pageBreakBefore w:val="0"/>
        <w:widowControl w:val="0"/>
        <w:kinsoku/>
        <w:wordWrap/>
        <w:overflowPunct/>
        <w:topLinePunct w:val="0"/>
        <w:autoSpaceDE/>
        <w:autoSpaceDN/>
        <w:bidi w:val="0"/>
        <w:adjustRightInd/>
        <w:snapToGrid/>
        <w:spacing w:after="0" w:line="360" w:lineRule="auto"/>
        <w:ind w:left="0"/>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（三）环境维护</w:t>
      </w:r>
    </w:p>
    <w:p w14:paraId="19E68138">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contextualSpacing/>
        <w:jc w:val="both"/>
        <w:textAlignment w:val="auto"/>
        <w:outlineLvl w:val="2"/>
        <w:rPr>
          <w:rFonts w:hint="eastAsia" w:ascii="宋体" w:hAnsi="宋体" w:eastAsia="宋体" w:cs="宋体"/>
          <w:sz w:val="24"/>
          <w:szCs w:val="24"/>
          <w:highlight w:val="none"/>
        </w:rPr>
      </w:pPr>
      <w:r>
        <w:rPr>
          <w:rFonts w:hint="eastAsia" w:ascii="宋体" w:hAnsi="宋体" w:eastAsia="宋体" w:cs="宋体"/>
          <w:sz w:val="24"/>
          <w:szCs w:val="24"/>
          <w:highlight w:val="none"/>
        </w:rPr>
        <w:t>1.环境卫生保洁包括但不仅限于以下服务内容：</w:t>
      </w:r>
    </w:p>
    <w:p w14:paraId="4727783E">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contextualSpacing/>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（1）办公室以外的大厅、楼梯间、走廊/走道、停车场（含地下停车场） 、卫生间等公共场所、</w:t>
      </w:r>
      <w:r>
        <w:rPr>
          <w:rFonts w:hint="eastAsia" w:ascii="宋体" w:hAnsi="宋体" w:eastAsia="宋体" w:cs="宋体"/>
          <w:sz w:val="24"/>
          <w:szCs w:val="24"/>
          <w:highlight w:val="none"/>
          <w:lang w:eastAsia="zh-CN"/>
        </w:rPr>
        <w:t>大</w:t>
      </w:r>
      <w:r>
        <w:rPr>
          <w:rFonts w:hint="eastAsia" w:ascii="宋体" w:hAnsi="宋体" w:eastAsia="宋体" w:cs="宋体"/>
          <w:sz w:val="24"/>
          <w:szCs w:val="24"/>
          <w:highlight w:val="none"/>
        </w:rPr>
        <w:t>会议室</w:t>
      </w:r>
      <w:r>
        <w:rPr>
          <w:rFonts w:hint="eastAsia" w:ascii="宋体" w:hAnsi="宋体" w:eastAsia="宋体" w:cs="宋体"/>
          <w:sz w:val="24"/>
          <w:szCs w:val="24"/>
          <w:highlight w:val="none"/>
          <w:lang w:eastAsia="zh-CN"/>
        </w:rPr>
        <w:t>、报告厅</w:t>
      </w:r>
      <w:r>
        <w:rPr>
          <w:rFonts w:hint="eastAsia" w:ascii="宋体" w:hAnsi="宋体" w:eastAsia="宋体" w:cs="宋体"/>
          <w:sz w:val="24"/>
          <w:szCs w:val="24"/>
          <w:highlight w:val="none"/>
        </w:rPr>
        <w:t>的日常卫生保洁、垃圾整理收集和清运。</w:t>
      </w:r>
    </w:p>
    <w:p w14:paraId="301E486D">
      <w:pPr>
        <w:pStyle w:val="3"/>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（2）卫生间的地面、墙面、门窗、灯具、镜子、卫生洁具等设施的日常清洁保养；卫生间清洁用品（如卫生球、</w:t>
      </w:r>
      <w:r>
        <w:rPr>
          <w:rFonts w:hint="eastAsia" w:ascii="宋体" w:hAnsi="宋体" w:eastAsia="宋体" w:cs="宋体"/>
          <w:sz w:val="24"/>
          <w:szCs w:val="24"/>
          <w:highlight w:val="none"/>
          <w:lang w:val="en-US" w:eastAsia="zh-CN"/>
        </w:rPr>
        <w:t>84消毒液、</w:t>
      </w:r>
      <w:r>
        <w:rPr>
          <w:rFonts w:hint="eastAsia" w:ascii="宋体" w:hAnsi="宋体" w:eastAsia="宋体" w:cs="宋体"/>
          <w:sz w:val="24"/>
          <w:szCs w:val="24"/>
          <w:highlight w:val="none"/>
        </w:rPr>
        <w:t>垃圾袋等）的配备和及时更换；定期对卫生间进行一次消毒杀菌处理。</w:t>
      </w:r>
    </w:p>
    <w:p w14:paraId="7A0375E7">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contextualSpacing/>
        <w:jc w:val="both"/>
        <w:textAlignment w:val="auto"/>
        <w:outlineLvl w:val="2"/>
        <w:rPr>
          <w:rFonts w:hint="eastAsia" w:ascii="宋体" w:hAnsi="宋体" w:eastAsia="宋体" w:cs="宋体"/>
          <w:sz w:val="24"/>
          <w:szCs w:val="24"/>
          <w:highlight w:val="none"/>
        </w:rPr>
      </w:pPr>
      <w:r>
        <w:rPr>
          <w:rFonts w:hint="eastAsia" w:ascii="宋体" w:hAnsi="宋体" w:eastAsia="宋体" w:cs="宋体"/>
          <w:sz w:val="24"/>
          <w:szCs w:val="24"/>
          <w:highlight w:val="none"/>
        </w:rPr>
        <w:t>（3）制定办公区卫生防疫制度，定期清洁杀菌消毒(环境、垃圾桶、卫生间、排水渠道、开水间、热水器、过滤器等)、灭除害虫；消杀有记录。</w:t>
      </w:r>
    </w:p>
    <w:p w14:paraId="244454C8">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contextualSpacing/>
        <w:jc w:val="both"/>
        <w:textAlignment w:val="auto"/>
        <w:outlineLvl w:val="2"/>
        <w:rPr>
          <w:rFonts w:hint="eastAsia" w:ascii="宋体" w:hAnsi="宋体" w:eastAsia="宋体" w:cs="宋体"/>
          <w:sz w:val="24"/>
          <w:szCs w:val="24"/>
          <w:highlight w:val="none"/>
        </w:rPr>
      </w:pPr>
      <w:r>
        <w:rPr>
          <w:rFonts w:hint="eastAsia" w:ascii="宋体" w:hAnsi="宋体" w:eastAsia="宋体" w:cs="宋体"/>
          <w:sz w:val="24"/>
          <w:szCs w:val="24"/>
          <w:highlight w:val="none"/>
        </w:rPr>
        <w:t>（4）不锈钢、地砖等特殊材质定期保养。</w:t>
      </w:r>
    </w:p>
    <w:p w14:paraId="3247237B">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contextualSpacing/>
        <w:jc w:val="both"/>
        <w:textAlignment w:val="auto"/>
        <w:outlineLvl w:val="2"/>
        <w:rPr>
          <w:rFonts w:hint="eastAsia" w:ascii="宋体" w:hAnsi="宋体" w:eastAsia="宋体" w:cs="宋体"/>
          <w:b/>
          <w:bCs/>
          <w:sz w:val="24"/>
          <w:szCs w:val="24"/>
          <w:highlight w:val="none"/>
        </w:rPr>
      </w:pPr>
      <w:r>
        <w:rPr>
          <w:rFonts w:hint="eastAsia" w:ascii="宋体" w:hAnsi="宋体" w:eastAsia="宋体" w:cs="宋体"/>
          <w:sz w:val="24"/>
          <w:szCs w:val="24"/>
          <w:highlight w:val="none"/>
        </w:rPr>
        <w:t>（5）</w:t>
      </w:r>
      <w:r>
        <w:rPr>
          <w:rFonts w:hint="eastAsia" w:ascii="宋体" w:hAnsi="宋体" w:eastAsia="宋体" w:cs="宋体"/>
          <w:kern w:val="0"/>
          <w:sz w:val="24"/>
          <w:szCs w:val="24"/>
          <w:highlight w:val="none"/>
        </w:rPr>
        <w:t>楼顶每月清扫不少于一次，保持一般清洁和无落水管漏斗堵塞现象，特殊天气根据学校要求加大清扫频次或进行专项清扫。</w:t>
      </w:r>
    </w:p>
    <w:p w14:paraId="4CAA7CC3">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contextualSpacing/>
        <w:jc w:val="both"/>
        <w:textAlignment w:val="auto"/>
        <w:outlineLvl w:val="2"/>
        <w:rPr>
          <w:rFonts w:hint="eastAsia" w:ascii="宋体" w:hAnsi="宋体" w:eastAsia="宋体" w:cs="宋体"/>
          <w:sz w:val="24"/>
          <w:szCs w:val="24"/>
          <w:highlight w:val="none"/>
        </w:rPr>
      </w:pPr>
      <w:r>
        <w:rPr>
          <w:rFonts w:hint="eastAsia" w:ascii="宋体" w:hAnsi="宋体" w:eastAsia="宋体" w:cs="宋体"/>
          <w:sz w:val="24"/>
          <w:szCs w:val="24"/>
          <w:highlight w:val="none"/>
        </w:rPr>
        <w:t>（6）完成学校交办的其它物业工作任务。</w:t>
      </w:r>
    </w:p>
    <w:p w14:paraId="3B687725">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contextualSpacing/>
        <w:jc w:val="both"/>
        <w:textAlignment w:val="auto"/>
        <w:outlineLvl w:val="2"/>
        <w:rPr>
          <w:rFonts w:hint="eastAsia" w:ascii="宋体" w:hAnsi="宋体" w:eastAsia="宋体" w:cs="宋体"/>
          <w:sz w:val="24"/>
          <w:szCs w:val="24"/>
          <w:highlight w:val="none"/>
        </w:rPr>
      </w:pPr>
      <w:r>
        <w:rPr>
          <w:rFonts w:hint="eastAsia" w:ascii="宋体" w:hAnsi="宋体" w:eastAsia="宋体" w:cs="宋体"/>
          <w:sz w:val="24"/>
          <w:szCs w:val="24"/>
          <w:highlight w:val="none"/>
        </w:rPr>
        <w:t>2.环境卫生保洁服务要求：</w:t>
      </w:r>
    </w:p>
    <w:p w14:paraId="5E0892A9">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contextualSpacing/>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（1）配置专职保洁服务人员，明确环境卫生保洁责任范围， 环境卫生保洁服务实行定时定点和流动保洁相结合，保持物业服务区域卫生、整洁、干净。</w:t>
      </w:r>
    </w:p>
    <w:p w14:paraId="527E4D67">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contextualSpacing/>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（2）做好垃圾分类管理，并督促垃圾及时清运。</w:t>
      </w:r>
    </w:p>
    <w:p w14:paraId="4FEC3E47">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contextualSpacing/>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消毒灭害工作应在尽量不影响工作人员办公的前提下进行，如上班前、下班后或者节假日等；使用的药品是防疫部门发放的，或者使用应符合国家、行业标准的低毒高效药剂。消毒灭害工作过程中注意做好个人防护，不得出现人员伤害现象。消毒灭害或日常保洁工作进行后，应采取通风或必要的异味处理方案，确保正常上班时间无异味。</w:t>
      </w:r>
    </w:p>
    <w:p w14:paraId="60AE8251">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contextualSpacing/>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（4）灭鼠、灭蟑的毒饵、药剂应妥善保管，施放、回收应有记录。</w:t>
      </w:r>
    </w:p>
    <w:p w14:paraId="1FD9E816">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contextualSpacing/>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（5）出现自来水爆管、化粪池外溢、公共性疫情等情况，应立即启动相应应急预案，全力配合有关部门，保障办公及来访人员人身安全，减少财产损失。</w:t>
      </w:r>
    </w:p>
    <w:p w14:paraId="0C35E913">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contextualSpacing/>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根据办公楼建筑物装饰装修及其不同材质情况，给出了主要材质不同材质的清洁要求（见表1）以及各区域环境卫生保洁要求（见表2）。</w:t>
      </w:r>
    </w:p>
    <w:p w14:paraId="2B239761">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表1 主要材质清洁质量要求</w:t>
      </w:r>
    </w:p>
    <w:tbl>
      <w:tblPr>
        <w:tblStyle w:val="16"/>
        <w:tblW w:w="500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48"/>
        <w:gridCol w:w="1643"/>
        <w:gridCol w:w="5730"/>
      </w:tblGrid>
      <w:tr w14:paraId="2D537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570" w:type="pct"/>
            <w:noWrap w:val="0"/>
            <w:vAlign w:val="center"/>
          </w:tcPr>
          <w:p w14:paraId="57DD328C">
            <w:pPr>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大类</w:t>
            </w:r>
          </w:p>
        </w:tc>
        <w:tc>
          <w:tcPr>
            <w:tcW w:w="987" w:type="pct"/>
            <w:noWrap w:val="0"/>
            <w:vAlign w:val="center"/>
          </w:tcPr>
          <w:p w14:paraId="629555B4">
            <w:pPr>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材质</w:t>
            </w:r>
          </w:p>
        </w:tc>
        <w:tc>
          <w:tcPr>
            <w:tcW w:w="3442" w:type="pct"/>
            <w:noWrap w:val="0"/>
            <w:vAlign w:val="center"/>
          </w:tcPr>
          <w:p w14:paraId="37894ED1">
            <w:pPr>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质量要求</w:t>
            </w:r>
          </w:p>
        </w:tc>
      </w:tr>
      <w:tr w14:paraId="645C4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570" w:type="pct"/>
            <w:vMerge w:val="restart"/>
            <w:tcBorders>
              <w:bottom w:val="nil"/>
            </w:tcBorders>
            <w:noWrap w:val="0"/>
            <w:vAlign w:val="center"/>
          </w:tcPr>
          <w:p w14:paraId="7CFE9CCA">
            <w:pPr>
              <w:jc w:val="center"/>
              <w:rPr>
                <w:rFonts w:hint="eastAsia" w:ascii="宋体" w:hAnsi="宋体" w:eastAsia="宋体" w:cs="宋体"/>
                <w:kern w:val="0"/>
                <w:sz w:val="24"/>
                <w:szCs w:val="24"/>
              </w:rPr>
            </w:pPr>
            <w:r>
              <w:rPr>
                <w:rFonts w:hint="eastAsia" w:ascii="宋体" w:hAnsi="宋体" w:eastAsia="宋体" w:cs="宋体"/>
                <w:kern w:val="0"/>
                <w:sz w:val="24"/>
                <w:szCs w:val="24"/>
              </w:rPr>
              <w:t>硬地面</w:t>
            </w:r>
          </w:p>
        </w:tc>
        <w:tc>
          <w:tcPr>
            <w:tcW w:w="987" w:type="pct"/>
            <w:noWrap w:val="0"/>
            <w:vAlign w:val="center"/>
          </w:tcPr>
          <w:p w14:paraId="5B90A2C3">
            <w:pPr>
              <w:jc w:val="center"/>
              <w:rPr>
                <w:rFonts w:hint="eastAsia" w:ascii="宋体" w:hAnsi="宋体" w:eastAsia="宋体" w:cs="宋体"/>
                <w:kern w:val="0"/>
                <w:sz w:val="24"/>
                <w:szCs w:val="24"/>
              </w:rPr>
            </w:pPr>
            <w:r>
              <w:rPr>
                <w:rFonts w:hint="eastAsia" w:ascii="宋体" w:hAnsi="宋体" w:eastAsia="宋体" w:cs="宋体"/>
                <w:kern w:val="0"/>
                <w:sz w:val="24"/>
                <w:szCs w:val="24"/>
              </w:rPr>
              <w:t>大理石</w:t>
            </w:r>
          </w:p>
        </w:tc>
        <w:tc>
          <w:tcPr>
            <w:tcW w:w="3442" w:type="pct"/>
            <w:noWrap w:val="0"/>
            <w:vAlign w:val="center"/>
          </w:tcPr>
          <w:p w14:paraId="688314DD">
            <w:pPr>
              <w:jc w:val="left"/>
              <w:rPr>
                <w:rFonts w:hint="eastAsia" w:ascii="宋体" w:hAnsi="宋体" w:eastAsia="宋体" w:cs="宋体"/>
                <w:kern w:val="0"/>
                <w:sz w:val="24"/>
                <w:szCs w:val="24"/>
              </w:rPr>
            </w:pPr>
            <w:r>
              <w:rPr>
                <w:rFonts w:hint="eastAsia" w:ascii="宋体" w:hAnsi="宋体" w:eastAsia="宋体" w:cs="宋体"/>
                <w:kern w:val="0"/>
                <w:sz w:val="24"/>
                <w:szCs w:val="24"/>
              </w:rPr>
              <w:t>表面光亮、洁净、接缝四周边角无污垢。</w:t>
            </w:r>
          </w:p>
        </w:tc>
      </w:tr>
      <w:tr w14:paraId="6E08C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570" w:type="pct"/>
            <w:vMerge w:val="continue"/>
            <w:tcBorders>
              <w:top w:val="nil"/>
            </w:tcBorders>
            <w:noWrap w:val="0"/>
            <w:vAlign w:val="center"/>
          </w:tcPr>
          <w:p w14:paraId="74BB48F7">
            <w:pPr>
              <w:jc w:val="center"/>
              <w:rPr>
                <w:rFonts w:hint="eastAsia" w:ascii="宋体" w:hAnsi="宋体" w:eastAsia="宋体" w:cs="宋体"/>
                <w:kern w:val="0"/>
                <w:sz w:val="24"/>
                <w:szCs w:val="24"/>
              </w:rPr>
            </w:pPr>
          </w:p>
        </w:tc>
        <w:tc>
          <w:tcPr>
            <w:tcW w:w="987" w:type="pct"/>
            <w:noWrap w:val="0"/>
            <w:vAlign w:val="center"/>
          </w:tcPr>
          <w:p w14:paraId="3DD71CC3">
            <w:pPr>
              <w:jc w:val="center"/>
              <w:rPr>
                <w:rFonts w:hint="eastAsia" w:ascii="宋体" w:hAnsi="宋体" w:eastAsia="宋体" w:cs="宋体"/>
                <w:kern w:val="0"/>
                <w:sz w:val="24"/>
                <w:szCs w:val="24"/>
              </w:rPr>
            </w:pPr>
            <w:r>
              <w:rPr>
                <w:rFonts w:hint="eastAsia" w:ascii="宋体" w:hAnsi="宋体" w:eastAsia="宋体" w:cs="宋体"/>
                <w:kern w:val="0"/>
                <w:sz w:val="24"/>
                <w:szCs w:val="24"/>
              </w:rPr>
              <w:t>瓷砖</w:t>
            </w:r>
          </w:p>
        </w:tc>
        <w:tc>
          <w:tcPr>
            <w:tcW w:w="3442" w:type="pct"/>
            <w:noWrap w:val="0"/>
            <w:vAlign w:val="center"/>
          </w:tcPr>
          <w:p w14:paraId="2E2860DB">
            <w:pPr>
              <w:jc w:val="left"/>
              <w:rPr>
                <w:rFonts w:hint="eastAsia" w:ascii="宋体" w:hAnsi="宋体" w:eastAsia="宋体" w:cs="宋体"/>
                <w:kern w:val="0"/>
                <w:sz w:val="24"/>
                <w:szCs w:val="24"/>
              </w:rPr>
            </w:pPr>
            <w:r>
              <w:rPr>
                <w:rFonts w:hint="eastAsia" w:ascii="宋体" w:hAnsi="宋体" w:eastAsia="宋体" w:cs="宋体"/>
                <w:kern w:val="0"/>
                <w:sz w:val="24"/>
                <w:szCs w:val="24"/>
              </w:rPr>
              <w:t>光洁、明亮、无污渍、无水迹。</w:t>
            </w:r>
          </w:p>
        </w:tc>
      </w:tr>
      <w:tr w14:paraId="4D665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570" w:type="pct"/>
            <w:noWrap w:val="0"/>
            <w:vAlign w:val="center"/>
          </w:tcPr>
          <w:p w14:paraId="13E490AD">
            <w:pPr>
              <w:jc w:val="center"/>
              <w:rPr>
                <w:rFonts w:hint="eastAsia" w:ascii="宋体" w:hAnsi="宋体" w:eastAsia="宋体" w:cs="宋体"/>
                <w:kern w:val="0"/>
                <w:sz w:val="24"/>
                <w:szCs w:val="24"/>
              </w:rPr>
            </w:pPr>
            <w:r>
              <w:rPr>
                <w:rFonts w:hint="eastAsia" w:ascii="宋体" w:hAnsi="宋体" w:eastAsia="宋体" w:cs="宋体"/>
                <w:kern w:val="0"/>
                <w:sz w:val="24"/>
                <w:szCs w:val="24"/>
              </w:rPr>
              <w:t>软地面</w:t>
            </w:r>
          </w:p>
        </w:tc>
        <w:tc>
          <w:tcPr>
            <w:tcW w:w="987" w:type="pct"/>
            <w:noWrap w:val="0"/>
            <w:vAlign w:val="center"/>
          </w:tcPr>
          <w:p w14:paraId="0CD38AA5">
            <w:pPr>
              <w:jc w:val="center"/>
              <w:rPr>
                <w:rFonts w:hint="eastAsia" w:ascii="宋体" w:hAnsi="宋体" w:eastAsia="宋体" w:cs="宋体"/>
                <w:kern w:val="0"/>
                <w:sz w:val="24"/>
                <w:szCs w:val="24"/>
              </w:rPr>
            </w:pPr>
            <w:r>
              <w:rPr>
                <w:rFonts w:hint="eastAsia" w:ascii="宋体" w:hAnsi="宋体" w:eastAsia="宋体" w:cs="宋体"/>
                <w:kern w:val="0"/>
                <w:sz w:val="24"/>
                <w:szCs w:val="24"/>
              </w:rPr>
              <w:t>地毯</w:t>
            </w:r>
          </w:p>
        </w:tc>
        <w:tc>
          <w:tcPr>
            <w:tcW w:w="3442" w:type="pct"/>
            <w:noWrap w:val="0"/>
            <w:vAlign w:val="center"/>
          </w:tcPr>
          <w:p w14:paraId="2AA4343F">
            <w:pPr>
              <w:jc w:val="left"/>
              <w:rPr>
                <w:rFonts w:hint="eastAsia" w:ascii="宋体" w:hAnsi="宋体" w:eastAsia="宋体" w:cs="宋体"/>
                <w:kern w:val="0"/>
                <w:sz w:val="24"/>
                <w:szCs w:val="24"/>
              </w:rPr>
            </w:pPr>
            <w:r>
              <w:rPr>
                <w:rFonts w:hint="eastAsia" w:ascii="宋体" w:hAnsi="宋体" w:eastAsia="宋体" w:cs="宋体"/>
                <w:kern w:val="0"/>
                <w:sz w:val="24"/>
                <w:szCs w:val="24"/>
              </w:rPr>
              <w:t>色泽均一、无褪色、 无毛边、柔软、纤维成同一方向。</w:t>
            </w:r>
          </w:p>
        </w:tc>
      </w:tr>
      <w:tr w14:paraId="1B553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570" w:type="pct"/>
            <w:vMerge w:val="restart"/>
            <w:tcBorders>
              <w:bottom w:val="nil"/>
            </w:tcBorders>
            <w:noWrap w:val="0"/>
            <w:vAlign w:val="center"/>
          </w:tcPr>
          <w:p w14:paraId="13F57B05">
            <w:pPr>
              <w:jc w:val="center"/>
              <w:rPr>
                <w:rFonts w:hint="eastAsia" w:ascii="宋体" w:hAnsi="宋体" w:eastAsia="宋体" w:cs="宋体"/>
                <w:kern w:val="0"/>
                <w:sz w:val="24"/>
                <w:szCs w:val="24"/>
              </w:rPr>
            </w:pPr>
            <w:r>
              <w:rPr>
                <w:rFonts w:hint="eastAsia" w:ascii="宋体" w:hAnsi="宋体" w:eastAsia="宋体" w:cs="宋体"/>
                <w:kern w:val="0"/>
                <w:sz w:val="24"/>
                <w:szCs w:val="24"/>
              </w:rPr>
              <w:t>金属材质</w:t>
            </w:r>
          </w:p>
        </w:tc>
        <w:tc>
          <w:tcPr>
            <w:tcW w:w="987" w:type="pct"/>
            <w:noWrap w:val="0"/>
            <w:vAlign w:val="center"/>
          </w:tcPr>
          <w:p w14:paraId="1F660FDB">
            <w:pPr>
              <w:jc w:val="center"/>
              <w:rPr>
                <w:rFonts w:hint="eastAsia" w:ascii="宋体" w:hAnsi="宋体" w:eastAsia="宋体" w:cs="宋体"/>
                <w:kern w:val="0"/>
                <w:sz w:val="24"/>
                <w:szCs w:val="24"/>
              </w:rPr>
            </w:pPr>
            <w:r>
              <w:rPr>
                <w:rFonts w:hint="eastAsia" w:ascii="宋体" w:hAnsi="宋体" w:eastAsia="宋体" w:cs="宋体"/>
                <w:kern w:val="0"/>
                <w:sz w:val="24"/>
                <w:szCs w:val="24"/>
              </w:rPr>
              <w:t>亚光丝纹不锈钢</w:t>
            </w:r>
          </w:p>
        </w:tc>
        <w:tc>
          <w:tcPr>
            <w:tcW w:w="3442" w:type="pct"/>
            <w:noWrap w:val="0"/>
            <w:vAlign w:val="center"/>
          </w:tcPr>
          <w:p w14:paraId="6E0416DD">
            <w:pPr>
              <w:jc w:val="left"/>
              <w:rPr>
                <w:rFonts w:hint="eastAsia" w:ascii="宋体" w:hAnsi="宋体" w:eastAsia="宋体" w:cs="宋体"/>
                <w:kern w:val="0"/>
                <w:sz w:val="24"/>
                <w:szCs w:val="24"/>
              </w:rPr>
            </w:pPr>
            <w:r>
              <w:rPr>
                <w:rFonts w:hint="eastAsia" w:ascii="宋体" w:hAnsi="宋体" w:eastAsia="宋体" w:cs="宋体"/>
                <w:kern w:val="0"/>
                <w:sz w:val="24"/>
                <w:szCs w:val="24"/>
              </w:rPr>
              <w:t>表面色泽均一、无斑点、无擦痕、无污迹。</w:t>
            </w:r>
          </w:p>
        </w:tc>
      </w:tr>
      <w:tr w14:paraId="715352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570" w:type="pct"/>
            <w:vMerge w:val="continue"/>
            <w:tcBorders>
              <w:top w:val="nil"/>
              <w:bottom w:val="nil"/>
            </w:tcBorders>
            <w:noWrap w:val="0"/>
            <w:vAlign w:val="center"/>
          </w:tcPr>
          <w:p w14:paraId="56F39996">
            <w:pPr>
              <w:jc w:val="center"/>
              <w:rPr>
                <w:rFonts w:hint="eastAsia" w:ascii="宋体" w:hAnsi="宋体" w:eastAsia="宋体" w:cs="宋体"/>
                <w:kern w:val="0"/>
                <w:sz w:val="24"/>
                <w:szCs w:val="24"/>
              </w:rPr>
            </w:pPr>
          </w:p>
        </w:tc>
        <w:tc>
          <w:tcPr>
            <w:tcW w:w="987" w:type="pct"/>
            <w:noWrap w:val="0"/>
            <w:vAlign w:val="center"/>
          </w:tcPr>
          <w:p w14:paraId="23823840">
            <w:pPr>
              <w:jc w:val="center"/>
              <w:rPr>
                <w:rFonts w:hint="eastAsia" w:ascii="宋体" w:hAnsi="宋体" w:eastAsia="宋体" w:cs="宋体"/>
                <w:kern w:val="0"/>
                <w:sz w:val="24"/>
                <w:szCs w:val="24"/>
              </w:rPr>
            </w:pPr>
            <w:r>
              <w:rPr>
                <w:rFonts w:hint="eastAsia" w:ascii="宋体" w:hAnsi="宋体" w:eastAsia="宋体" w:cs="宋体"/>
                <w:kern w:val="0"/>
                <w:sz w:val="24"/>
                <w:szCs w:val="24"/>
              </w:rPr>
              <w:t>抛光镜面不锈钢</w:t>
            </w:r>
          </w:p>
        </w:tc>
        <w:tc>
          <w:tcPr>
            <w:tcW w:w="3442" w:type="pct"/>
            <w:noWrap w:val="0"/>
            <w:vAlign w:val="center"/>
          </w:tcPr>
          <w:p w14:paraId="3666F308">
            <w:pPr>
              <w:jc w:val="left"/>
              <w:rPr>
                <w:rFonts w:hint="eastAsia" w:ascii="宋体" w:hAnsi="宋体" w:eastAsia="宋体" w:cs="宋体"/>
                <w:kern w:val="0"/>
                <w:sz w:val="24"/>
                <w:szCs w:val="24"/>
              </w:rPr>
            </w:pPr>
            <w:r>
              <w:rPr>
                <w:rFonts w:hint="eastAsia" w:ascii="宋体" w:hAnsi="宋体" w:eastAsia="宋体" w:cs="宋体"/>
                <w:kern w:val="0"/>
                <w:sz w:val="24"/>
                <w:szCs w:val="24"/>
              </w:rPr>
              <w:t>明亮、无擦痕、无印迹。</w:t>
            </w:r>
          </w:p>
        </w:tc>
      </w:tr>
      <w:tr w14:paraId="26E0E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570" w:type="pct"/>
            <w:vMerge w:val="continue"/>
            <w:tcBorders>
              <w:top w:val="nil"/>
              <w:bottom w:val="nil"/>
            </w:tcBorders>
            <w:noWrap w:val="0"/>
            <w:vAlign w:val="center"/>
          </w:tcPr>
          <w:p w14:paraId="122631E6">
            <w:pPr>
              <w:jc w:val="center"/>
              <w:rPr>
                <w:rFonts w:hint="eastAsia" w:ascii="宋体" w:hAnsi="宋体" w:eastAsia="宋体" w:cs="宋体"/>
                <w:kern w:val="0"/>
                <w:sz w:val="24"/>
                <w:szCs w:val="24"/>
              </w:rPr>
            </w:pPr>
          </w:p>
        </w:tc>
        <w:tc>
          <w:tcPr>
            <w:tcW w:w="987" w:type="pct"/>
            <w:noWrap w:val="0"/>
            <w:vAlign w:val="center"/>
          </w:tcPr>
          <w:p w14:paraId="31128E5F">
            <w:pPr>
              <w:jc w:val="center"/>
              <w:rPr>
                <w:rFonts w:hint="eastAsia" w:ascii="宋体" w:hAnsi="宋体" w:eastAsia="宋体" w:cs="宋体"/>
                <w:kern w:val="0"/>
                <w:sz w:val="24"/>
                <w:szCs w:val="24"/>
              </w:rPr>
            </w:pPr>
            <w:r>
              <w:rPr>
                <w:rFonts w:hint="eastAsia" w:ascii="宋体" w:hAnsi="宋体" w:eastAsia="宋体" w:cs="宋体"/>
                <w:kern w:val="0"/>
                <w:sz w:val="24"/>
                <w:szCs w:val="24"/>
              </w:rPr>
              <w:t>亚光轧花不锈钢</w:t>
            </w:r>
          </w:p>
        </w:tc>
        <w:tc>
          <w:tcPr>
            <w:tcW w:w="3442" w:type="pct"/>
            <w:noWrap w:val="0"/>
            <w:vAlign w:val="center"/>
          </w:tcPr>
          <w:p w14:paraId="20871305">
            <w:pPr>
              <w:jc w:val="left"/>
              <w:rPr>
                <w:rFonts w:hint="eastAsia" w:ascii="宋体" w:hAnsi="宋体" w:eastAsia="宋体" w:cs="宋体"/>
                <w:kern w:val="0"/>
                <w:sz w:val="24"/>
                <w:szCs w:val="24"/>
              </w:rPr>
            </w:pPr>
            <w:r>
              <w:rPr>
                <w:rFonts w:hint="eastAsia" w:ascii="宋体" w:hAnsi="宋体" w:eastAsia="宋体" w:cs="宋体"/>
                <w:kern w:val="0"/>
                <w:sz w:val="24"/>
                <w:szCs w:val="24"/>
              </w:rPr>
              <w:t>色泽均一、无斑点、无擦痕、无污迹。</w:t>
            </w:r>
          </w:p>
        </w:tc>
      </w:tr>
      <w:tr w14:paraId="2F47EB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570" w:type="pct"/>
            <w:vMerge w:val="continue"/>
            <w:tcBorders>
              <w:top w:val="nil"/>
            </w:tcBorders>
            <w:noWrap w:val="0"/>
            <w:vAlign w:val="center"/>
          </w:tcPr>
          <w:p w14:paraId="3D4A7970">
            <w:pPr>
              <w:jc w:val="center"/>
              <w:rPr>
                <w:rFonts w:hint="eastAsia" w:ascii="宋体" w:hAnsi="宋体" w:eastAsia="宋体" w:cs="宋体"/>
                <w:kern w:val="0"/>
                <w:sz w:val="24"/>
                <w:szCs w:val="24"/>
              </w:rPr>
            </w:pPr>
          </w:p>
        </w:tc>
        <w:tc>
          <w:tcPr>
            <w:tcW w:w="987" w:type="pct"/>
            <w:noWrap w:val="0"/>
            <w:vAlign w:val="center"/>
          </w:tcPr>
          <w:p w14:paraId="56D25658">
            <w:pPr>
              <w:jc w:val="center"/>
              <w:rPr>
                <w:rFonts w:hint="eastAsia" w:ascii="宋体" w:hAnsi="宋体" w:eastAsia="宋体" w:cs="宋体"/>
                <w:kern w:val="0"/>
                <w:sz w:val="24"/>
                <w:szCs w:val="24"/>
              </w:rPr>
            </w:pPr>
            <w:r>
              <w:rPr>
                <w:rFonts w:hint="eastAsia" w:ascii="宋体" w:hAnsi="宋体" w:eastAsia="宋体" w:cs="宋体"/>
                <w:kern w:val="0"/>
                <w:sz w:val="24"/>
                <w:szCs w:val="24"/>
              </w:rPr>
              <w:t>铝合金</w:t>
            </w:r>
          </w:p>
        </w:tc>
        <w:tc>
          <w:tcPr>
            <w:tcW w:w="3442" w:type="pct"/>
            <w:noWrap w:val="0"/>
            <w:vAlign w:val="center"/>
          </w:tcPr>
          <w:p w14:paraId="39E098CF">
            <w:pPr>
              <w:jc w:val="left"/>
              <w:rPr>
                <w:rFonts w:hint="eastAsia" w:ascii="宋体" w:hAnsi="宋体" w:eastAsia="宋体" w:cs="宋体"/>
                <w:kern w:val="0"/>
                <w:sz w:val="24"/>
                <w:szCs w:val="24"/>
              </w:rPr>
            </w:pPr>
            <w:r>
              <w:rPr>
                <w:rFonts w:hint="eastAsia" w:ascii="宋体" w:hAnsi="宋体" w:eastAsia="宋体" w:cs="宋体"/>
                <w:kern w:val="0"/>
                <w:sz w:val="24"/>
                <w:szCs w:val="24"/>
              </w:rPr>
              <w:t>表面光滑、洁净、无斑点、无灰尘、无污迹。</w:t>
            </w:r>
          </w:p>
        </w:tc>
      </w:tr>
      <w:tr w14:paraId="60105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570" w:type="pct"/>
            <w:vMerge w:val="restart"/>
            <w:tcBorders>
              <w:bottom w:val="nil"/>
            </w:tcBorders>
            <w:noWrap w:val="0"/>
            <w:vAlign w:val="center"/>
          </w:tcPr>
          <w:p w14:paraId="62880EB1">
            <w:pPr>
              <w:jc w:val="center"/>
              <w:rPr>
                <w:rFonts w:hint="eastAsia" w:ascii="宋体" w:hAnsi="宋体" w:eastAsia="宋体" w:cs="宋体"/>
                <w:kern w:val="0"/>
                <w:sz w:val="24"/>
                <w:szCs w:val="24"/>
              </w:rPr>
            </w:pPr>
            <w:r>
              <w:rPr>
                <w:rFonts w:hint="eastAsia" w:ascii="宋体" w:hAnsi="宋体" w:eastAsia="宋体" w:cs="宋体"/>
                <w:kern w:val="0"/>
                <w:sz w:val="24"/>
                <w:szCs w:val="24"/>
              </w:rPr>
              <w:t>其他材质</w:t>
            </w:r>
          </w:p>
        </w:tc>
        <w:tc>
          <w:tcPr>
            <w:tcW w:w="987" w:type="pct"/>
            <w:noWrap w:val="0"/>
            <w:vAlign w:val="center"/>
          </w:tcPr>
          <w:p w14:paraId="3DDEC104">
            <w:pPr>
              <w:jc w:val="center"/>
              <w:rPr>
                <w:rFonts w:hint="eastAsia" w:ascii="宋体" w:hAnsi="宋体" w:eastAsia="宋体" w:cs="宋体"/>
                <w:kern w:val="0"/>
                <w:sz w:val="24"/>
                <w:szCs w:val="24"/>
              </w:rPr>
            </w:pPr>
            <w:r>
              <w:rPr>
                <w:rFonts w:hint="eastAsia" w:ascii="宋体" w:hAnsi="宋体" w:eastAsia="宋体" w:cs="宋体"/>
                <w:kern w:val="0"/>
                <w:sz w:val="24"/>
                <w:szCs w:val="24"/>
              </w:rPr>
              <w:t>玻璃</w:t>
            </w:r>
          </w:p>
        </w:tc>
        <w:tc>
          <w:tcPr>
            <w:tcW w:w="3442" w:type="pct"/>
            <w:noWrap w:val="0"/>
            <w:vAlign w:val="center"/>
          </w:tcPr>
          <w:p w14:paraId="5EE4EAC6">
            <w:pPr>
              <w:jc w:val="left"/>
              <w:rPr>
                <w:rFonts w:hint="eastAsia" w:ascii="宋体" w:hAnsi="宋体" w:eastAsia="宋体" w:cs="宋体"/>
                <w:kern w:val="0"/>
                <w:sz w:val="24"/>
                <w:szCs w:val="24"/>
              </w:rPr>
            </w:pPr>
            <w:r>
              <w:rPr>
                <w:rFonts w:hint="eastAsia" w:ascii="宋体" w:hAnsi="宋体" w:eastAsia="宋体" w:cs="宋体"/>
                <w:kern w:val="0"/>
                <w:sz w:val="24"/>
                <w:szCs w:val="24"/>
              </w:rPr>
              <w:t>洁净明亮、通透性强、无划痕、无水迹。</w:t>
            </w:r>
          </w:p>
        </w:tc>
      </w:tr>
      <w:tr w14:paraId="365DC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1" w:hRule="atLeast"/>
        </w:trPr>
        <w:tc>
          <w:tcPr>
            <w:tcW w:w="570" w:type="pct"/>
            <w:vMerge w:val="continue"/>
            <w:tcBorders>
              <w:top w:val="nil"/>
            </w:tcBorders>
            <w:noWrap w:val="0"/>
            <w:vAlign w:val="center"/>
          </w:tcPr>
          <w:p w14:paraId="698F8DE9">
            <w:pPr>
              <w:jc w:val="center"/>
              <w:rPr>
                <w:rFonts w:hint="eastAsia" w:ascii="宋体" w:hAnsi="宋体" w:eastAsia="宋体" w:cs="宋体"/>
                <w:kern w:val="0"/>
                <w:sz w:val="24"/>
                <w:szCs w:val="24"/>
              </w:rPr>
            </w:pPr>
          </w:p>
        </w:tc>
        <w:tc>
          <w:tcPr>
            <w:tcW w:w="987" w:type="pct"/>
            <w:noWrap w:val="0"/>
            <w:vAlign w:val="center"/>
          </w:tcPr>
          <w:p w14:paraId="66FD9366">
            <w:pPr>
              <w:jc w:val="center"/>
              <w:rPr>
                <w:rFonts w:hint="eastAsia" w:ascii="宋体" w:hAnsi="宋体" w:eastAsia="宋体" w:cs="宋体"/>
                <w:kern w:val="0"/>
                <w:sz w:val="24"/>
                <w:szCs w:val="24"/>
              </w:rPr>
            </w:pPr>
            <w:r>
              <w:rPr>
                <w:rFonts w:hint="eastAsia" w:ascii="宋体" w:hAnsi="宋体" w:eastAsia="宋体" w:cs="宋体"/>
                <w:kern w:val="0"/>
                <w:sz w:val="24"/>
                <w:szCs w:val="24"/>
              </w:rPr>
              <w:t>涂料</w:t>
            </w:r>
          </w:p>
        </w:tc>
        <w:tc>
          <w:tcPr>
            <w:tcW w:w="3442" w:type="pct"/>
            <w:noWrap w:val="0"/>
            <w:vAlign w:val="center"/>
          </w:tcPr>
          <w:p w14:paraId="4FF3C8A1">
            <w:pPr>
              <w:jc w:val="left"/>
              <w:rPr>
                <w:rFonts w:hint="eastAsia" w:ascii="宋体" w:hAnsi="宋体" w:eastAsia="宋体" w:cs="宋体"/>
                <w:kern w:val="0"/>
                <w:sz w:val="24"/>
                <w:szCs w:val="24"/>
              </w:rPr>
            </w:pPr>
            <w:r>
              <w:rPr>
                <w:rFonts w:hint="eastAsia" w:ascii="宋体" w:hAnsi="宋体" w:eastAsia="宋体" w:cs="宋体"/>
                <w:kern w:val="0"/>
                <w:sz w:val="24"/>
                <w:szCs w:val="24"/>
              </w:rPr>
              <w:t>无灰尘、无污渍。</w:t>
            </w:r>
          </w:p>
        </w:tc>
      </w:tr>
    </w:tbl>
    <w:p w14:paraId="644F764F">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表 2 各区域环境卫生保洁服务要求</w:t>
      </w:r>
    </w:p>
    <w:tbl>
      <w:tblPr>
        <w:tblStyle w:val="16"/>
        <w:tblW w:w="500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862"/>
        <w:gridCol w:w="6463"/>
      </w:tblGrid>
      <w:tr w14:paraId="3C7310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1118" w:type="pct"/>
            <w:noWrap w:val="0"/>
            <w:vAlign w:val="center"/>
          </w:tcPr>
          <w:p w14:paraId="1A5587E6">
            <w:pPr>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项目</w:t>
            </w:r>
          </w:p>
        </w:tc>
        <w:tc>
          <w:tcPr>
            <w:tcW w:w="3881" w:type="pct"/>
            <w:noWrap w:val="0"/>
            <w:vAlign w:val="center"/>
          </w:tcPr>
          <w:p w14:paraId="3CB86F48">
            <w:pPr>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服务要求</w:t>
            </w:r>
          </w:p>
        </w:tc>
      </w:tr>
      <w:tr w14:paraId="1F8C9C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27" w:hRule="atLeast"/>
          <w:jc w:val="center"/>
        </w:trPr>
        <w:tc>
          <w:tcPr>
            <w:tcW w:w="1118" w:type="pct"/>
            <w:noWrap w:val="0"/>
            <w:vAlign w:val="center"/>
          </w:tcPr>
          <w:p w14:paraId="7C8820E2">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走廊、门厅、大堂、 电梯厅、楼梯或消防梯面</w:t>
            </w:r>
          </w:p>
        </w:tc>
        <w:tc>
          <w:tcPr>
            <w:tcW w:w="3881" w:type="pct"/>
            <w:noWrap w:val="0"/>
            <w:vAlign w:val="center"/>
          </w:tcPr>
          <w:p w14:paraId="694894C5">
            <w:pPr>
              <w:ind w:firstLine="480" w:firstLineChars="200"/>
              <w:rPr>
                <w:rFonts w:hint="eastAsia" w:ascii="宋体" w:hAnsi="宋体" w:eastAsia="宋体" w:cs="宋体"/>
                <w:sz w:val="24"/>
                <w:szCs w:val="24"/>
                <w:highlight w:val="none"/>
              </w:rPr>
            </w:pPr>
            <w:r>
              <w:rPr>
                <w:rFonts w:hint="eastAsia" w:ascii="宋体" w:hAnsi="宋体" w:eastAsia="宋体" w:cs="宋体"/>
                <w:kern w:val="0"/>
                <w:sz w:val="24"/>
                <w:szCs w:val="24"/>
                <w:highlight w:val="none"/>
              </w:rPr>
              <w:t>地表面、接缝、角落、</w:t>
            </w:r>
            <w:r>
              <w:rPr>
                <w:rFonts w:hint="eastAsia" w:ascii="宋体" w:hAnsi="宋体" w:eastAsia="宋体" w:cs="宋体"/>
                <w:sz w:val="24"/>
                <w:szCs w:val="24"/>
                <w:highlight w:val="none"/>
              </w:rPr>
              <w:t>边线等处洁净，地面干净有光泽，无垃圾、杂物、灰尘、污迹、划痕等现象，保持地面材质原貌。门框、窗框、窗台、金属件表面光亮、无灰尘、无污渍、无絮状物。旋转门、门中轴、门框、门边缝部位光亮、无痕迹、无灰尘。旋转门空调出风口无灰尘、无污迹。门把手干净、无痕迹、定时消毒。</w:t>
            </w:r>
          </w:p>
        </w:tc>
      </w:tr>
      <w:tr w14:paraId="243D32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7" w:hRule="atLeast"/>
          <w:jc w:val="center"/>
        </w:trPr>
        <w:tc>
          <w:tcPr>
            <w:tcW w:w="1118" w:type="pct"/>
            <w:noWrap w:val="0"/>
            <w:vAlign w:val="center"/>
          </w:tcPr>
          <w:p w14:paraId="405CDCCB">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楼梯扶手、 栏杆、窗台、指示牌</w:t>
            </w:r>
          </w:p>
        </w:tc>
        <w:tc>
          <w:tcPr>
            <w:tcW w:w="3881" w:type="pct"/>
            <w:noWrap w:val="0"/>
            <w:vAlign w:val="center"/>
          </w:tcPr>
          <w:p w14:paraId="4CDBA214">
            <w:pPr>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保持干净、无灰尘、光亮。窗框、窗台、金属件表面光亮、无灰尘、 无污渍、无絮状物。指示牌、广告牌无灰尘、无污迹、无痕迹，金属件表面光亮，无痕迹。</w:t>
            </w:r>
          </w:p>
        </w:tc>
      </w:tr>
      <w:tr w14:paraId="180F31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0" w:hRule="atLeast"/>
          <w:jc w:val="center"/>
        </w:trPr>
        <w:tc>
          <w:tcPr>
            <w:tcW w:w="1118" w:type="pct"/>
            <w:noWrap w:val="0"/>
            <w:vAlign w:val="center"/>
          </w:tcPr>
          <w:p w14:paraId="7058C5BD">
            <w:pPr>
              <w:rPr>
                <w:rFonts w:hint="eastAsia" w:ascii="宋体" w:hAnsi="宋体" w:eastAsia="宋体" w:cs="宋体"/>
                <w:sz w:val="24"/>
                <w:szCs w:val="24"/>
                <w:highlight w:val="none"/>
              </w:rPr>
            </w:pPr>
            <w:r>
              <w:rPr>
                <w:rFonts w:hint="eastAsia" w:ascii="宋体" w:hAnsi="宋体" w:eastAsia="宋体" w:cs="宋体"/>
                <w:sz w:val="24"/>
                <w:szCs w:val="24"/>
                <w:highlight w:val="none"/>
              </w:rPr>
              <w:t>消防栓、消防箱、公共设施</w:t>
            </w:r>
          </w:p>
        </w:tc>
        <w:tc>
          <w:tcPr>
            <w:tcW w:w="3881" w:type="pct"/>
            <w:noWrap w:val="0"/>
            <w:vAlign w:val="center"/>
          </w:tcPr>
          <w:p w14:paraId="61CD451B">
            <w:pPr>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保持表面干净，无灰尘、无污渍。报警器、火警通讯电话插座、灭火器表面光亮、无灰尘、无污迹。喷淋盖、烟感器、喇叭无灰尘、无污渍。监控摄像头、门警器表面光亮、无灰尘、无斑点、无絮状物。消防栓外表面光亮、无痕迹、无灰尘，内侧无灰尘、无污迹。</w:t>
            </w:r>
          </w:p>
        </w:tc>
      </w:tr>
      <w:tr w14:paraId="72DE28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0" w:hRule="atLeast"/>
          <w:jc w:val="center"/>
        </w:trPr>
        <w:tc>
          <w:tcPr>
            <w:tcW w:w="1118" w:type="pct"/>
            <w:noWrap w:val="0"/>
            <w:vAlign w:val="center"/>
          </w:tcPr>
          <w:p w14:paraId="07AE4446">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天花板、风口、公共灯具内或外</w:t>
            </w:r>
          </w:p>
        </w:tc>
        <w:tc>
          <w:tcPr>
            <w:tcW w:w="3881" w:type="pct"/>
            <w:noWrap w:val="0"/>
            <w:vAlign w:val="center"/>
          </w:tcPr>
          <w:p w14:paraId="2A66812F">
            <w:pPr>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目视无灰尘、无死蚊虫遮贴、无污迹、无蜘蛛网，表面、接缝、角落、边线等处无污渍、无灰尘、无斑点。</w:t>
            </w:r>
          </w:p>
        </w:tc>
      </w:tr>
      <w:tr w14:paraId="01533A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118" w:type="pct"/>
            <w:noWrap w:val="0"/>
            <w:vAlign w:val="center"/>
          </w:tcPr>
          <w:p w14:paraId="0FDDF9AE">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走廊、楼梯窗玻璃、大堂门厅、电梯厅玻璃</w:t>
            </w:r>
          </w:p>
        </w:tc>
        <w:tc>
          <w:tcPr>
            <w:tcW w:w="3881" w:type="pct"/>
            <w:noWrap w:val="0"/>
            <w:vAlign w:val="center"/>
          </w:tcPr>
          <w:p w14:paraId="5E6ED53D">
            <w:pPr>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保持洁净、光亮、</w:t>
            </w:r>
            <w:r>
              <w:rPr>
                <w:rFonts w:hint="eastAsia" w:ascii="宋体" w:hAnsi="宋体" w:eastAsia="宋体" w:cs="宋体"/>
                <w:kern w:val="0"/>
                <w:sz w:val="24"/>
                <w:szCs w:val="24"/>
                <w:highlight w:val="none"/>
              </w:rPr>
              <w:t>无手印、</w:t>
            </w:r>
            <w:r>
              <w:rPr>
                <w:rFonts w:hint="eastAsia" w:ascii="宋体" w:hAnsi="宋体" w:eastAsia="宋体" w:cs="宋体"/>
                <w:sz w:val="24"/>
                <w:szCs w:val="24"/>
                <w:highlight w:val="none"/>
              </w:rPr>
              <w:t>无灰尘、无污迹、无水迹。</w:t>
            </w:r>
          </w:p>
        </w:tc>
      </w:tr>
      <w:tr w14:paraId="50FD28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jc w:val="center"/>
        </w:trPr>
        <w:tc>
          <w:tcPr>
            <w:tcW w:w="1118" w:type="pct"/>
            <w:noWrap w:val="0"/>
            <w:vAlign w:val="center"/>
          </w:tcPr>
          <w:p w14:paraId="3DA711E0">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平台、屋顶</w:t>
            </w:r>
          </w:p>
        </w:tc>
        <w:tc>
          <w:tcPr>
            <w:tcW w:w="3881" w:type="pct"/>
            <w:noWrap w:val="0"/>
            <w:vAlign w:val="center"/>
          </w:tcPr>
          <w:p w14:paraId="7CA623DC">
            <w:pPr>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无垃圾堆积。</w:t>
            </w:r>
          </w:p>
        </w:tc>
      </w:tr>
      <w:tr w14:paraId="1D228D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91" w:hRule="atLeast"/>
          <w:jc w:val="center"/>
        </w:trPr>
        <w:tc>
          <w:tcPr>
            <w:tcW w:w="1118" w:type="pct"/>
            <w:noWrap w:val="0"/>
            <w:vAlign w:val="center"/>
          </w:tcPr>
          <w:p w14:paraId="65A6A633">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服务功能性用房（如</w:t>
            </w:r>
          </w:p>
          <w:p w14:paraId="1816C53F">
            <w:pPr>
              <w:rPr>
                <w:rFonts w:hint="eastAsia" w:ascii="宋体" w:hAnsi="宋体" w:eastAsia="宋体" w:cs="宋体"/>
                <w:sz w:val="24"/>
                <w:szCs w:val="24"/>
                <w:highlight w:val="none"/>
              </w:rPr>
            </w:pPr>
            <w:r>
              <w:rPr>
                <w:rFonts w:hint="eastAsia" w:ascii="宋体" w:hAnsi="宋体" w:eastAsia="宋体" w:cs="宋体"/>
                <w:sz w:val="24"/>
                <w:szCs w:val="24"/>
                <w:highlight w:val="none"/>
              </w:rPr>
              <w:t>会议室、接待室、茶水间）</w:t>
            </w:r>
          </w:p>
        </w:tc>
        <w:tc>
          <w:tcPr>
            <w:tcW w:w="3881" w:type="pct"/>
            <w:noWrap w:val="0"/>
            <w:vAlign w:val="center"/>
          </w:tcPr>
          <w:p w14:paraId="56DC3C94">
            <w:pPr>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会议室窗台上无灰尘；玻璃明净；门板无灰尘、泥渍； 桌椅干净、摆放整齐；四壁干净，无蜘蛛网。保持干净、整洁、无垃圾。热水炉外壳应无污迹、水渍。不锈钢台面无水迹、无污渍、无擦痕。不锈钢水槽干净、无斑点、无污迹无杂物、水垢，落水口无污垢。冷、热水笼头表面光亮、无污渍、无水垢。下水道无异味、定期滴入消毒液。</w:t>
            </w:r>
          </w:p>
        </w:tc>
      </w:tr>
      <w:tr w14:paraId="7CFA5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8" w:hRule="atLeast"/>
          <w:jc w:val="center"/>
        </w:trPr>
        <w:tc>
          <w:tcPr>
            <w:tcW w:w="1118" w:type="pct"/>
            <w:noWrap w:val="0"/>
            <w:vAlign w:val="center"/>
          </w:tcPr>
          <w:p w14:paraId="2503C280">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公共卫生间</w:t>
            </w:r>
          </w:p>
        </w:tc>
        <w:tc>
          <w:tcPr>
            <w:tcW w:w="3881" w:type="pct"/>
            <w:noWrap w:val="0"/>
            <w:vAlign w:val="center"/>
          </w:tcPr>
          <w:p w14:paraId="4BA699B5">
            <w:pPr>
              <w:pStyle w:val="3"/>
              <w:ind w:firstLine="480" w:firstLineChars="200"/>
              <w:rPr>
                <w:rFonts w:hint="eastAsia" w:ascii="宋体" w:hAnsi="宋体" w:eastAsia="宋体" w:cs="宋体"/>
                <w:sz w:val="24"/>
                <w:szCs w:val="24"/>
                <w:highlight w:val="none"/>
              </w:rPr>
            </w:pPr>
            <w:r>
              <w:rPr>
                <w:rFonts w:hint="eastAsia" w:ascii="宋体" w:hAnsi="宋体" w:eastAsia="宋体" w:cs="宋体"/>
                <w:kern w:val="0"/>
                <w:sz w:val="24"/>
                <w:szCs w:val="24"/>
                <w:highlight w:val="none"/>
              </w:rPr>
              <w:t>卫生间无异味；地面干净、整洁、无积水、无积垢；厕坑便具洁净无黄渍，大小便器无积存、无脏迹；镜面、水盆、台面表面无污点，光亮；便纸篓须配置垃圾袋，即满即清；墙面、天棚、墙角、灯具无积尘、蜘蛛网，光亮；保洁工具与保洁用品要统一放在指定地点，并与其它区域的工具用品有明显区分；卫生间相关耗材及时补给；定期对卫生间进行一次消毒杀菌处理。</w:t>
            </w:r>
          </w:p>
        </w:tc>
      </w:tr>
      <w:tr w14:paraId="38375B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3" w:hRule="atLeast"/>
          <w:jc w:val="center"/>
        </w:trPr>
        <w:tc>
          <w:tcPr>
            <w:tcW w:w="1118" w:type="pct"/>
            <w:noWrap w:val="0"/>
            <w:vAlign w:val="center"/>
          </w:tcPr>
          <w:p w14:paraId="00352F83">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地下车库</w:t>
            </w:r>
          </w:p>
        </w:tc>
        <w:tc>
          <w:tcPr>
            <w:tcW w:w="3881" w:type="pct"/>
            <w:noWrap w:val="0"/>
            <w:vAlign w:val="center"/>
          </w:tcPr>
          <w:p w14:paraId="297B1D89">
            <w:pPr>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保持地面无垃圾、无污垢；空气流畅，无异味。车库管道无积灰、无 污垢。灯泡、灯管、指示灯明亮、无积灰。灯罩无积灰、无污迹。地面无积灰、无积水。定位杆、减速条无积灰、无污垢。反光镜干净、明亮、无污迹、水渍。消防通道无灰尘、无污渍、无杂物。</w:t>
            </w:r>
          </w:p>
        </w:tc>
      </w:tr>
      <w:tr w14:paraId="47C7E0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jc w:val="center"/>
        </w:trPr>
        <w:tc>
          <w:tcPr>
            <w:tcW w:w="1118" w:type="pct"/>
            <w:noWrap w:val="0"/>
            <w:vAlign w:val="center"/>
          </w:tcPr>
          <w:p w14:paraId="1D2B73E0">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垃圾收集</w:t>
            </w:r>
          </w:p>
        </w:tc>
        <w:tc>
          <w:tcPr>
            <w:tcW w:w="3881" w:type="pct"/>
            <w:noWrap w:val="0"/>
            <w:vAlign w:val="center"/>
          </w:tcPr>
          <w:p w14:paraId="4F477460">
            <w:pPr>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垃圾收集点周围地面无散落垃圾、无污水、无污迹、无异味、干净整洁。</w:t>
            </w:r>
          </w:p>
        </w:tc>
      </w:tr>
      <w:tr w14:paraId="5832B9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jc w:val="center"/>
        </w:trPr>
        <w:tc>
          <w:tcPr>
            <w:tcW w:w="1118" w:type="pct"/>
            <w:noWrap w:val="0"/>
            <w:vAlign w:val="center"/>
          </w:tcPr>
          <w:p w14:paraId="1C724D48">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电梯轿厢</w:t>
            </w:r>
          </w:p>
        </w:tc>
        <w:tc>
          <w:tcPr>
            <w:tcW w:w="3881" w:type="pct"/>
            <w:noWrap w:val="0"/>
            <w:vAlign w:val="center"/>
          </w:tcPr>
          <w:p w14:paraId="6D44ADBC">
            <w:pPr>
              <w:ind w:firstLine="480" w:firstLineChars="200"/>
              <w:rPr>
                <w:rFonts w:hint="eastAsia" w:ascii="宋体" w:hAnsi="宋体" w:eastAsia="宋体" w:cs="宋体"/>
                <w:sz w:val="24"/>
                <w:szCs w:val="24"/>
                <w:highlight w:val="none"/>
              </w:rPr>
            </w:pPr>
            <w:r>
              <w:rPr>
                <w:rFonts w:hint="eastAsia" w:ascii="宋体" w:hAnsi="宋体" w:eastAsia="宋体" w:cs="宋体"/>
                <w:kern w:val="0"/>
                <w:sz w:val="24"/>
                <w:szCs w:val="24"/>
                <w:highlight w:val="none"/>
              </w:rPr>
              <w:t>随脏随扫，果皮箱等每天清洗一次或随脏随洗。</w:t>
            </w:r>
            <w:r>
              <w:rPr>
                <w:rFonts w:hint="eastAsia" w:ascii="宋体" w:hAnsi="宋体" w:eastAsia="宋体" w:cs="宋体"/>
                <w:sz w:val="24"/>
                <w:szCs w:val="24"/>
                <w:highlight w:val="none"/>
              </w:rPr>
              <w:t>轿厢壁无浮灰；不锈钢表面光亮、无污迹。垂直升降电梯轿厢四壁光洁明亮,操作面板无污迹、无灰尘、无擦痕,保持空气清新、无异味。</w:t>
            </w:r>
          </w:p>
        </w:tc>
      </w:tr>
      <w:tr w14:paraId="7640F1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jc w:val="center"/>
        </w:trPr>
        <w:tc>
          <w:tcPr>
            <w:tcW w:w="1118" w:type="pct"/>
            <w:noWrap w:val="0"/>
            <w:vAlign w:val="center"/>
          </w:tcPr>
          <w:p w14:paraId="6BFAD1C0">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设备机房、管道</w:t>
            </w:r>
          </w:p>
        </w:tc>
        <w:tc>
          <w:tcPr>
            <w:tcW w:w="3881" w:type="pct"/>
            <w:noWrap w:val="0"/>
            <w:vAlign w:val="center"/>
          </w:tcPr>
          <w:p w14:paraId="36E7E2D0">
            <w:pPr>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无卫生死角、无垃圾堆积，无灰尘、目视无蜘蛛网、无污渍、无水渍。</w:t>
            </w:r>
          </w:p>
        </w:tc>
      </w:tr>
      <w:tr w14:paraId="12F813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jc w:val="center"/>
        </w:trPr>
        <w:tc>
          <w:tcPr>
            <w:tcW w:w="1118" w:type="pct"/>
            <w:noWrap w:val="0"/>
            <w:vAlign w:val="center"/>
          </w:tcPr>
          <w:p w14:paraId="7DFD8D42">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室内外墙</w:t>
            </w:r>
          </w:p>
        </w:tc>
        <w:tc>
          <w:tcPr>
            <w:tcW w:w="3881" w:type="pct"/>
            <w:noWrap w:val="0"/>
            <w:vAlign w:val="center"/>
          </w:tcPr>
          <w:p w14:paraId="0997B47B">
            <w:pPr>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目视洁净、光亮、无污垢。表面、接缝、角落、边线等处洁净， 无污迹、无灰尘、无划痕。</w:t>
            </w:r>
          </w:p>
        </w:tc>
      </w:tr>
      <w:tr w14:paraId="211C76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1118" w:type="pct"/>
            <w:noWrap w:val="0"/>
            <w:vAlign w:val="center"/>
          </w:tcPr>
          <w:p w14:paraId="73EAA155">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烟灰缸、垃圾桶</w:t>
            </w:r>
          </w:p>
        </w:tc>
        <w:tc>
          <w:tcPr>
            <w:tcW w:w="3881" w:type="pct"/>
            <w:noWrap w:val="0"/>
            <w:vAlign w:val="center"/>
          </w:tcPr>
          <w:p w14:paraId="13808ED3">
            <w:pPr>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桶无满溢、无异味、无污迹、烟缸及时清理。</w:t>
            </w:r>
          </w:p>
        </w:tc>
      </w:tr>
      <w:tr w14:paraId="3A471A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jc w:val="center"/>
        </w:trPr>
        <w:tc>
          <w:tcPr>
            <w:tcW w:w="1118" w:type="pct"/>
            <w:noWrap w:val="0"/>
            <w:vAlign w:val="center"/>
          </w:tcPr>
          <w:p w14:paraId="4667256D">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消杀灭害</w:t>
            </w:r>
          </w:p>
        </w:tc>
        <w:tc>
          <w:tcPr>
            <w:tcW w:w="3881" w:type="pct"/>
            <w:noWrap w:val="0"/>
            <w:vAlign w:val="center"/>
          </w:tcPr>
          <w:p w14:paraId="5BD76E10">
            <w:pPr>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对通风口、明沟、垃圾房喷洒药水，安排灭蟑螂、老鼠。</w:t>
            </w:r>
          </w:p>
        </w:tc>
      </w:tr>
      <w:tr w14:paraId="267D68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jc w:val="center"/>
        </w:trPr>
        <w:tc>
          <w:tcPr>
            <w:tcW w:w="1118" w:type="pct"/>
            <w:noWrap w:val="0"/>
            <w:vAlign w:val="center"/>
          </w:tcPr>
          <w:p w14:paraId="0857DBF6">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电器设施</w:t>
            </w:r>
          </w:p>
        </w:tc>
        <w:tc>
          <w:tcPr>
            <w:tcW w:w="3881" w:type="pct"/>
            <w:noWrap w:val="0"/>
            <w:vAlign w:val="center"/>
          </w:tcPr>
          <w:p w14:paraId="32521B72">
            <w:pPr>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灯泡、灯管无灰尘。灯罩无灰尘、无污迹。其它装饰件无灰尘、光亮、无污迹。开关、插座、配电箱无灰尘、无污迹。</w:t>
            </w:r>
          </w:p>
        </w:tc>
      </w:tr>
    </w:tbl>
    <w:p w14:paraId="6F2E694D">
      <w:pPr>
        <w:keepNext w:val="0"/>
        <w:keepLines w:val="0"/>
        <w:pageBreakBefore w:val="0"/>
        <w:widowControl w:val="0"/>
        <w:kinsoku/>
        <w:wordWrap/>
        <w:overflowPunct/>
        <w:topLinePunct w:val="0"/>
        <w:autoSpaceDE/>
        <w:autoSpaceDN/>
        <w:bidi w:val="0"/>
        <w:snapToGrid/>
        <w:spacing w:line="360" w:lineRule="auto"/>
        <w:ind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3.除“四害”管理和卫生消毒</w:t>
      </w:r>
    </w:p>
    <w:p w14:paraId="3A45D9A9">
      <w:pPr>
        <w:keepNext w:val="0"/>
        <w:keepLines w:val="0"/>
        <w:pageBreakBefore w:val="0"/>
        <w:widowControl w:val="0"/>
        <w:kinsoku/>
        <w:wordWrap/>
        <w:overflowPunct/>
        <w:topLinePunct w:val="0"/>
        <w:autoSpaceDE/>
        <w:autoSpaceDN/>
        <w:bidi w:val="0"/>
        <w:snapToGrid/>
        <w:spacing w:line="360" w:lineRule="auto"/>
        <w:ind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（1）采取综合措施消灭老鼠、蟑螂，确保设备机房等区域无鼠、无蟑螂；</w:t>
      </w:r>
    </w:p>
    <w:p w14:paraId="0AB709A3">
      <w:pPr>
        <w:keepNext w:val="0"/>
        <w:keepLines w:val="0"/>
        <w:pageBreakBefore w:val="0"/>
        <w:widowControl w:val="0"/>
        <w:kinsoku/>
        <w:wordWrap/>
        <w:overflowPunct/>
        <w:topLinePunct w:val="0"/>
        <w:autoSpaceDE/>
        <w:autoSpaceDN/>
        <w:bidi w:val="0"/>
        <w:snapToGrid/>
        <w:spacing w:line="360" w:lineRule="auto"/>
        <w:ind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（2）严格控制室内苍蝇孳生地，办公室、大厅、走廊及室内公共部分都应达到基本无蝇；严格控制室内外蚊虫孳生，逐步做到房间内无蚊虫；</w:t>
      </w:r>
    </w:p>
    <w:p w14:paraId="3E23C16B">
      <w:pPr>
        <w:keepNext w:val="0"/>
        <w:keepLines w:val="0"/>
        <w:pageBreakBefore w:val="0"/>
        <w:widowControl w:val="0"/>
        <w:kinsoku/>
        <w:wordWrap/>
        <w:overflowPunct/>
        <w:topLinePunct w:val="0"/>
        <w:autoSpaceDE/>
        <w:autoSpaceDN/>
        <w:bidi w:val="0"/>
        <w:snapToGrid/>
        <w:spacing w:line="360" w:lineRule="auto"/>
        <w:ind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（3）定期科学有效地对办公区进行卫生消毒，在化学防治中，注重科学合理用药，不使用国家禁用的药品。</w:t>
      </w:r>
    </w:p>
    <w:p w14:paraId="7438F9C2">
      <w:pPr>
        <w:keepNext w:val="0"/>
        <w:keepLines w:val="0"/>
        <w:pageBreakBefore w:val="0"/>
        <w:widowControl w:val="0"/>
        <w:kinsoku/>
        <w:wordWrap/>
        <w:overflowPunct/>
        <w:topLinePunct w:val="0"/>
        <w:autoSpaceDE/>
        <w:autoSpaceDN/>
        <w:bidi w:val="0"/>
        <w:snapToGrid/>
        <w:spacing w:line="360" w:lineRule="auto"/>
        <w:ind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4.室外卫生保洁</w:t>
      </w:r>
    </w:p>
    <w:p w14:paraId="32C7AA30">
      <w:pPr>
        <w:keepNext w:val="0"/>
        <w:keepLines w:val="0"/>
        <w:pageBreakBefore w:val="0"/>
        <w:widowControl w:val="0"/>
        <w:kinsoku/>
        <w:wordWrap/>
        <w:overflowPunct/>
        <w:topLinePunct w:val="0"/>
        <w:autoSpaceDE/>
        <w:autoSpaceDN/>
        <w:bidi w:val="0"/>
        <w:snapToGrid/>
        <w:spacing w:line="360" w:lineRule="auto"/>
        <w:ind w:firstLine="480" w:firstLineChars="200"/>
        <w:contextualSpacing/>
        <w:jc w:val="both"/>
        <w:textAlignment w:val="auto"/>
        <w:rPr>
          <w:rFonts w:hint="eastAsia" w:ascii="宋体" w:hAnsi="宋体" w:eastAsia="宋体" w:cs="宋体"/>
          <w:kern w:val="0"/>
          <w:sz w:val="24"/>
          <w:szCs w:val="24"/>
        </w:rPr>
      </w:pPr>
      <w:r>
        <w:rPr>
          <w:rFonts w:hint="eastAsia" w:ascii="宋体" w:hAnsi="宋体" w:eastAsia="宋体" w:cs="宋体"/>
          <w:sz w:val="24"/>
          <w:szCs w:val="24"/>
        </w:rPr>
        <w:t>（1）</w:t>
      </w:r>
      <w:r>
        <w:rPr>
          <w:rFonts w:hint="eastAsia" w:ascii="宋体" w:hAnsi="宋体" w:eastAsia="宋体" w:cs="宋体"/>
          <w:kern w:val="0"/>
          <w:sz w:val="24"/>
          <w:szCs w:val="24"/>
        </w:rPr>
        <w:t>道路、硬化地面、停车场、路灯、座椅、宣传栏、车棚等附属设施、绿化带等按以下要求：①室外公共区域日常清洁作业时不得影响正常办公；②硬化地面、主干道无垃圾、无杂物、无污泥、无积水、无泼撒物，干净整洁，路见本色；绿化带无白色垃圾，树上无乱悬挂；无焚烧垃圾、树叶现象；③雨水篦及排水明沟排水通畅、无堵塞、无外溢；盖板无积垢；④宣传栏、标识牌、座椅、消防设备器材、各类杆件等无积灰，无污渍，无乱贴、乱画、乱悬挂现象；⑤车棚内无积尘、无蜘蛛网，车辆摆放整齐；⑥景观石上无明显污渍，字迹清晰。</w:t>
      </w:r>
    </w:p>
    <w:p w14:paraId="38CBD3B9">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sz w:val="24"/>
          <w:szCs w:val="24"/>
        </w:rPr>
        <w:t>（2）</w:t>
      </w:r>
      <w:r>
        <w:rPr>
          <w:rFonts w:hint="eastAsia" w:ascii="宋体" w:hAnsi="宋体" w:eastAsia="宋体" w:cs="宋体"/>
          <w:kern w:val="0"/>
          <w:sz w:val="24"/>
          <w:szCs w:val="24"/>
        </w:rPr>
        <w:t>垃圾桶、果皮箱：①外观无污渍，无乱张贴现象、无异味、无滴漏污水；②无满溢现象；③配置合理，损坏及时维修或更换，相关费用由中标人承担。</w:t>
      </w:r>
    </w:p>
    <w:p w14:paraId="54EAC326">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sz w:val="24"/>
          <w:szCs w:val="24"/>
        </w:rPr>
        <w:t>（3）</w:t>
      </w:r>
      <w:r>
        <w:rPr>
          <w:rFonts w:hint="eastAsia" w:ascii="宋体" w:hAnsi="宋体" w:eastAsia="宋体" w:cs="宋体"/>
          <w:kern w:val="0"/>
          <w:sz w:val="24"/>
          <w:szCs w:val="24"/>
        </w:rPr>
        <w:t>除雨、雪季等恶劣天气外，每日须于7:30前完成道路普扫，保证环境整洁。</w:t>
      </w:r>
    </w:p>
    <w:p w14:paraId="27087675">
      <w:pPr>
        <w:keepNext w:val="0"/>
        <w:keepLines w:val="0"/>
        <w:pageBreakBefore w:val="0"/>
        <w:widowControl w:val="0"/>
        <w:kinsoku/>
        <w:wordWrap/>
        <w:overflowPunct/>
        <w:topLinePunct w:val="0"/>
        <w:autoSpaceDE/>
        <w:autoSpaceDN/>
        <w:bidi w:val="0"/>
        <w:snapToGrid/>
        <w:spacing w:line="360" w:lineRule="auto"/>
        <w:ind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5.绿化养护服务</w:t>
      </w:r>
    </w:p>
    <w:p w14:paraId="4FCA5D77">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sz w:val="24"/>
          <w:szCs w:val="24"/>
        </w:rPr>
        <w:t>（1）</w:t>
      </w:r>
      <w:r>
        <w:rPr>
          <w:rFonts w:hint="eastAsia" w:ascii="宋体" w:hAnsi="宋体" w:eastAsia="宋体" w:cs="宋体"/>
          <w:kern w:val="0"/>
          <w:sz w:val="24"/>
          <w:szCs w:val="24"/>
        </w:rPr>
        <w:t>乔木养护：①生长健壮、形态整齐、无凌乱枝条、冗长枝叶和明显病害枝；②适时适量浇水、松土、施肥；③及时清除蘖枝、杂草、杂物，土地不板结，透气良好④及时修剪，保持造型优美；⑤及时补栽因养护不当引起的死树，应使用同品种、基本同规格的苗木，保证补栽后的景观效果。⑥同一路段、区域的树木涂白高度应保持一致。⑦中标方进场一年内，需对服务区域内乔木进行一次整体全面修剪。</w:t>
      </w:r>
    </w:p>
    <w:p w14:paraId="6E95413C">
      <w:pPr>
        <w:keepNext w:val="0"/>
        <w:keepLines w:val="0"/>
        <w:pageBreakBefore w:val="0"/>
        <w:widowControl w:val="0"/>
        <w:kinsoku/>
        <w:wordWrap/>
        <w:overflowPunct/>
        <w:topLinePunct w:val="0"/>
        <w:autoSpaceDE/>
        <w:autoSpaceDN/>
        <w:bidi w:val="0"/>
        <w:snapToGrid/>
        <w:spacing w:line="360" w:lineRule="auto"/>
        <w:ind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kern w:val="0"/>
          <w:sz w:val="24"/>
          <w:szCs w:val="24"/>
        </w:rPr>
        <w:t>灌木养护：①株形整齐，造型植物轮廓清晰，修剪面平直整齐，棱角分明；②适时适量浇水、松土、施肥；③灌木根部整齐清洁，无过长杂草杂物；④及时修剪，造型优美；⑤及时处理并根据季节补栽因养护不当引起的死树、及时修剪枯枝黄叶、折断枝、残留枝及明显病害枝。对遭受自然和人为损害的花木及时扶持和补苗，应使用同品种、基本同规格的苗木，保证补栽后的景观效果。</w:t>
      </w:r>
    </w:p>
    <w:p w14:paraId="65104083">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sz w:val="24"/>
          <w:szCs w:val="24"/>
        </w:rPr>
        <w:t>（3）</w:t>
      </w:r>
      <w:r>
        <w:rPr>
          <w:rFonts w:hint="eastAsia" w:ascii="宋体" w:hAnsi="宋体" w:eastAsia="宋体" w:cs="宋体"/>
          <w:kern w:val="0"/>
          <w:sz w:val="24"/>
          <w:szCs w:val="24"/>
        </w:rPr>
        <w:t>绿篱养护：①造型绿篱轮廓清晰，棱角分明；②绿篱侧面垂直，平面水平，无明显缺剪漏剪，无崩口，脚部整齐；③片植绿篱修剪应有坡度变化，但坡度应平滑，不能有明显交接口；④绿篱内杂生植物、爬藤等及时清除。</w:t>
      </w:r>
    </w:p>
    <w:p w14:paraId="6C55E12B">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kern w:val="0"/>
          <w:sz w:val="24"/>
          <w:szCs w:val="24"/>
        </w:rPr>
        <w:t>草坪养护：①草地嫩绿，长势优良，无烂草、感病草，草坪缺损的及时补植；②及时清除杂草；③适时适量浇水施肥；④及时剪草，修剪平整、美观，边缘整齐。</w:t>
      </w:r>
    </w:p>
    <w:p w14:paraId="6B220080">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sz w:val="24"/>
          <w:szCs w:val="24"/>
        </w:rPr>
        <w:t>（5）</w:t>
      </w:r>
      <w:r>
        <w:rPr>
          <w:rFonts w:hint="eastAsia" w:ascii="宋体" w:hAnsi="宋体" w:eastAsia="宋体" w:cs="宋体"/>
          <w:kern w:val="0"/>
          <w:sz w:val="24"/>
          <w:szCs w:val="24"/>
        </w:rPr>
        <w:t>安全检查：①定期检查，确保树木存活、安全；②支柱保护材料在同一路段或区域内应当统一，支柱方式要规范、整齐；③消除或尽量减少暴雨、大风对绿化的影响，及时做好受影响树木的修剪、扶正等工作。</w:t>
      </w:r>
    </w:p>
    <w:p w14:paraId="67BEA3B4">
      <w:pPr>
        <w:keepNext w:val="0"/>
        <w:keepLines w:val="0"/>
        <w:pageBreakBefore w:val="0"/>
        <w:widowControl w:val="0"/>
        <w:kinsoku/>
        <w:wordWrap/>
        <w:overflowPunct/>
        <w:topLinePunct w:val="0"/>
        <w:autoSpaceDE/>
        <w:autoSpaceDN/>
        <w:bidi w:val="0"/>
        <w:adjustRightInd w:val="0"/>
        <w:snapToGrid/>
        <w:spacing w:line="360" w:lineRule="auto"/>
        <w:ind w:firstLine="480" w:firstLineChars="200"/>
        <w:contextualSpacing/>
        <w:jc w:val="both"/>
        <w:textAlignment w:val="auto"/>
        <w:rPr>
          <w:rFonts w:hint="eastAsia" w:ascii="宋体" w:hAnsi="宋体" w:eastAsia="宋体" w:cs="宋体"/>
          <w:kern w:val="0"/>
          <w:sz w:val="24"/>
          <w:szCs w:val="24"/>
        </w:rPr>
      </w:pPr>
      <w:r>
        <w:rPr>
          <w:rFonts w:hint="eastAsia" w:ascii="宋体" w:hAnsi="宋体" w:eastAsia="宋体" w:cs="宋体"/>
          <w:sz w:val="24"/>
          <w:szCs w:val="24"/>
        </w:rPr>
        <w:t>（6）</w:t>
      </w:r>
      <w:r>
        <w:rPr>
          <w:rFonts w:hint="eastAsia" w:ascii="宋体" w:hAnsi="宋体" w:eastAsia="宋体" w:cs="宋体"/>
          <w:kern w:val="0"/>
          <w:sz w:val="24"/>
          <w:szCs w:val="24"/>
        </w:rPr>
        <w:t>按学校要求建立健全校园绿化植物档案。</w:t>
      </w:r>
    </w:p>
    <w:p w14:paraId="7F578B21">
      <w:pPr>
        <w:keepNext w:val="0"/>
        <w:keepLines w:val="0"/>
        <w:pageBreakBefore w:val="0"/>
        <w:widowControl w:val="0"/>
        <w:kinsoku/>
        <w:wordWrap/>
        <w:overflowPunct/>
        <w:topLinePunct w:val="0"/>
        <w:autoSpaceDE/>
        <w:autoSpaceDN/>
        <w:bidi w:val="0"/>
        <w:adjustRightInd w:val="0"/>
        <w:snapToGrid/>
        <w:spacing w:line="360" w:lineRule="auto"/>
        <w:contextualSpacing/>
        <w:jc w:val="both"/>
        <w:textAlignment w:val="auto"/>
        <w:outlineLvl w:val="1"/>
        <w:rPr>
          <w:rFonts w:hint="eastAsia" w:ascii="宋体" w:hAnsi="宋体" w:eastAsia="宋体" w:cs="宋体"/>
          <w:b/>
          <w:bCs/>
          <w:sz w:val="24"/>
          <w:szCs w:val="24"/>
        </w:rPr>
      </w:pPr>
      <w:r>
        <w:rPr>
          <w:rFonts w:hint="eastAsia" w:ascii="宋体" w:hAnsi="宋体" w:eastAsia="宋体" w:cs="宋体"/>
          <w:b/>
          <w:bCs/>
          <w:sz w:val="24"/>
          <w:szCs w:val="24"/>
        </w:rPr>
        <w:t>（四）房屋及设施设备维护</w:t>
      </w:r>
    </w:p>
    <w:p w14:paraId="5ED20CB9">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1.房屋维护养护管理</w:t>
      </w:r>
    </w:p>
    <w:p w14:paraId="47AD9FDC">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（1）建立对房屋及其共用部位、共用设施设备等进行日常巡查制度，做好巡检记录，检修记录和保养记录齐全。发现问题及时向</w:t>
      </w:r>
      <w:r>
        <w:rPr>
          <w:rFonts w:hint="eastAsia" w:ascii="宋体" w:hAnsi="宋体" w:eastAsia="宋体" w:cs="宋体"/>
          <w:kern w:val="0"/>
          <w:sz w:val="24"/>
          <w:szCs w:val="24"/>
          <w:lang w:eastAsia="zh-CN"/>
        </w:rPr>
        <w:t>采购人</w:t>
      </w:r>
      <w:r>
        <w:rPr>
          <w:rFonts w:hint="eastAsia" w:ascii="宋体" w:hAnsi="宋体" w:eastAsia="宋体" w:cs="宋体"/>
          <w:kern w:val="0"/>
          <w:sz w:val="24"/>
          <w:szCs w:val="24"/>
        </w:rPr>
        <w:t>报告，根据</w:t>
      </w:r>
      <w:r>
        <w:rPr>
          <w:rFonts w:hint="eastAsia" w:ascii="宋体" w:hAnsi="宋体" w:eastAsia="宋体" w:cs="宋体"/>
          <w:kern w:val="0"/>
          <w:sz w:val="24"/>
          <w:szCs w:val="24"/>
          <w:lang w:eastAsia="zh-CN"/>
        </w:rPr>
        <w:t>采购人</w:t>
      </w:r>
      <w:r>
        <w:rPr>
          <w:rFonts w:hint="eastAsia" w:ascii="宋体" w:hAnsi="宋体" w:eastAsia="宋体" w:cs="宋体"/>
          <w:kern w:val="0"/>
          <w:sz w:val="24"/>
          <w:szCs w:val="24"/>
        </w:rPr>
        <w:t>指示安排专项维修。</w:t>
      </w:r>
    </w:p>
    <w:p w14:paraId="777338E6">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（2）根据房屋的结构类型、用途和使用年限、使用环境等情况，每年对房屋结构进行全面检查，检查中发现问题应及时报告，制定维修计划，进行修缮。</w:t>
      </w:r>
    </w:p>
    <w:p w14:paraId="742AD24A">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（3）每年定期检查屋面、卫生间防水情况，确保无渗漏，及时清除屋面垃圾、杂草等；检查外墙和外门窗等房屋外围护结构有无渗漏现象，发现渗漏的，应及时处理并上报</w:t>
      </w:r>
      <w:r>
        <w:rPr>
          <w:rFonts w:hint="eastAsia" w:ascii="宋体" w:hAnsi="宋体" w:eastAsia="宋体" w:cs="宋体"/>
          <w:kern w:val="0"/>
          <w:sz w:val="24"/>
          <w:szCs w:val="24"/>
          <w:lang w:eastAsia="zh-CN"/>
        </w:rPr>
        <w:t>采购人</w:t>
      </w:r>
      <w:r>
        <w:rPr>
          <w:rFonts w:hint="eastAsia" w:ascii="宋体" w:hAnsi="宋体" w:eastAsia="宋体" w:cs="宋体"/>
          <w:kern w:val="0"/>
          <w:sz w:val="24"/>
          <w:szCs w:val="24"/>
        </w:rPr>
        <w:t>。</w:t>
      </w:r>
    </w:p>
    <w:p w14:paraId="76CFD004">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（4）</w:t>
      </w:r>
      <w:r>
        <w:rPr>
          <w:rFonts w:hint="eastAsia" w:ascii="宋体" w:hAnsi="宋体" w:eastAsia="宋体" w:cs="宋体"/>
          <w:sz w:val="24"/>
          <w:szCs w:val="24"/>
        </w:rPr>
        <w:t>零星维修服</w:t>
      </w:r>
      <w:r>
        <w:rPr>
          <w:rFonts w:hint="eastAsia" w:ascii="宋体" w:hAnsi="宋体" w:eastAsia="宋体" w:cs="宋体"/>
          <w:kern w:val="0"/>
          <w:sz w:val="24"/>
          <w:szCs w:val="24"/>
        </w:rPr>
        <w:t>务：单次维修中，单个配件材料单价在 500 元及以下的，由中标人承担；单个配件材料单价超过 500 元的，超出部分由采购人承担，中标人须提前报采购人确认后方可更换。（以上费用如有争议，由</w:t>
      </w:r>
      <w:r>
        <w:rPr>
          <w:rFonts w:hint="eastAsia" w:ascii="宋体" w:hAnsi="宋体" w:eastAsia="宋体" w:cs="宋体"/>
          <w:kern w:val="0"/>
          <w:sz w:val="24"/>
          <w:szCs w:val="24"/>
          <w:lang w:eastAsia="zh-CN"/>
        </w:rPr>
        <w:t>采购人</w:t>
      </w:r>
      <w:r>
        <w:rPr>
          <w:rFonts w:hint="eastAsia" w:ascii="宋体" w:hAnsi="宋体" w:eastAsia="宋体" w:cs="宋体"/>
          <w:kern w:val="0"/>
          <w:sz w:val="24"/>
          <w:szCs w:val="24"/>
        </w:rPr>
        <w:t>根据市场调研情况核定）。</w:t>
      </w:r>
    </w:p>
    <w:p w14:paraId="6D766463">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①室内公共设施设备的零星维修抢修，包括但不限于以下内容：</w:t>
      </w:r>
    </w:p>
    <w:p w14:paraId="4E2242A6">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a.给排水相关设施设备：管道（局部换管）、各类阀门、水龙头、水表、卫生洁具、红外感应器、下水疏通、屋面天沟疏通等；</w:t>
      </w:r>
    </w:p>
    <w:p w14:paraId="745C4941">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b.供配电相关设施设备：设备房（含楼层配电间、楼层配电箱等）内各类元器件、楼内线路线槽线管、开关、漏电保护器、浪涌保护器、插座、照明灯具等；</w:t>
      </w:r>
    </w:p>
    <w:p w14:paraId="26ABAF87">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c.其他设施设备：门窗及配件（含限位器）、门锁、踢脚线、纱窗、百叶、窗帘及配件、家具、门窗玻璃（钢化玻璃除外）、卫生间隔断、电开水器、疏散指示、应急照明、室内消火栓门及玻璃等；</w:t>
      </w:r>
    </w:p>
    <w:p w14:paraId="2CE6D34D">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d.墙、顶、地装饰面层的维修；</w:t>
      </w:r>
    </w:p>
    <w:p w14:paraId="3E65E25E">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②室外物业服务范围内公共设施设备的零星维修抢修，包括但不限于安全防范设施（护栏、围网、隔离桩、警示牌等）、标识标牌、景观小品、雕塑、宣传橱窗、栈道等。</w:t>
      </w:r>
    </w:p>
    <w:p w14:paraId="13C1C4B4">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sz w:val="24"/>
          <w:szCs w:val="24"/>
        </w:rPr>
        <w:t>抢急修服务15分钟内到场并及时修复，若不能完成的要有应急处理措施，并对报修师生或使用人做出合理解释；零星维修根据报修单完成维修，若不能及时修复，应对报修人做出合理解释，修复完成时间原则上不得超过24小时，如遇到需要协调解决的维修，需及时报备</w:t>
      </w:r>
      <w:r>
        <w:rPr>
          <w:rFonts w:hint="eastAsia" w:ascii="宋体" w:hAnsi="宋体" w:eastAsia="宋体" w:cs="宋体"/>
          <w:kern w:val="0"/>
          <w:sz w:val="24"/>
          <w:szCs w:val="24"/>
          <w:lang w:eastAsia="zh-CN"/>
        </w:rPr>
        <w:t>采购人</w:t>
      </w:r>
      <w:r>
        <w:rPr>
          <w:rFonts w:hint="eastAsia" w:ascii="宋体" w:hAnsi="宋体" w:eastAsia="宋体" w:cs="宋体"/>
          <w:sz w:val="24"/>
          <w:szCs w:val="24"/>
        </w:rPr>
        <w:t>，要有临时方案以避免二次投诉。保证室内外各类设施设备正常稳定运行。所有更换的配件、设备与原品牌规格参数等保持一致。</w:t>
      </w:r>
    </w:p>
    <w:p w14:paraId="36249898">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（5）宣传房屋安全使用的规范，检查和协助相关工作人员正确使用房屋及其设施设备。</w:t>
      </w:r>
    </w:p>
    <w:p w14:paraId="0E6C2F06">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（6）建立健全房屋及其设施设备竣工档案，维修设计方案及审批文件、维修施工监督记录、日常巡查记录等均应做好存档管理。物业服务合同到期后，须全部完整地移交给</w:t>
      </w:r>
      <w:r>
        <w:rPr>
          <w:rFonts w:hint="eastAsia" w:ascii="宋体" w:hAnsi="宋体" w:eastAsia="宋体" w:cs="宋体"/>
          <w:kern w:val="0"/>
          <w:sz w:val="24"/>
          <w:szCs w:val="24"/>
          <w:lang w:eastAsia="zh-CN"/>
        </w:rPr>
        <w:t>采购人</w:t>
      </w:r>
      <w:r>
        <w:rPr>
          <w:rFonts w:hint="eastAsia" w:ascii="宋体" w:hAnsi="宋体" w:eastAsia="宋体" w:cs="宋体"/>
          <w:kern w:val="0"/>
          <w:sz w:val="24"/>
          <w:szCs w:val="24"/>
        </w:rPr>
        <w:t>。</w:t>
      </w:r>
    </w:p>
    <w:p w14:paraId="33238DE0">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（7）中标人必须根据检测结构做好防雷系统的日常维护工作。房屋本体的防雷设施应在每年3月前做好防雷电设施检查，保持办公楼顶部所有的避雷设施及所有的金属物体的接地完好；防雷设施接地电阻不应大于 1 欧姆。引下线、屋顶避雷网线、中性点接地、设备层的避雷带、网无脱焊。如有生锈，应及时除锈，刷防锈漆和银粉漆进行保护。</w:t>
      </w:r>
    </w:p>
    <w:p w14:paraId="6C6A795C">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（8）每年检查一次楼宇重要机房的设备防静电地板的接地是否可靠，并对楼宇各楼层的金属窗、钢结构进行外观检查；</w:t>
      </w:r>
    </w:p>
    <w:p w14:paraId="795D1769">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（9）每半年一次对楼层强、弱电间内的接地装置进行检查，遇有问题及时解决；</w:t>
      </w:r>
    </w:p>
    <w:p w14:paraId="2A4DCCC2">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（10）每月一次对楼宇变配电室的设备接地带进行检查；每季对楼宇各重要机房内的配电柜及设备接地进行检查；保证所有机电设备、管道、构架等金属物接地良好；</w:t>
      </w:r>
    </w:p>
    <w:p w14:paraId="289518D9">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（11）主楼、副楼平台的所有避雷设施完好：</w:t>
      </w:r>
    </w:p>
    <w:p w14:paraId="39910613">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（12）接地电阻：≤4Ω , 弱电设备接地电阻：≤1Ω。</w:t>
      </w:r>
    </w:p>
    <w:p w14:paraId="1E50DCE7">
      <w:pPr>
        <w:keepNext w:val="0"/>
        <w:keepLines w:val="0"/>
        <w:pageBreakBefore w:val="0"/>
        <w:widowControl w:val="0"/>
        <w:kinsoku/>
        <w:wordWrap/>
        <w:overflowPunct/>
        <w:topLinePunct w:val="0"/>
        <w:autoSpaceDE/>
        <w:autoSpaceDN/>
        <w:bidi w:val="0"/>
        <w:snapToGrid/>
        <w:spacing w:line="360" w:lineRule="auto"/>
        <w:ind w:firstLine="600" w:firstLineChars="25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(13)</w:t>
      </w:r>
      <w:r>
        <w:rPr>
          <w:rFonts w:hint="default" w:ascii="宋体" w:hAnsi="宋体" w:eastAsia="宋体" w:cs="宋体"/>
          <w:kern w:val="0"/>
          <w:sz w:val="24"/>
          <w:szCs w:val="24"/>
        </w:rPr>
        <w:t xml:space="preserve"> </w:t>
      </w:r>
      <w:r>
        <w:rPr>
          <w:rFonts w:hint="eastAsia" w:ascii="宋体" w:hAnsi="宋体" w:eastAsia="宋体" w:cs="宋体"/>
          <w:kern w:val="0"/>
          <w:sz w:val="24"/>
          <w:szCs w:val="24"/>
        </w:rPr>
        <w:t>及时更换自爆、破损的外墙玻璃及破损、霉变的矿棉板等。</w:t>
      </w:r>
    </w:p>
    <w:p w14:paraId="39B0A661">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（14）对屋面各类管道保温材料进行更换，对裸露的金属管道粉刷防锈漆。</w:t>
      </w:r>
    </w:p>
    <w:p w14:paraId="1E8C61E7">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中标人必须做好上述检查内容的文字、影像记录资料的留存、归档工作，以备查验。</w:t>
      </w:r>
    </w:p>
    <w:p w14:paraId="4BA2A289">
      <w:pPr>
        <w:keepNext w:val="0"/>
        <w:keepLines w:val="0"/>
        <w:pageBreakBefore w:val="0"/>
        <w:widowControl w:val="0"/>
        <w:kinsoku/>
        <w:wordWrap/>
        <w:overflowPunct/>
        <w:topLinePunct w:val="0"/>
        <w:autoSpaceDE/>
        <w:autoSpaceDN/>
        <w:bidi w:val="0"/>
        <w:snapToGrid/>
        <w:spacing w:line="360" w:lineRule="auto"/>
        <w:ind w:firstLine="482" w:firstLineChars="200"/>
        <w:contextualSpacing/>
        <w:jc w:val="both"/>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2.装修管理</w:t>
      </w:r>
    </w:p>
    <w:p w14:paraId="6F6C2793">
      <w:pPr>
        <w:pStyle w:val="4"/>
        <w:keepNext w:val="0"/>
        <w:keepLines w:val="0"/>
        <w:pageBreakBefore w:val="0"/>
        <w:widowControl w:val="0"/>
        <w:kinsoku/>
        <w:wordWrap/>
        <w:overflowPunct/>
        <w:topLinePunct w:val="0"/>
        <w:autoSpaceDE/>
        <w:autoSpaceDN/>
        <w:bidi w:val="0"/>
        <w:snapToGrid/>
        <w:spacing w:after="0" w:line="360" w:lineRule="auto"/>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（1）中标人应对入住单位装修施工实施监督，每日4次到装修施工现场查看施工情况。发现违反装修方案、危害房屋安全和装修管理制度的行为、现象应及时劝阻、制止，并及时</w:t>
      </w:r>
      <w:r>
        <w:rPr>
          <w:rFonts w:hint="default" w:ascii="宋体" w:hAnsi="宋体" w:eastAsia="宋体" w:cs="宋体"/>
          <w:color w:val="auto"/>
          <w:sz w:val="24"/>
          <w:szCs w:val="24"/>
        </w:rPr>
        <w:t>报采购人</w:t>
      </w:r>
      <w:r>
        <w:rPr>
          <w:rFonts w:hint="eastAsia" w:ascii="宋体" w:hAnsi="宋体" w:eastAsia="宋体" w:cs="宋体"/>
          <w:color w:val="auto"/>
          <w:sz w:val="24"/>
          <w:szCs w:val="24"/>
        </w:rPr>
        <w:t>。</w:t>
      </w:r>
    </w:p>
    <w:p w14:paraId="781B57ED">
      <w:pPr>
        <w:pStyle w:val="4"/>
        <w:keepNext w:val="0"/>
        <w:keepLines w:val="0"/>
        <w:pageBreakBefore w:val="0"/>
        <w:widowControl w:val="0"/>
        <w:kinsoku/>
        <w:wordWrap/>
        <w:overflowPunct/>
        <w:topLinePunct w:val="0"/>
        <w:autoSpaceDE/>
        <w:autoSpaceDN/>
        <w:bidi w:val="0"/>
        <w:snapToGrid/>
        <w:spacing w:after="0" w:line="360" w:lineRule="auto"/>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（2）装修审批手续完整，装修相关人员和材料方可放行。</w:t>
      </w:r>
    </w:p>
    <w:p w14:paraId="23F0F7AF">
      <w:pPr>
        <w:pStyle w:val="4"/>
        <w:keepNext w:val="0"/>
        <w:keepLines w:val="0"/>
        <w:pageBreakBefore w:val="0"/>
        <w:widowControl w:val="0"/>
        <w:kinsoku/>
        <w:wordWrap/>
        <w:overflowPunct/>
        <w:topLinePunct w:val="0"/>
        <w:autoSpaceDE/>
        <w:autoSpaceDN/>
        <w:bidi w:val="0"/>
        <w:snapToGrid/>
        <w:spacing w:after="0" w:line="360" w:lineRule="auto"/>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（3）建立入住单位装修档案，内容应包括装修申请、审批、验收资料等。</w:t>
      </w:r>
    </w:p>
    <w:p w14:paraId="35072043">
      <w:pPr>
        <w:keepNext w:val="0"/>
        <w:keepLines w:val="0"/>
        <w:pageBreakBefore w:val="0"/>
        <w:widowControl w:val="0"/>
        <w:kinsoku/>
        <w:wordWrap/>
        <w:overflowPunct/>
        <w:topLinePunct w:val="0"/>
        <w:autoSpaceDE/>
        <w:autoSpaceDN/>
        <w:bidi w:val="0"/>
        <w:snapToGrid/>
        <w:spacing w:line="360" w:lineRule="auto"/>
        <w:ind w:firstLine="482" w:firstLineChars="200"/>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3.制度档案管理</w:t>
      </w:r>
    </w:p>
    <w:p w14:paraId="5B5F26D5">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（1）制定设备设施管理、运行、维修、维护的管理方案，及相应的管理制度、流程并报采购人确认和备案；</w:t>
      </w:r>
    </w:p>
    <w:p w14:paraId="24455259">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（2）建立设备设施的图纸资料、基本信息、操作规程、技术资料、维修保养计划、运行记录、巡检记录、检测结果等档案（电梯要求一梯一档）。</w:t>
      </w:r>
    </w:p>
    <w:p w14:paraId="06E0B530">
      <w:pPr>
        <w:keepNext w:val="0"/>
        <w:keepLines w:val="0"/>
        <w:pageBreakBefore w:val="0"/>
        <w:widowControl w:val="0"/>
        <w:kinsoku/>
        <w:wordWrap/>
        <w:overflowPunct/>
        <w:topLinePunct w:val="0"/>
        <w:autoSpaceDE/>
        <w:autoSpaceDN/>
        <w:bidi w:val="0"/>
        <w:snapToGrid/>
        <w:spacing w:line="360" w:lineRule="auto"/>
        <w:ind w:firstLine="482" w:firstLineChars="200"/>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4.设备机房和电梯机房等管理</w:t>
      </w:r>
    </w:p>
    <w:p w14:paraId="003E32B0">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（1）门窗、锁具完好、有效，有防止鼠、雀等小动物进入机房的设施；环境整洁，无杂物、无积尘、无鼠、无虫害，温湿度符合设备运行要求；</w:t>
      </w:r>
    </w:p>
    <w:p w14:paraId="6C9C89CB">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（2）机房管理制度、设备操作规程、人员值班表（如有）等上墙；机房内各类设备台账、设备卡、使用说明、维保记录等档案保存完好；</w:t>
      </w:r>
    </w:p>
    <w:p w14:paraId="1FB9FA65">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（3）机房内安全防护用具配置齐全，检验合格；按规定配置消防器材，设置通风和应急照明；应急设施设备用品应齐全、完备，可随时启用；</w:t>
      </w:r>
    </w:p>
    <w:p w14:paraId="6F2A6A4F">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（4）中标人应对设备机房进行标准化管理，符合相关规范要求。</w:t>
      </w:r>
    </w:p>
    <w:p w14:paraId="5129112E">
      <w:pPr>
        <w:keepNext w:val="0"/>
        <w:keepLines w:val="0"/>
        <w:pageBreakBefore w:val="0"/>
        <w:widowControl w:val="0"/>
        <w:kinsoku/>
        <w:wordWrap/>
        <w:overflowPunct/>
        <w:topLinePunct w:val="0"/>
        <w:autoSpaceDE/>
        <w:autoSpaceDN/>
        <w:bidi w:val="0"/>
        <w:snapToGrid/>
        <w:spacing w:line="360" w:lineRule="auto"/>
        <w:ind w:firstLine="482" w:firstLineChars="200"/>
        <w:contextualSpacing/>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5.给排水设备运行维护（给水）</w:t>
      </w:r>
    </w:p>
    <w:p w14:paraId="7E89D42B">
      <w:pPr>
        <w:keepNext w:val="0"/>
        <w:keepLines w:val="0"/>
        <w:pageBreakBefore w:val="0"/>
        <w:widowControl w:val="0"/>
        <w:kinsoku/>
        <w:wordWrap/>
        <w:overflowPunct/>
        <w:topLinePunct w:val="0"/>
        <w:autoSpaceDE/>
        <w:autoSpaceDN/>
        <w:bidi w:val="0"/>
        <w:snapToGrid/>
        <w:spacing w:line="360" w:lineRule="auto"/>
        <w:ind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1）生活饮用水管理人员应具有有效的健康合格证、持证操作。负责督促专业公司对二次供水水箱，按清洗合同定期清洗，并取得饮用水检测合格证。开水器饮水过滤装置每天进行检查，滤芯每半年更换一次，内部水箱每年清洗4次以上。制定水泵定期保养规程。</w:t>
      </w:r>
    </w:p>
    <w:p w14:paraId="4890BF3B">
      <w:pPr>
        <w:keepNext w:val="0"/>
        <w:keepLines w:val="0"/>
        <w:pageBreakBefore w:val="0"/>
        <w:widowControl w:val="0"/>
        <w:kinsoku/>
        <w:wordWrap/>
        <w:overflowPunct/>
        <w:topLinePunct w:val="0"/>
        <w:autoSpaceDE/>
        <w:autoSpaceDN/>
        <w:bidi w:val="0"/>
        <w:snapToGrid/>
        <w:spacing w:line="360" w:lineRule="auto"/>
        <w:ind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（2）水泵房、水箱间环境整洁，照明、门锁完好。</w:t>
      </w:r>
    </w:p>
    <w:p w14:paraId="6C1495DD">
      <w:pPr>
        <w:keepNext w:val="0"/>
        <w:keepLines w:val="0"/>
        <w:pageBreakBefore w:val="0"/>
        <w:widowControl w:val="0"/>
        <w:kinsoku/>
        <w:wordWrap/>
        <w:overflowPunct/>
        <w:topLinePunct w:val="0"/>
        <w:autoSpaceDE/>
        <w:autoSpaceDN/>
        <w:bidi w:val="0"/>
        <w:snapToGrid/>
        <w:spacing w:line="360" w:lineRule="auto"/>
        <w:ind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（3）公共用水设施完好，对供水系统管路、水泵、水箱、阀门、水表和各用水点等要进行日常维护和定期检修。</w:t>
      </w:r>
    </w:p>
    <w:p w14:paraId="37ABF2FF">
      <w:pPr>
        <w:keepNext w:val="0"/>
        <w:keepLines w:val="0"/>
        <w:pageBreakBefore w:val="0"/>
        <w:widowControl w:val="0"/>
        <w:kinsoku/>
        <w:wordWrap/>
        <w:overflowPunct/>
        <w:topLinePunct w:val="0"/>
        <w:autoSpaceDE/>
        <w:autoSpaceDN/>
        <w:bidi w:val="0"/>
        <w:snapToGrid/>
        <w:spacing w:line="360" w:lineRule="auto"/>
        <w:ind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（4）保证生活水箱盖确保上锁；水泵运行正常，变频供水装置运转正常。</w:t>
      </w:r>
    </w:p>
    <w:p w14:paraId="55450B78">
      <w:pPr>
        <w:keepNext w:val="0"/>
        <w:keepLines w:val="0"/>
        <w:pageBreakBefore w:val="0"/>
        <w:widowControl w:val="0"/>
        <w:kinsoku/>
        <w:wordWrap/>
        <w:overflowPunct/>
        <w:topLinePunct w:val="0"/>
        <w:autoSpaceDE/>
        <w:autoSpaceDN/>
        <w:bidi w:val="0"/>
        <w:snapToGrid/>
        <w:spacing w:line="360" w:lineRule="auto"/>
        <w:ind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（5）给水系统每周要巡检一次；事故时能迅速进行抢修， 防止长时间停水事故；冬季前做好室内外设备的防冻保温工作。</w:t>
      </w:r>
    </w:p>
    <w:p w14:paraId="3B2E1D1F">
      <w:pPr>
        <w:keepNext w:val="0"/>
        <w:keepLines w:val="0"/>
        <w:pageBreakBefore w:val="0"/>
        <w:widowControl w:val="0"/>
        <w:kinsoku/>
        <w:wordWrap/>
        <w:overflowPunct/>
        <w:topLinePunct w:val="0"/>
        <w:autoSpaceDE/>
        <w:autoSpaceDN/>
        <w:bidi w:val="0"/>
        <w:snapToGrid/>
        <w:spacing w:line="360" w:lineRule="auto"/>
        <w:ind w:firstLine="482" w:firstLineChars="200"/>
        <w:contextualSpacing/>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6.给排水设备运行维护（排水）</w:t>
      </w:r>
    </w:p>
    <w:p w14:paraId="54A4F3B9">
      <w:pPr>
        <w:keepNext w:val="0"/>
        <w:keepLines w:val="0"/>
        <w:pageBreakBefore w:val="0"/>
        <w:widowControl w:val="0"/>
        <w:kinsoku/>
        <w:wordWrap/>
        <w:overflowPunct/>
        <w:topLinePunct w:val="0"/>
        <w:autoSpaceDE/>
        <w:autoSpaceDN/>
        <w:bidi w:val="0"/>
        <w:snapToGrid/>
        <w:spacing w:line="360" w:lineRule="auto"/>
        <w:ind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（1）公共用水设施完好，所有排水系统通畅。</w:t>
      </w:r>
    </w:p>
    <w:p w14:paraId="3130A9C7">
      <w:pPr>
        <w:keepNext w:val="0"/>
        <w:keepLines w:val="0"/>
        <w:pageBreakBefore w:val="0"/>
        <w:widowControl w:val="0"/>
        <w:kinsoku/>
        <w:wordWrap/>
        <w:overflowPunct/>
        <w:topLinePunct w:val="0"/>
        <w:autoSpaceDE/>
        <w:autoSpaceDN/>
        <w:bidi w:val="0"/>
        <w:snapToGrid/>
        <w:spacing w:line="360" w:lineRule="auto"/>
        <w:ind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（2）排污泵每半年检查、测试一次，保证工作正常；每半年对各给水坑的淤积情况进行检查清理。</w:t>
      </w:r>
    </w:p>
    <w:p w14:paraId="1EE8C038">
      <w:pPr>
        <w:keepNext w:val="0"/>
        <w:keepLines w:val="0"/>
        <w:pageBreakBefore w:val="0"/>
        <w:widowControl w:val="0"/>
        <w:kinsoku/>
        <w:wordWrap/>
        <w:overflowPunct/>
        <w:topLinePunct w:val="0"/>
        <w:autoSpaceDE/>
        <w:autoSpaceDN/>
        <w:bidi w:val="0"/>
        <w:snapToGrid/>
        <w:spacing w:line="360" w:lineRule="auto"/>
        <w:ind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（3）保持屋面落水口、室外雨水口通畅；室内外排污管道及窨井内无杂物，无堵塞；汛期院内道路无积水，地下室及车库无积水、浸泡发生。</w:t>
      </w:r>
    </w:p>
    <w:p w14:paraId="2FD9B64D">
      <w:pPr>
        <w:keepNext w:val="0"/>
        <w:keepLines w:val="0"/>
        <w:pageBreakBefore w:val="0"/>
        <w:widowControl w:val="0"/>
        <w:kinsoku/>
        <w:wordWrap/>
        <w:overflowPunct/>
        <w:topLinePunct w:val="0"/>
        <w:autoSpaceDE/>
        <w:autoSpaceDN/>
        <w:bidi w:val="0"/>
        <w:snapToGrid/>
        <w:spacing w:line="360" w:lineRule="auto"/>
        <w:ind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（4）化粪池每季巡查1次，至少每年清理1次，保持出入口畅通，池内无积物浮于面上，池盖无污渍、污物，清理后及时清洁现场；楼面落水管落水口等保持完好，开裂、破损等应及时更换并定期检查； 每半年对地下管井清理1次，捞起井内泥沙和悬浮物；每年对地下管井彻底疏通1次，清理结束地面冲洗干净，清理时地面树立警示牌，必要时加护拦，清理后达到目视管道内壁无粘附物，井底无沉淀物，水面无漂浮物，水流畅通，井盖上无污渍、污物。</w:t>
      </w:r>
    </w:p>
    <w:p w14:paraId="34C1643B">
      <w:pPr>
        <w:keepNext w:val="0"/>
        <w:keepLines w:val="0"/>
        <w:pageBreakBefore w:val="0"/>
        <w:widowControl w:val="0"/>
        <w:kinsoku/>
        <w:wordWrap/>
        <w:overflowPunct/>
        <w:topLinePunct w:val="0"/>
        <w:autoSpaceDE/>
        <w:autoSpaceDN/>
        <w:bidi w:val="0"/>
        <w:snapToGrid/>
        <w:spacing w:line="360" w:lineRule="auto"/>
        <w:ind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（5）及时发现并解决故障，维修合格率100%；给排水系统发生事故时，维修人员在30分钟内到达现场抢修，一般事故的抢修做到不过夜；一年内无重大管理责任事故。</w:t>
      </w:r>
    </w:p>
    <w:p w14:paraId="59457786">
      <w:pPr>
        <w:keepNext w:val="0"/>
        <w:keepLines w:val="0"/>
        <w:pageBreakBefore w:val="0"/>
        <w:widowControl w:val="0"/>
        <w:kinsoku/>
        <w:wordWrap/>
        <w:overflowPunct/>
        <w:topLinePunct w:val="0"/>
        <w:autoSpaceDE/>
        <w:autoSpaceDN/>
        <w:bidi w:val="0"/>
        <w:snapToGrid/>
        <w:spacing w:line="360" w:lineRule="auto"/>
        <w:ind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（6）制定事故应急处理方案； 制定停水、爆管等应急处理程序，计划停水按规定提前通知；做好节约用水工作。</w:t>
      </w:r>
    </w:p>
    <w:p w14:paraId="52E4B0D9">
      <w:pPr>
        <w:keepNext w:val="0"/>
        <w:keepLines w:val="0"/>
        <w:pageBreakBefore w:val="0"/>
        <w:widowControl w:val="0"/>
        <w:kinsoku/>
        <w:wordWrap/>
        <w:overflowPunct/>
        <w:topLinePunct w:val="0"/>
        <w:autoSpaceDE/>
        <w:autoSpaceDN/>
        <w:bidi w:val="0"/>
        <w:snapToGrid/>
        <w:spacing w:line="360" w:lineRule="auto"/>
        <w:ind w:firstLine="482" w:firstLineChars="200"/>
        <w:contextualSpacing/>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7.供电设备维保管理</w:t>
      </w:r>
    </w:p>
    <w:p w14:paraId="2D7E0D11">
      <w:pPr>
        <w:keepNext w:val="0"/>
        <w:keepLines w:val="0"/>
        <w:pageBreakBefore w:val="0"/>
        <w:widowControl w:val="0"/>
        <w:kinsoku/>
        <w:wordWrap/>
        <w:overflowPunct/>
        <w:topLinePunct w:val="0"/>
        <w:autoSpaceDE/>
        <w:autoSpaceDN/>
        <w:bidi w:val="0"/>
        <w:snapToGrid/>
        <w:spacing w:line="360" w:lineRule="auto"/>
        <w:ind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（1）高（低）压变（配）电房张贴有高（低）压变（配）电工作制度，配备相应的操作工具和安全操作保护设施，按照人员岗位要求安排24 小时值班。</w:t>
      </w:r>
    </w:p>
    <w:p w14:paraId="467416D4">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ascii="宋体" w:hAnsi="宋体" w:eastAsia="宋体" w:cs="宋体"/>
          <w:sz w:val="24"/>
          <w:szCs w:val="24"/>
        </w:rPr>
      </w:pPr>
      <w:r>
        <w:rPr>
          <w:rFonts w:hint="eastAsia" w:ascii="宋体" w:hAnsi="宋体" w:eastAsia="宋体" w:cs="宋体"/>
          <w:sz w:val="24"/>
          <w:szCs w:val="24"/>
        </w:rPr>
        <w:t>（2）按照规定的周期对供电和变配电设备设施进行检查、维护、清洁，并做记录。</w:t>
      </w:r>
    </w:p>
    <w:tbl>
      <w:tblPr>
        <w:tblStyle w:val="16"/>
        <w:tblpPr w:leftFromText="180" w:rightFromText="180" w:vertAnchor="text" w:horzAnchor="page" w:tblpX="1840" w:tblpY="539"/>
        <w:tblOverlap w:val="never"/>
        <w:tblW w:w="845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53"/>
        <w:gridCol w:w="3876"/>
        <w:gridCol w:w="1927"/>
      </w:tblGrid>
      <w:tr w14:paraId="647A2E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2653" w:type="dxa"/>
            <w:noWrap w:val="0"/>
            <w:vAlign w:val="center"/>
          </w:tcPr>
          <w:p w14:paraId="186C0A4A">
            <w:pPr>
              <w:ind w:firstLine="422"/>
              <w:jc w:val="center"/>
              <w:rPr>
                <w:rFonts w:ascii="宋体" w:hAnsi="宋体" w:eastAsia="宋体" w:cs="宋体"/>
                <w:b/>
                <w:bCs/>
                <w:sz w:val="24"/>
                <w:szCs w:val="24"/>
              </w:rPr>
            </w:pPr>
            <w:r>
              <w:rPr>
                <w:rFonts w:hint="eastAsia" w:ascii="宋体" w:hAnsi="宋体" w:eastAsia="宋体" w:cs="宋体"/>
                <w:b/>
                <w:bCs/>
                <w:sz w:val="24"/>
                <w:szCs w:val="24"/>
              </w:rPr>
              <w:t>设备巡查内容</w:t>
            </w:r>
          </w:p>
        </w:tc>
        <w:tc>
          <w:tcPr>
            <w:tcW w:w="3876" w:type="dxa"/>
            <w:noWrap w:val="0"/>
            <w:vAlign w:val="center"/>
          </w:tcPr>
          <w:p w14:paraId="511958A8">
            <w:pPr>
              <w:ind w:firstLine="422"/>
              <w:jc w:val="center"/>
              <w:rPr>
                <w:rFonts w:ascii="宋体" w:hAnsi="宋体" w:eastAsia="宋体" w:cs="宋体"/>
                <w:b/>
                <w:bCs/>
                <w:sz w:val="24"/>
                <w:szCs w:val="24"/>
              </w:rPr>
            </w:pPr>
            <w:r>
              <w:rPr>
                <w:rFonts w:hint="eastAsia" w:ascii="宋体" w:hAnsi="宋体" w:eastAsia="宋体" w:cs="宋体"/>
                <w:b/>
                <w:bCs/>
                <w:sz w:val="24"/>
                <w:szCs w:val="24"/>
              </w:rPr>
              <w:t>设备运行状态标准</w:t>
            </w:r>
          </w:p>
        </w:tc>
        <w:tc>
          <w:tcPr>
            <w:tcW w:w="1927" w:type="dxa"/>
            <w:noWrap w:val="0"/>
            <w:vAlign w:val="center"/>
          </w:tcPr>
          <w:p w14:paraId="0DCD5768">
            <w:pPr>
              <w:ind w:firstLine="422"/>
              <w:jc w:val="center"/>
              <w:rPr>
                <w:rFonts w:ascii="宋体" w:hAnsi="宋体" w:eastAsia="宋体" w:cs="宋体"/>
                <w:b/>
                <w:bCs/>
                <w:sz w:val="24"/>
                <w:szCs w:val="24"/>
              </w:rPr>
            </w:pPr>
            <w:r>
              <w:rPr>
                <w:rFonts w:hint="eastAsia" w:ascii="宋体" w:hAnsi="宋体" w:eastAsia="宋体" w:cs="宋体"/>
                <w:b/>
                <w:bCs/>
                <w:sz w:val="24"/>
                <w:szCs w:val="24"/>
              </w:rPr>
              <w:t>设备巡查频次</w:t>
            </w:r>
          </w:p>
        </w:tc>
      </w:tr>
      <w:tr w14:paraId="257D7B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2653" w:type="dxa"/>
            <w:noWrap w:val="0"/>
            <w:vAlign w:val="center"/>
          </w:tcPr>
          <w:p w14:paraId="5209DB65">
            <w:pPr>
              <w:jc w:val="center"/>
              <w:rPr>
                <w:rFonts w:ascii="宋体" w:hAnsi="宋体" w:eastAsia="宋体" w:cs="宋体"/>
                <w:sz w:val="24"/>
                <w:szCs w:val="24"/>
              </w:rPr>
            </w:pPr>
            <w:r>
              <w:rPr>
                <w:rFonts w:hint="eastAsia" w:ascii="宋体" w:hAnsi="宋体" w:eastAsia="宋体" w:cs="宋体"/>
                <w:sz w:val="24"/>
                <w:szCs w:val="24"/>
              </w:rPr>
              <w:t>机房卫生、通风、温度、湿度</w:t>
            </w:r>
          </w:p>
        </w:tc>
        <w:tc>
          <w:tcPr>
            <w:tcW w:w="3876" w:type="dxa"/>
            <w:noWrap w:val="0"/>
            <w:vAlign w:val="center"/>
          </w:tcPr>
          <w:p w14:paraId="0AF0ADC2">
            <w:pPr>
              <w:jc w:val="left"/>
              <w:rPr>
                <w:rFonts w:ascii="宋体" w:hAnsi="宋体" w:eastAsia="宋体" w:cs="宋体"/>
                <w:sz w:val="24"/>
                <w:szCs w:val="24"/>
              </w:rPr>
            </w:pPr>
            <w:r>
              <w:rPr>
                <w:rFonts w:hint="eastAsia" w:ascii="宋体" w:hAnsi="宋体" w:eastAsia="宋体" w:cs="宋体"/>
                <w:sz w:val="24"/>
                <w:szCs w:val="24"/>
              </w:rPr>
              <w:t xml:space="preserve">  干净，温度不超过45℃, 湿度正常，通风良好。</w:t>
            </w:r>
          </w:p>
        </w:tc>
        <w:tc>
          <w:tcPr>
            <w:tcW w:w="1927" w:type="dxa"/>
            <w:vMerge w:val="restart"/>
            <w:tcBorders>
              <w:bottom w:val="nil"/>
            </w:tcBorders>
            <w:noWrap w:val="0"/>
            <w:vAlign w:val="center"/>
          </w:tcPr>
          <w:p w14:paraId="7615C5FE">
            <w:pPr>
              <w:jc w:val="center"/>
              <w:rPr>
                <w:rFonts w:ascii="宋体" w:hAnsi="宋体" w:eastAsia="宋体" w:cs="宋体"/>
                <w:sz w:val="24"/>
                <w:szCs w:val="24"/>
              </w:rPr>
            </w:pPr>
            <w:r>
              <w:rPr>
                <w:rFonts w:hint="eastAsia" w:ascii="宋体" w:hAnsi="宋体" w:eastAsia="宋体" w:cs="宋体"/>
                <w:sz w:val="24"/>
                <w:szCs w:val="24"/>
              </w:rPr>
              <w:t>3次/班</w:t>
            </w:r>
          </w:p>
        </w:tc>
      </w:tr>
      <w:tr w14:paraId="11780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2653" w:type="dxa"/>
            <w:noWrap w:val="0"/>
            <w:vAlign w:val="center"/>
          </w:tcPr>
          <w:p w14:paraId="7A09987F">
            <w:pPr>
              <w:jc w:val="center"/>
              <w:rPr>
                <w:rFonts w:ascii="宋体" w:hAnsi="宋体" w:eastAsia="宋体" w:cs="宋体"/>
                <w:sz w:val="24"/>
                <w:szCs w:val="24"/>
              </w:rPr>
            </w:pPr>
            <w:r>
              <w:rPr>
                <w:rFonts w:hint="eastAsia" w:ascii="宋体" w:hAnsi="宋体" w:eastAsia="宋体" w:cs="宋体"/>
                <w:sz w:val="24"/>
                <w:szCs w:val="24"/>
              </w:rPr>
              <w:t>机房应急照明、消防设施</w:t>
            </w:r>
          </w:p>
        </w:tc>
        <w:tc>
          <w:tcPr>
            <w:tcW w:w="3876" w:type="dxa"/>
            <w:noWrap w:val="0"/>
            <w:vAlign w:val="center"/>
          </w:tcPr>
          <w:p w14:paraId="56777F46">
            <w:pPr>
              <w:ind w:firstLine="480" w:firstLineChars="200"/>
              <w:jc w:val="left"/>
              <w:rPr>
                <w:rFonts w:ascii="宋体" w:hAnsi="宋体" w:eastAsia="宋体" w:cs="宋体"/>
                <w:sz w:val="24"/>
                <w:szCs w:val="24"/>
              </w:rPr>
            </w:pPr>
            <w:r>
              <w:rPr>
                <w:rFonts w:hint="eastAsia" w:ascii="宋体" w:hAnsi="宋体" w:eastAsia="宋体" w:cs="宋体"/>
                <w:sz w:val="24"/>
                <w:szCs w:val="24"/>
              </w:rPr>
              <w:t>应急照明使用正常，消防设施完好并定期检查合格。</w:t>
            </w:r>
          </w:p>
        </w:tc>
        <w:tc>
          <w:tcPr>
            <w:tcW w:w="1927" w:type="dxa"/>
            <w:vMerge w:val="continue"/>
            <w:tcBorders>
              <w:top w:val="nil"/>
              <w:bottom w:val="nil"/>
            </w:tcBorders>
            <w:noWrap w:val="0"/>
            <w:vAlign w:val="center"/>
          </w:tcPr>
          <w:p w14:paraId="55D602F0">
            <w:pPr>
              <w:jc w:val="center"/>
              <w:rPr>
                <w:rFonts w:ascii="宋体" w:hAnsi="宋体" w:eastAsia="宋体" w:cs="宋体"/>
                <w:sz w:val="24"/>
                <w:szCs w:val="24"/>
              </w:rPr>
            </w:pPr>
          </w:p>
        </w:tc>
      </w:tr>
      <w:tr w14:paraId="459A4F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2653" w:type="dxa"/>
            <w:noWrap w:val="0"/>
            <w:vAlign w:val="center"/>
          </w:tcPr>
          <w:p w14:paraId="1EB14ED4">
            <w:pPr>
              <w:jc w:val="center"/>
              <w:rPr>
                <w:rFonts w:ascii="宋体" w:hAnsi="宋体" w:eastAsia="宋体" w:cs="宋体"/>
                <w:sz w:val="24"/>
                <w:szCs w:val="24"/>
              </w:rPr>
            </w:pPr>
            <w:r>
              <w:rPr>
                <w:rFonts w:hint="eastAsia" w:ascii="宋体" w:hAnsi="宋体" w:eastAsia="宋体" w:cs="宋体"/>
                <w:sz w:val="24"/>
                <w:szCs w:val="24"/>
              </w:rPr>
              <w:t>运行电流、电压</w:t>
            </w:r>
          </w:p>
        </w:tc>
        <w:tc>
          <w:tcPr>
            <w:tcW w:w="3876" w:type="dxa"/>
            <w:noWrap w:val="0"/>
            <w:vAlign w:val="center"/>
          </w:tcPr>
          <w:p w14:paraId="614A0E6E">
            <w:pPr>
              <w:ind w:firstLine="480" w:firstLineChars="200"/>
              <w:jc w:val="left"/>
              <w:rPr>
                <w:rFonts w:ascii="宋体" w:hAnsi="宋体" w:eastAsia="宋体" w:cs="宋体"/>
                <w:sz w:val="24"/>
                <w:szCs w:val="24"/>
              </w:rPr>
            </w:pPr>
            <w:r>
              <w:rPr>
                <w:rFonts w:hint="eastAsia" w:ascii="宋体" w:hAnsi="宋体" w:eastAsia="宋体" w:cs="宋体"/>
                <w:sz w:val="24"/>
                <w:szCs w:val="24"/>
              </w:rPr>
              <w:t>运行电流、电压满足市电供电要求。</w:t>
            </w:r>
          </w:p>
        </w:tc>
        <w:tc>
          <w:tcPr>
            <w:tcW w:w="1927" w:type="dxa"/>
            <w:vMerge w:val="continue"/>
            <w:tcBorders>
              <w:top w:val="nil"/>
              <w:bottom w:val="nil"/>
            </w:tcBorders>
            <w:noWrap w:val="0"/>
            <w:vAlign w:val="center"/>
          </w:tcPr>
          <w:p w14:paraId="208BB1EB">
            <w:pPr>
              <w:jc w:val="center"/>
              <w:rPr>
                <w:rFonts w:ascii="宋体" w:hAnsi="宋体" w:eastAsia="宋体" w:cs="宋体"/>
                <w:sz w:val="24"/>
                <w:szCs w:val="24"/>
              </w:rPr>
            </w:pPr>
          </w:p>
        </w:tc>
      </w:tr>
      <w:tr w14:paraId="271138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653" w:type="dxa"/>
            <w:noWrap w:val="0"/>
            <w:vAlign w:val="center"/>
          </w:tcPr>
          <w:p w14:paraId="19FF812A">
            <w:pPr>
              <w:jc w:val="center"/>
              <w:rPr>
                <w:rFonts w:ascii="宋体" w:hAnsi="宋体" w:eastAsia="宋体" w:cs="宋体"/>
                <w:sz w:val="24"/>
                <w:szCs w:val="24"/>
              </w:rPr>
            </w:pPr>
            <w:r>
              <w:rPr>
                <w:rFonts w:hint="eastAsia" w:ascii="宋体" w:hAnsi="宋体" w:eastAsia="宋体" w:cs="宋体"/>
                <w:sz w:val="24"/>
                <w:szCs w:val="24"/>
              </w:rPr>
              <w:t>运行功率因素</w:t>
            </w:r>
          </w:p>
        </w:tc>
        <w:tc>
          <w:tcPr>
            <w:tcW w:w="3876" w:type="dxa"/>
            <w:noWrap w:val="0"/>
            <w:vAlign w:val="center"/>
          </w:tcPr>
          <w:p w14:paraId="0CBF38ED">
            <w:pPr>
              <w:ind w:firstLine="480" w:firstLineChars="200"/>
              <w:jc w:val="left"/>
              <w:rPr>
                <w:rFonts w:ascii="宋体" w:hAnsi="宋体" w:eastAsia="宋体" w:cs="宋体"/>
                <w:sz w:val="24"/>
                <w:szCs w:val="24"/>
              </w:rPr>
            </w:pPr>
            <w:r>
              <w:rPr>
                <w:rFonts w:hint="eastAsia" w:ascii="宋体" w:hAnsi="宋体" w:eastAsia="宋体" w:cs="宋体"/>
                <w:sz w:val="24"/>
                <w:szCs w:val="24"/>
              </w:rPr>
              <w:t>满足市电供电要求。</w:t>
            </w:r>
          </w:p>
        </w:tc>
        <w:tc>
          <w:tcPr>
            <w:tcW w:w="1927" w:type="dxa"/>
            <w:vMerge w:val="continue"/>
            <w:tcBorders>
              <w:top w:val="nil"/>
              <w:bottom w:val="nil"/>
            </w:tcBorders>
            <w:noWrap w:val="0"/>
            <w:vAlign w:val="center"/>
          </w:tcPr>
          <w:p w14:paraId="1A08C49B">
            <w:pPr>
              <w:jc w:val="center"/>
              <w:rPr>
                <w:rFonts w:ascii="宋体" w:hAnsi="宋体" w:eastAsia="宋体" w:cs="宋体"/>
                <w:sz w:val="24"/>
                <w:szCs w:val="24"/>
              </w:rPr>
            </w:pPr>
          </w:p>
        </w:tc>
      </w:tr>
      <w:tr w14:paraId="148B64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2653" w:type="dxa"/>
            <w:noWrap w:val="0"/>
            <w:vAlign w:val="center"/>
          </w:tcPr>
          <w:p w14:paraId="61CE2803">
            <w:pPr>
              <w:jc w:val="center"/>
              <w:rPr>
                <w:rFonts w:ascii="宋体" w:hAnsi="宋体" w:eastAsia="宋体" w:cs="宋体"/>
                <w:sz w:val="24"/>
                <w:szCs w:val="24"/>
              </w:rPr>
            </w:pPr>
            <w:r>
              <w:rPr>
                <w:rFonts w:hint="eastAsia" w:ascii="宋体" w:hAnsi="宋体" w:eastAsia="宋体" w:cs="宋体"/>
                <w:sz w:val="24"/>
                <w:szCs w:val="24"/>
              </w:rPr>
              <w:t>变压器负荷率、温度</w:t>
            </w:r>
          </w:p>
        </w:tc>
        <w:tc>
          <w:tcPr>
            <w:tcW w:w="3876" w:type="dxa"/>
            <w:noWrap w:val="0"/>
            <w:vAlign w:val="center"/>
          </w:tcPr>
          <w:p w14:paraId="714F2612">
            <w:pPr>
              <w:ind w:firstLine="480" w:firstLineChars="200"/>
              <w:jc w:val="left"/>
              <w:rPr>
                <w:rFonts w:ascii="宋体" w:hAnsi="宋体" w:eastAsia="宋体" w:cs="宋体"/>
                <w:sz w:val="24"/>
                <w:szCs w:val="24"/>
              </w:rPr>
            </w:pPr>
            <w:r>
              <w:rPr>
                <w:rFonts w:hint="eastAsia" w:ascii="宋体" w:hAnsi="宋体" w:eastAsia="宋体" w:cs="宋体"/>
                <w:sz w:val="24"/>
                <w:szCs w:val="24"/>
              </w:rPr>
              <w:t>负荷率不低于50%，温度不超过85℃。</w:t>
            </w:r>
          </w:p>
        </w:tc>
        <w:tc>
          <w:tcPr>
            <w:tcW w:w="1927" w:type="dxa"/>
            <w:vMerge w:val="continue"/>
            <w:tcBorders>
              <w:top w:val="nil"/>
              <w:bottom w:val="nil"/>
            </w:tcBorders>
            <w:noWrap w:val="0"/>
            <w:vAlign w:val="center"/>
          </w:tcPr>
          <w:p w14:paraId="4052F416">
            <w:pPr>
              <w:jc w:val="center"/>
              <w:rPr>
                <w:rFonts w:ascii="宋体" w:hAnsi="宋体" w:eastAsia="宋体" w:cs="宋体"/>
                <w:sz w:val="24"/>
                <w:szCs w:val="24"/>
              </w:rPr>
            </w:pPr>
          </w:p>
        </w:tc>
      </w:tr>
      <w:tr w14:paraId="3BB841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2653" w:type="dxa"/>
            <w:noWrap w:val="0"/>
            <w:vAlign w:val="center"/>
          </w:tcPr>
          <w:p w14:paraId="0CF12407">
            <w:pPr>
              <w:jc w:val="center"/>
              <w:rPr>
                <w:rFonts w:ascii="宋体" w:hAnsi="宋体" w:eastAsia="宋体" w:cs="宋体"/>
                <w:sz w:val="24"/>
                <w:szCs w:val="24"/>
              </w:rPr>
            </w:pPr>
            <w:r>
              <w:rPr>
                <w:rFonts w:hint="eastAsia" w:ascii="宋体" w:hAnsi="宋体" w:eastAsia="宋体" w:cs="宋体"/>
                <w:sz w:val="24"/>
                <w:szCs w:val="24"/>
              </w:rPr>
              <w:t>断路器、空气开关；</w:t>
            </w:r>
          </w:p>
        </w:tc>
        <w:tc>
          <w:tcPr>
            <w:tcW w:w="3876" w:type="dxa"/>
            <w:noWrap w:val="0"/>
            <w:vAlign w:val="center"/>
          </w:tcPr>
          <w:p w14:paraId="7630B727">
            <w:pPr>
              <w:ind w:firstLine="480" w:firstLineChars="200"/>
              <w:jc w:val="left"/>
              <w:rPr>
                <w:rFonts w:ascii="宋体" w:hAnsi="宋体" w:eastAsia="宋体" w:cs="宋体"/>
                <w:sz w:val="24"/>
                <w:szCs w:val="24"/>
              </w:rPr>
            </w:pPr>
            <w:r>
              <w:rPr>
                <w:rFonts w:hint="eastAsia" w:ascii="宋体" w:hAnsi="宋体" w:eastAsia="宋体" w:cs="宋体"/>
                <w:sz w:val="24"/>
                <w:szCs w:val="24"/>
              </w:rPr>
              <w:t>完好，使用正常。</w:t>
            </w:r>
          </w:p>
        </w:tc>
        <w:tc>
          <w:tcPr>
            <w:tcW w:w="1927" w:type="dxa"/>
            <w:vMerge w:val="continue"/>
            <w:tcBorders>
              <w:top w:val="nil"/>
              <w:bottom w:val="nil"/>
            </w:tcBorders>
            <w:noWrap w:val="0"/>
            <w:vAlign w:val="center"/>
          </w:tcPr>
          <w:p w14:paraId="20D5F477">
            <w:pPr>
              <w:jc w:val="center"/>
              <w:rPr>
                <w:rFonts w:ascii="宋体" w:hAnsi="宋体" w:eastAsia="宋体" w:cs="宋体"/>
                <w:sz w:val="24"/>
                <w:szCs w:val="24"/>
              </w:rPr>
            </w:pPr>
          </w:p>
        </w:tc>
      </w:tr>
      <w:tr w14:paraId="7F112A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2653" w:type="dxa"/>
            <w:noWrap w:val="0"/>
            <w:vAlign w:val="center"/>
          </w:tcPr>
          <w:p w14:paraId="0E077D24">
            <w:pPr>
              <w:jc w:val="center"/>
              <w:rPr>
                <w:rFonts w:ascii="宋体" w:hAnsi="宋体" w:eastAsia="宋体" w:cs="宋体"/>
                <w:sz w:val="24"/>
                <w:szCs w:val="24"/>
              </w:rPr>
            </w:pPr>
            <w:r>
              <w:rPr>
                <w:rFonts w:hint="eastAsia" w:ascii="宋体" w:hAnsi="宋体" w:eastAsia="宋体" w:cs="宋体"/>
                <w:sz w:val="24"/>
                <w:szCs w:val="24"/>
              </w:rPr>
              <w:t>各种仪表、指示显示正常，标示清晰</w:t>
            </w:r>
          </w:p>
        </w:tc>
        <w:tc>
          <w:tcPr>
            <w:tcW w:w="3876" w:type="dxa"/>
            <w:noWrap w:val="0"/>
            <w:vAlign w:val="center"/>
          </w:tcPr>
          <w:p w14:paraId="4DF4D486">
            <w:pPr>
              <w:ind w:firstLine="480" w:firstLineChars="200"/>
              <w:jc w:val="left"/>
              <w:rPr>
                <w:rFonts w:ascii="宋体" w:hAnsi="宋体" w:eastAsia="宋体" w:cs="宋体"/>
                <w:sz w:val="24"/>
                <w:szCs w:val="24"/>
              </w:rPr>
            </w:pPr>
            <w:r>
              <w:rPr>
                <w:rFonts w:hint="eastAsia" w:ascii="宋体" w:hAnsi="宋体" w:eastAsia="宋体" w:cs="宋体"/>
                <w:sz w:val="24"/>
                <w:szCs w:val="24"/>
              </w:rPr>
              <w:t>完好，使用正常。</w:t>
            </w:r>
          </w:p>
        </w:tc>
        <w:tc>
          <w:tcPr>
            <w:tcW w:w="1927" w:type="dxa"/>
            <w:vMerge w:val="continue"/>
            <w:tcBorders>
              <w:top w:val="nil"/>
              <w:bottom w:val="nil"/>
            </w:tcBorders>
            <w:noWrap w:val="0"/>
            <w:vAlign w:val="center"/>
          </w:tcPr>
          <w:p w14:paraId="5C8C8638">
            <w:pPr>
              <w:jc w:val="center"/>
              <w:rPr>
                <w:rFonts w:ascii="宋体" w:hAnsi="宋体" w:eastAsia="宋体" w:cs="宋体"/>
                <w:sz w:val="24"/>
                <w:szCs w:val="24"/>
              </w:rPr>
            </w:pPr>
          </w:p>
        </w:tc>
      </w:tr>
      <w:tr w14:paraId="527FDB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 w:hRule="atLeast"/>
        </w:trPr>
        <w:tc>
          <w:tcPr>
            <w:tcW w:w="2653" w:type="dxa"/>
            <w:noWrap w:val="0"/>
            <w:vAlign w:val="center"/>
          </w:tcPr>
          <w:p w14:paraId="6FBA39D4">
            <w:pPr>
              <w:jc w:val="center"/>
              <w:rPr>
                <w:rFonts w:ascii="宋体" w:hAnsi="宋体" w:eastAsia="宋体" w:cs="宋体"/>
                <w:sz w:val="24"/>
                <w:szCs w:val="24"/>
              </w:rPr>
            </w:pPr>
            <w:r>
              <w:rPr>
                <w:rFonts w:hint="eastAsia" w:ascii="宋体" w:hAnsi="宋体" w:eastAsia="宋体" w:cs="宋体"/>
                <w:sz w:val="24"/>
                <w:szCs w:val="24"/>
              </w:rPr>
              <w:t>设备运行总状况</w:t>
            </w:r>
          </w:p>
        </w:tc>
        <w:tc>
          <w:tcPr>
            <w:tcW w:w="3876" w:type="dxa"/>
            <w:noWrap w:val="0"/>
            <w:vAlign w:val="center"/>
          </w:tcPr>
          <w:p w14:paraId="5987CF8B">
            <w:pPr>
              <w:ind w:firstLine="480" w:firstLineChars="200"/>
              <w:jc w:val="left"/>
              <w:rPr>
                <w:rFonts w:ascii="宋体" w:hAnsi="宋体" w:eastAsia="宋体" w:cs="宋体"/>
                <w:sz w:val="24"/>
                <w:szCs w:val="24"/>
              </w:rPr>
            </w:pPr>
            <w:r>
              <w:rPr>
                <w:rFonts w:hint="eastAsia" w:ascii="宋体" w:hAnsi="宋体" w:eastAsia="宋体" w:cs="宋体"/>
                <w:sz w:val="24"/>
                <w:szCs w:val="24"/>
              </w:rPr>
              <w:t>良好。</w:t>
            </w:r>
          </w:p>
        </w:tc>
        <w:tc>
          <w:tcPr>
            <w:tcW w:w="1927" w:type="dxa"/>
            <w:vMerge w:val="continue"/>
            <w:tcBorders>
              <w:top w:val="nil"/>
              <w:bottom w:val="nil"/>
            </w:tcBorders>
            <w:noWrap w:val="0"/>
            <w:vAlign w:val="center"/>
          </w:tcPr>
          <w:p w14:paraId="0B788E5C">
            <w:pPr>
              <w:jc w:val="center"/>
              <w:rPr>
                <w:rFonts w:ascii="宋体" w:hAnsi="宋体" w:eastAsia="宋体" w:cs="宋体"/>
                <w:sz w:val="24"/>
                <w:szCs w:val="24"/>
              </w:rPr>
            </w:pPr>
          </w:p>
        </w:tc>
      </w:tr>
      <w:tr w14:paraId="1B2B7A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2653" w:type="dxa"/>
            <w:noWrap w:val="0"/>
            <w:vAlign w:val="center"/>
          </w:tcPr>
          <w:p w14:paraId="71BC1558">
            <w:pPr>
              <w:jc w:val="center"/>
              <w:rPr>
                <w:rFonts w:ascii="宋体" w:hAnsi="宋体" w:eastAsia="宋体" w:cs="宋体"/>
                <w:sz w:val="24"/>
                <w:szCs w:val="24"/>
              </w:rPr>
            </w:pPr>
            <w:r>
              <w:rPr>
                <w:rFonts w:hint="eastAsia" w:ascii="宋体" w:hAnsi="宋体" w:eastAsia="宋体" w:cs="宋体"/>
                <w:sz w:val="24"/>
                <w:szCs w:val="24"/>
              </w:rPr>
              <w:t>机房漏水、积水</w:t>
            </w:r>
          </w:p>
        </w:tc>
        <w:tc>
          <w:tcPr>
            <w:tcW w:w="3876" w:type="dxa"/>
            <w:noWrap w:val="0"/>
            <w:vAlign w:val="center"/>
          </w:tcPr>
          <w:p w14:paraId="355DA744">
            <w:pPr>
              <w:ind w:firstLine="480" w:firstLineChars="200"/>
              <w:jc w:val="left"/>
              <w:rPr>
                <w:rFonts w:ascii="宋体" w:hAnsi="宋体" w:eastAsia="宋体" w:cs="宋体"/>
                <w:sz w:val="24"/>
                <w:szCs w:val="24"/>
              </w:rPr>
            </w:pPr>
            <w:r>
              <w:rPr>
                <w:rFonts w:hint="eastAsia" w:ascii="宋体" w:hAnsi="宋体" w:eastAsia="宋体" w:cs="宋体"/>
                <w:sz w:val="24"/>
                <w:szCs w:val="24"/>
              </w:rPr>
              <w:t>无漏水、积水。</w:t>
            </w:r>
          </w:p>
        </w:tc>
        <w:tc>
          <w:tcPr>
            <w:tcW w:w="1927" w:type="dxa"/>
            <w:vMerge w:val="continue"/>
            <w:tcBorders>
              <w:top w:val="nil"/>
            </w:tcBorders>
            <w:noWrap w:val="0"/>
            <w:vAlign w:val="center"/>
          </w:tcPr>
          <w:p w14:paraId="31CCC058">
            <w:pPr>
              <w:jc w:val="center"/>
              <w:rPr>
                <w:rFonts w:ascii="宋体" w:hAnsi="宋体" w:eastAsia="宋体" w:cs="宋体"/>
                <w:sz w:val="24"/>
                <w:szCs w:val="24"/>
              </w:rPr>
            </w:pPr>
          </w:p>
        </w:tc>
      </w:tr>
    </w:tbl>
    <w:p w14:paraId="5BD0133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ascii="宋体" w:hAnsi="宋体" w:eastAsia="宋体" w:cs="宋体"/>
          <w:sz w:val="24"/>
          <w:szCs w:val="24"/>
        </w:rPr>
      </w:pPr>
      <w:r>
        <w:rPr>
          <w:rFonts w:hint="eastAsia" w:ascii="宋体" w:hAnsi="宋体" w:eastAsia="宋体" w:cs="宋体"/>
          <w:sz w:val="24"/>
          <w:szCs w:val="24"/>
        </w:rPr>
        <w:t>（3）高（低）压变（配）电柜操作运行正常，检测表计显示准确。</w:t>
      </w:r>
    </w:p>
    <w:p w14:paraId="0E95B70E">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ascii="宋体" w:hAnsi="宋体" w:eastAsia="宋体" w:cs="宋体"/>
          <w:sz w:val="24"/>
          <w:szCs w:val="24"/>
        </w:rPr>
      </w:pPr>
      <w:r>
        <w:rPr>
          <w:rFonts w:hint="eastAsia" w:ascii="宋体" w:hAnsi="宋体" w:eastAsia="宋体" w:cs="宋体"/>
          <w:sz w:val="24"/>
          <w:szCs w:val="24"/>
        </w:rPr>
        <w:t>（</w:t>
      </w:r>
      <w:r>
        <w:rPr>
          <w:rFonts w:hint="default" w:ascii="宋体" w:hAnsi="宋体" w:eastAsia="宋体" w:cs="宋体"/>
          <w:sz w:val="24"/>
          <w:szCs w:val="24"/>
        </w:rPr>
        <w:t>4</w:t>
      </w:r>
      <w:r>
        <w:rPr>
          <w:rFonts w:hint="eastAsia" w:ascii="宋体" w:hAnsi="宋体" w:eastAsia="宋体" w:cs="宋体"/>
          <w:sz w:val="24"/>
          <w:szCs w:val="24"/>
        </w:rPr>
        <w:t>）高（低）压变压器运行正常，温控显示准确，联控动作正常。</w:t>
      </w:r>
    </w:p>
    <w:p w14:paraId="3643AC3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ascii="宋体" w:hAnsi="宋体" w:eastAsia="宋体" w:cs="宋体"/>
          <w:sz w:val="24"/>
          <w:szCs w:val="24"/>
        </w:rPr>
      </w:pPr>
      <w:r>
        <w:rPr>
          <w:rFonts w:hint="eastAsia" w:ascii="宋体" w:hAnsi="宋体" w:eastAsia="宋体" w:cs="宋体"/>
          <w:sz w:val="24"/>
          <w:szCs w:val="24"/>
        </w:rPr>
        <w:t>（</w:t>
      </w:r>
      <w:r>
        <w:rPr>
          <w:rFonts w:hint="default" w:ascii="宋体" w:hAnsi="宋体" w:eastAsia="宋体" w:cs="宋体"/>
          <w:sz w:val="24"/>
          <w:szCs w:val="24"/>
        </w:rPr>
        <w:t>5</w:t>
      </w:r>
      <w:r>
        <w:rPr>
          <w:rFonts w:hint="eastAsia" w:ascii="宋体" w:hAnsi="宋体" w:eastAsia="宋体" w:cs="宋体"/>
          <w:sz w:val="24"/>
          <w:szCs w:val="24"/>
        </w:rPr>
        <w:t>）变（配）电柜直流操作系统运行正常， 蓄电池组充、放电量稳定，符合工作要求。</w:t>
      </w:r>
    </w:p>
    <w:p w14:paraId="62CEC68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ascii="宋体" w:hAnsi="宋体" w:eastAsia="宋体" w:cs="宋体"/>
          <w:sz w:val="24"/>
          <w:szCs w:val="24"/>
        </w:rPr>
      </w:pPr>
      <w:r>
        <w:rPr>
          <w:rFonts w:hint="eastAsia" w:ascii="宋体" w:hAnsi="宋体" w:eastAsia="宋体" w:cs="宋体"/>
          <w:sz w:val="24"/>
          <w:szCs w:val="24"/>
        </w:rPr>
        <w:t>（</w:t>
      </w:r>
      <w:r>
        <w:rPr>
          <w:rFonts w:hint="default" w:ascii="宋体" w:hAnsi="宋体" w:eastAsia="宋体" w:cs="宋体"/>
          <w:sz w:val="24"/>
          <w:szCs w:val="24"/>
        </w:rPr>
        <w:t>6</w:t>
      </w:r>
      <w:r>
        <w:rPr>
          <w:rFonts w:hint="eastAsia" w:ascii="宋体" w:hAnsi="宋体" w:eastAsia="宋体" w:cs="宋体"/>
          <w:sz w:val="24"/>
          <w:szCs w:val="24"/>
        </w:rPr>
        <w:t>）低压配电柜运行正常，各类表计显示正常。</w:t>
      </w:r>
    </w:p>
    <w:p w14:paraId="24BB5CF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ascii="宋体" w:hAnsi="宋体" w:eastAsia="宋体" w:cs="宋体"/>
          <w:sz w:val="24"/>
          <w:szCs w:val="24"/>
        </w:rPr>
      </w:pPr>
      <w:r>
        <w:rPr>
          <w:rFonts w:hint="eastAsia" w:ascii="宋体" w:hAnsi="宋体" w:eastAsia="宋体" w:cs="宋体"/>
          <w:sz w:val="24"/>
          <w:szCs w:val="24"/>
        </w:rPr>
        <w:t>（</w:t>
      </w:r>
      <w:r>
        <w:rPr>
          <w:rFonts w:hint="default" w:ascii="宋体" w:hAnsi="宋体" w:eastAsia="宋体" w:cs="宋体"/>
          <w:sz w:val="24"/>
          <w:szCs w:val="24"/>
        </w:rPr>
        <w:t>7</w:t>
      </w:r>
      <w:r>
        <w:rPr>
          <w:rFonts w:hint="eastAsia" w:ascii="宋体" w:hAnsi="宋体" w:eastAsia="宋体" w:cs="宋体"/>
          <w:sz w:val="24"/>
          <w:szCs w:val="24"/>
        </w:rPr>
        <w:t>）功率因素自动补偿电容器（组）运行正常，自动切换正确可靠。</w:t>
      </w:r>
    </w:p>
    <w:p w14:paraId="2E00BB3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ascii="宋体" w:hAnsi="宋体" w:eastAsia="宋体" w:cs="宋体"/>
          <w:sz w:val="24"/>
          <w:szCs w:val="24"/>
        </w:rPr>
      </w:pPr>
      <w:r>
        <w:rPr>
          <w:rFonts w:hint="eastAsia" w:ascii="宋体" w:hAnsi="宋体" w:eastAsia="宋体" w:cs="宋体"/>
          <w:sz w:val="24"/>
          <w:szCs w:val="24"/>
        </w:rPr>
        <w:t>（</w:t>
      </w:r>
      <w:r>
        <w:rPr>
          <w:rFonts w:hint="default" w:ascii="宋体" w:hAnsi="宋体" w:eastAsia="宋体" w:cs="宋体"/>
          <w:sz w:val="24"/>
          <w:szCs w:val="24"/>
        </w:rPr>
        <w:t>8</w:t>
      </w:r>
      <w:r>
        <w:rPr>
          <w:rFonts w:hint="eastAsia" w:ascii="宋体" w:hAnsi="宋体" w:eastAsia="宋体" w:cs="宋体"/>
          <w:sz w:val="24"/>
          <w:szCs w:val="24"/>
        </w:rPr>
        <w:t>）变（配）电系统联络自切正常。</w:t>
      </w:r>
    </w:p>
    <w:p w14:paraId="2B61B90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ascii="宋体" w:hAnsi="宋体" w:eastAsia="宋体" w:cs="宋体"/>
          <w:sz w:val="24"/>
          <w:szCs w:val="24"/>
        </w:rPr>
      </w:pPr>
      <w:r>
        <w:rPr>
          <w:rFonts w:hint="eastAsia" w:ascii="宋体" w:hAnsi="宋体" w:eastAsia="宋体" w:cs="宋体"/>
          <w:sz w:val="24"/>
          <w:szCs w:val="24"/>
        </w:rPr>
        <w:t>（</w:t>
      </w:r>
      <w:r>
        <w:rPr>
          <w:rFonts w:hint="default" w:ascii="宋体" w:hAnsi="宋体" w:eastAsia="宋体" w:cs="宋体"/>
          <w:sz w:val="24"/>
          <w:szCs w:val="24"/>
        </w:rPr>
        <w:t>9</w:t>
      </w:r>
      <w:r>
        <w:rPr>
          <w:rFonts w:hint="eastAsia" w:ascii="宋体" w:hAnsi="宋体" w:eastAsia="宋体" w:cs="宋体"/>
          <w:sz w:val="24"/>
          <w:szCs w:val="24"/>
        </w:rPr>
        <w:t>）高（低）压变（配）电自身温度应处在合理范围内，一般应≤25℃。</w:t>
      </w:r>
    </w:p>
    <w:p w14:paraId="7817CEF9">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ascii="宋体" w:hAnsi="宋体" w:eastAsia="宋体" w:cs="宋体"/>
          <w:sz w:val="24"/>
          <w:szCs w:val="24"/>
        </w:rPr>
      </w:pPr>
      <w:r>
        <w:rPr>
          <w:rFonts w:hint="eastAsia" w:ascii="宋体" w:hAnsi="宋体" w:eastAsia="宋体" w:cs="宋体"/>
          <w:sz w:val="24"/>
          <w:szCs w:val="24"/>
        </w:rPr>
        <w:t>（1</w:t>
      </w:r>
      <w:r>
        <w:rPr>
          <w:rFonts w:hint="default" w:ascii="宋体" w:hAnsi="宋体" w:eastAsia="宋体" w:cs="宋体"/>
          <w:sz w:val="24"/>
          <w:szCs w:val="24"/>
        </w:rPr>
        <w:t>0</w:t>
      </w:r>
      <w:r>
        <w:rPr>
          <w:rFonts w:hint="eastAsia" w:ascii="宋体" w:hAnsi="宋体" w:eastAsia="宋体" w:cs="宋体"/>
          <w:sz w:val="24"/>
          <w:szCs w:val="24"/>
        </w:rPr>
        <w:t>）制定临时用电管理措施。</w:t>
      </w:r>
    </w:p>
    <w:p w14:paraId="24DF0F4F">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ascii="宋体" w:hAnsi="宋体" w:eastAsia="宋体" w:cs="宋体"/>
          <w:sz w:val="24"/>
          <w:szCs w:val="24"/>
        </w:rPr>
      </w:pPr>
      <w:r>
        <w:rPr>
          <w:rFonts w:hint="eastAsia" w:ascii="宋体" w:hAnsi="宋体" w:eastAsia="宋体" w:cs="宋体"/>
          <w:sz w:val="24"/>
          <w:szCs w:val="24"/>
        </w:rPr>
        <w:t>（1</w:t>
      </w:r>
      <w:r>
        <w:rPr>
          <w:rFonts w:hint="default" w:ascii="宋体" w:hAnsi="宋体" w:eastAsia="宋体" w:cs="宋体"/>
          <w:sz w:val="24"/>
          <w:szCs w:val="24"/>
        </w:rPr>
        <w:t>1</w:t>
      </w:r>
      <w:r>
        <w:rPr>
          <w:rFonts w:hint="eastAsia" w:ascii="宋体" w:hAnsi="宋体" w:eastAsia="宋体" w:cs="宋体"/>
          <w:sz w:val="24"/>
          <w:szCs w:val="24"/>
        </w:rPr>
        <w:t>）限电、停电应有明确的审批权限， 按规定要求提前发布公告。遇紧急情况时，应采取必要的紧急处理措施。</w:t>
      </w:r>
    </w:p>
    <w:p w14:paraId="58D119F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ascii="宋体" w:hAnsi="宋体" w:eastAsia="宋体" w:cs="宋体"/>
          <w:sz w:val="24"/>
          <w:szCs w:val="24"/>
        </w:rPr>
      </w:pPr>
      <w:r>
        <w:rPr>
          <w:rFonts w:hint="eastAsia" w:ascii="宋体" w:hAnsi="宋体" w:eastAsia="宋体" w:cs="宋体"/>
          <w:sz w:val="24"/>
          <w:szCs w:val="24"/>
        </w:rPr>
        <w:t>（1</w:t>
      </w:r>
      <w:r>
        <w:rPr>
          <w:rFonts w:hint="default" w:ascii="宋体" w:hAnsi="宋体" w:eastAsia="宋体" w:cs="宋体"/>
          <w:sz w:val="24"/>
          <w:szCs w:val="24"/>
        </w:rPr>
        <w:t>2</w:t>
      </w:r>
      <w:r>
        <w:rPr>
          <w:rFonts w:hint="eastAsia" w:ascii="宋体" w:hAnsi="宋体" w:eastAsia="宋体" w:cs="宋体"/>
          <w:sz w:val="24"/>
          <w:szCs w:val="24"/>
        </w:rPr>
        <w:t>）公共区域的供电设备管井、箱柜门须处于锁闭状态，并配有设备标识、警示标识。临时开启使用时，应挂出防护警示提醒标识。</w:t>
      </w:r>
    </w:p>
    <w:p w14:paraId="41A7A336">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8.消防系统维保管理</w:t>
      </w:r>
    </w:p>
    <w:p w14:paraId="7BD709E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与</w:t>
      </w:r>
      <w:r>
        <w:rPr>
          <w:rFonts w:hint="default" w:ascii="宋体" w:hAnsi="宋体" w:eastAsia="宋体" w:cs="宋体"/>
          <w:sz w:val="24"/>
          <w:szCs w:val="24"/>
        </w:rPr>
        <w:t>采购人</w:t>
      </w:r>
      <w:r>
        <w:rPr>
          <w:rFonts w:hint="eastAsia" w:ascii="宋体" w:hAnsi="宋体" w:eastAsia="宋体" w:cs="宋体"/>
          <w:sz w:val="24"/>
          <w:szCs w:val="24"/>
        </w:rPr>
        <w:t>签定消防安全责任书，建立消防安全逐级责任制，公示消防安全负责人信息。按月召开消防安全例会并形成会议纪要。</w:t>
      </w:r>
    </w:p>
    <w:p w14:paraId="4828ED7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制定突发火灾的应急预案，编制消防疏散示意图，确保应急照明设施设备、疏散标志完好，紧急疏散通道、安全出口、消防车通道畅通；建立符合要求的消防档案形成台帐。</w:t>
      </w:r>
    </w:p>
    <w:p w14:paraId="5B7557F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落实每日进行防火巡查制度，重点区域应加强夜间防火巡查，并建立巡查记录。灭火器、室内消火栓设置巡查标签，确保消防设备完好有效（疏散指示标志、安全出口标牌、应急照明灯具由中标人负责维护更换）。</w:t>
      </w:r>
    </w:p>
    <w:p w14:paraId="1AEC60C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落实并配合学校开展每月进行防火检查并建立检查记录，及时整改检查中发现的消防安全隐患并整理归档。</w:t>
      </w:r>
    </w:p>
    <w:p w14:paraId="68E01C0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每半年开展一次消防培训及实操演练，保证所有在岗员工熟练掌握防火、灭火知识和消防器材的使用方法，掌握基本消防技能，具备组织疏散（逃生）和扑救初起火灾的能力。对新进员工及时组织岗前消防培训，熟悉工作岗位火灾危险性。</w:t>
      </w:r>
    </w:p>
    <w:p w14:paraId="1D1E9D3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消控室每年模拟火灾操作2次，以熟悉操作和检查消防监控设备。</w:t>
      </w:r>
    </w:p>
    <w:p w14:paraId="3D820541">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9.中央空调</w:t>
      </w:r>
      <w:r>
        <w:rPr>
          <w:rFonts w:hint="default" w:ascii="宋体" w:hAnsi="宋体" w:eastAsia="宋体" w:cs="宋体"/>
          <w:b/>
          <w:bCs/>
          <w:sz w:val="24"/>
          <w:szCs w:val="24"/>
        </w:rPr>
        <w:t>日常</w:t>
      </w:r>
      <w:r>
        <w:rPr>
          <w:rFonts w:hint="eastAsia" w:ascii="宋体" w:hAnsi="宋体" w:eastAsia="宋体" w:cs="宋体"/>
          <w:b/>
          <w:bCs/>
          <w:sz w:val="24"/>
          <w:szCs w:val="24"/>
        </w:rPr>
        <w:t>管理</w:t>
      </w:r>
    </w:p>
    <w:p w14:paraId="076E94C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中央空调运行正常，温度体感适中；卫生符合《公共场所集中空调通风系统卫生规范》（WS 394）的要求；中央空调通风系统运行管理应符合《空调通风系统运行管理标准》（GB 50365）的要求；每日巡查维护，出现异常和故障及时维修并做好记录；每年提供设备运行情况报告、故障分析报告和优化建议。</w:t>
      </w:r>
    </w:p>
    <w:p w14:paraId="506E4B79">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jc w:val="both"/>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10.安防监控系统</w:t>
      </w:r>
    </w:p>
    <w:p w14:paraId="1F9AE0B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（1）配备相应的人员和物资，负责日常对监控系统的监测、维护、服务、管理,保障监控系统的长期、可靠、有效地运行。</w:t>
      </w:r>
    </w:p>
    <w:p w14:paraId="465EEC5B">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（2）维修维护做到“四齐”，即备件齐、配件齐、工具齐、仪器齐。</w:t>
      </w:r>
    </w:p>
    <w:p w14:paraId="14CF214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3）每半年一次设备的除尘、清理，扫净监控设备显露的尘土，对摄像机、防护罩等部件要卸下彻底吹风除尘，之后用无水酒精棉将各个镜头擦干净，调整清晰度，防止由于机器运转、静电等因素将尘土吸入监控设备机体内，确保机器正常运行。同时检查监控机房通风、散热、净尘、供电等设施。室内温度应控制在+5℃~+35℃,相对湿度应控制在10％～80％，留给机房监控设备一个良好的运行环境。</w:t>
      </w:r>
    </w:p>
    <w:p w14:paraId="0687C58D">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（4）每季度检测各项技术参数及监控系统传输线路质量，处理故障隐患，确保各部份设备各项功能良好，能够正常运行。</w:t>
      </w:r>
    </w:p>
    <w:p w14:paraId="6AF1DE8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（5）监视器工作正常、图像清晰、色彩良好、整洁。</w:t>
      </w:r>
    </w:p>
    <w:p w14:paraId="04144B3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（6）报警系统工作站工作正常、整洁；红外探头安装牢固、线路无损、工作正常、整洁。</w:t>
      </w:r>
    </w:p>
    <w:p w14:paraId="1A1478AD">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jc w:val="both"/>
        <w:textAlignment w:val="auto"/>
        <w:rPr>
          <w:rFonts w:hint="eastAsia" w:ascii="宋体" w:hAnsi="宋体" w:eastAsia="宋体" w:cs="宋体"/>
          <w:sz w:val="24"/>
          <w:szCs w:val="24"/>
        </w:rPr>
      </w:pPr>
      <w:r>
        <w:rPr>
          <w:rFonts w:hint="eastAsia" w:ascii="宋体" w:hAnsi="宋体" w:eastAsia="宋体" w:cs="宋体"/>
          <w:b/>
          <w:bCs/>
          <w:sz w:val="24"/>
          <w:szCs w:val="24"/>
        </w:rPr>
        <w:t>11.电梯维保管理</w:t>
      </w:r>
    </w:p>
    <w:p w14:paraId="5146C13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电梯使用应符合《特种设备使用管理规则》（TSG 08-2017）的要求；电梯运行平稳，无异响，平层、开关正常；轿厢保持洁净、无异味；使用标志、年检标志、紧急救援电话和乘客注意事项应置于轿厢醒目位置；电梯紧急电话系统应保持畅通；电梯维修时在现场设置提示标识和防护围栏；制定电梯各类故障应急预案，定期开展电梯安全宣传、培训及演练。</w:t>
      </w:r>
    </w:p>
    <w:p w14:paraId="3EB6187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sz w:val="24"/>
          <w:szCs w:val="24"/>
        </w:rPr>
      </w:pPr>
      <w:r>
        <w:rPr>
          <w:rFonts w:hint="eastAsia" w:ascii="宋体" w:hAnsi="宋体" w:eastAsia="宋体" w:cs="宋体"/>
          <w:b/>
          <w:bCs/>
          <w:kern w:val="2"/>
          <w:sz w:val="24"/>
          <w:szCs w:val="24"/>
          <w:lang w:val="en-US" w:eastAsia="zh-CN" w:bidi="ar-SA"/>
        </w:rPr>
        <w:t>12.</w:t>
      </w:r>
      <w:r>
        <w:rPr>
          <w:rFonts w:hint="eastAsia" w:ascii="宋体" w:hAnsi="宋体" w:eastAsia="宋体" w:cs="宋体"/>
          <w:b/>
          <w:bCs/>
          <w:sz w:val="24"/>
          <w:szCs w:val="24"/>
        </w:rPr>
        <w:t>监控系统及电子显示屏维修维护</w:t>
      </w:r>
    </w:p>
    <w:p w14:paraId="48CCDDC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按学校要求做好各类监控及电子显示屏及投影的管理、维修，包括但不限于电子显示屏的启停、内容更换等。</w:t>
      </w:r>
    </w:p>
    <w:p w14:paraId="1E6F31C0">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sz w:val="24"/>
          <w:szCs w:val="24"/>
        </w:rPr>
      </w:pPr>
      <w:r>
        <w:rPr>
          <w:rFonts w:hint="default" w:ascii="宋体" w:hAnsi="宋体" w:eastAsia="宋体" w:cs="宋体"/>
          <w:b/>
          <w:bCs/>
          <w:sz w:val="24"/>
          <w:szCs w:val="24"/>
        </w:rPr>
        <w:t>13</w:t>
      </w:r>
      <w:r>
        <w:rPr>
          <w:rFonts w:hint="eastAsia" w:ascii="宋体" w:hAnsi="宋体" w:eastAsia="宋体" w:cs="宋体"/>
          <w:b/>
          <w:bCs/>
          <w:sz w:val="24"/>
          <w:szCs w:val="24"/>
        </w:rPr>
        <w:t>.公共照明系统</w:t>
      </w:r>
    </w:p>
    <w:p w14:paraId="7D155DA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（1）公共照明系统应每天一次巡检，路灯、公用会议室、门厅、电梯间、楼梯间、休息室、楼道等公共部位应保持99%以上的亮灯率，如有缺损，应及时更换；</w:t>
      </w:r>
    </w:p>
    <w:p w14:paraId="210F347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（2）每月一次对泛光照明灯具、霓虹灯、门厅吊灯外观进行检查，保持清洁完好，并保持99%以上的亮灯率；</w:t>
      </w:r>
    </w:p>
    <w:p w14:paraId="047A972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（3）每天一次巡检公共照明电气柜电器设备，遇有故障，应及时处置，保证运行安全、正常。</w:t>
      </w:r>
    </w:p>
    <w:p w14:paraId="173B8A00">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sz w:val="24"/>
          <w:szCs w:val="24"/>
        </w:rPr>
      </w:pPr>
      <w:r>
        <w:rPr>
          <w:rFonts w:hint="default" w:ascii="宋体" w:hAnsi="宋体" w:eastAsia="宋体" w:cs="宋体"/>
          <w:b/>
          <w:bCs/>
          <w:sz w:val="24"/>
          <w:szCs w:val="24"/>
        </w:rPr>
        <w:t>14</w:t>
      </w:r>
      <w:r>
        <w:rPr>
          <w:rFonts w:hint="eastAsia" w:ascii="宋体" w:hAnsi="宋体" w:eastAsia="宋体" w:cs="宋体"/>
          <w:b/>
          <w:bCs/>
          <w:sz w:val="24"/>
          <w:szCs w:val="24"/>
        </w:rPr>
        <w:t>.楼宇自动化系统</w:t>
      </w:r>
    </w:p>
    <w:p w14:paraId="1539DE5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（1）楼宇设备自动化（BA）系统服务器、工作站工作正常、通讯正常、整洁；</w:t>
      </w:r>
    </w:p>
    <w:p w14:paraId="1A016FE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（2）数字式直接控制器（DDC）工作正常、通讯正常、整洁、线路整齐；</w:t>
      </w:r>
    </w:p>
    <w:p w14:paraId="13AB423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（3）末端设备工作正常、接线正确、线路无损、安装牢固。</w:t>
      </w:r>
    </w:p>
    <w:p w14:paraId="27080977">
      <w:pPr>
        <w:keepNext w:val="0"/>
        <w:keepLines w:val="0"/>
        <w:pageBreakBefore w:val="0"/>
        <w:widowControl w:val="0"/>
        <w:kinsoku/>
        <w:wordWrap/>
        <w:overflowPunct/>
        <w:topLinePunct w:val="0"/>
        <w:autoSpaceDE/>
        <w:autoSpaceDN/>
        <w:bidi w:val="0"/>
        <w:adjustRightInd/>
        <w:snapToGrid/>
        <w:spacing w:line="360" w:lineRule="auto"/>
        <w:ind w:firstLine="120" w:firstLineChars="50"/>
        <w:contextualSpacing/>
        <w:jc w:val="both"/>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（五）接待服务</w:t>
      </w:r>
    </w:p>
    <w:p w14:paraId="224B1CF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jc w:val="both"/>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（1）来访接待应遵循“有问必答”的原则，接待人员应热情回答来访者的咨询，确保答复率100%，问候、问话、回答等用语规范。</w:t>
      </w:r>
    </w:p>
    <w:p w14:paraId="081D7B9D">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jc w:val="both"/>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（2）接到报修时，应及时受理，并在规定的时间内到达现场处理，小修项目宜当天完成（预约除外）；维修结果应及时反馈给报修单位或报修人。</w:t>
      </w:r>
    </w:p>
    <w:p w14:paraId="2BC4B6B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jc w:val="both"/>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（3）</w:t>
      </w:r>
      <w:r>
        <w:rPr>
          <w:rFonts w:hint="eastAsia" w:ascii="宋体" w:hAnsi="宋体" w:eastAsia="宋体" w:cs="宋体"/>
          <w:sz w:val="24"/>
          <w:szCs w:val="24"/>
        </w:rPr>
        <w:t>中标单位</w:t>
      </w:r>
      <w:r>
        <w:rPr>
          <w:rFonts w:hint="eastAsia" w:ascii="宋体" w:hAnsi="宋体" w:eastAsia="宋体" w:cs="宋体"/>
          <w:b w:val="0"/>
          <w:bCs w:val="0"/>
          <w:sz w:val="24"/>
          <w:szCs w:val="24"/>
        </w:rPr>
        <w:t>直接受理的投诉，应核实情况，及时处理并回复投诉者。属于</w:t>
      </w:r>
      <w:r>
        <w:rPr>
          <w:rFonts w:hint="eastAsia" w:ascii="宋体" w:hAnsi="宋体" w:eastAsia="宋体" w:cs="宋体"/>
          <w:sz w:val="24"/>
          <w:szCs w:val="24"/>
        </w:rPr>
        <w:t>中标单位</w:t>
      </w:r>
      <w:r>
        <w:rPr>
          <w:rFonts w:hint="eastAsia" w:ascii="宋体" w:hAnsi="宋体" w:eastAsia="宋体" w:cs="宋体"/>
          <w:b w:val="0"/>
          <w:bCs w:val="0"/>
          <w:sz w:val="24"/>
          <w:szCs w:val="24"/>
        </w:rPr>
        <w:t>责任的，应及时向投诉者道歉并纠正；属于无责投诉的应向投诉者做好解释工作。投诉应在一个工作日内回复处理结果，最长不得超过三个工作日</w:t>
      </w:r>
    </w:p>
    <w:p w14:paraId="7159BF1D">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jc w:val="both"/>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（4）受理、处置各种投诉应做好记录。代收代缴收费服务</w:t>
      </w:r>
    </w:p>
    <w:p w14:paraId="7741E2D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b w:val="0"/>
          <w:bCs w:val="0"/>
          <w:sz w:val="24"/>
          <w:szCs w:val="24"/>
        </w:rPr>
        <w:t>（</w:t>
      </w:r>
      <w:r>
        <w:rPr>
          <w:rFonts w:hint="default" w:ascii="宋体" w:hAnsi="宋体" w:eastAsia="宋体" w:cs="宋体"/>
          <w:b w:val="0"/>
          <w:bCs w:val="0"/>
          <w:sz w:val="24"/>
          <w:szCs w:val="24"/>
        </w:rPr>
        <w:t>5</w:t>
      </w:r>
      <w:r>
        <w:rPr>
          <w:rFonts w:hint="eastAsia" w:ascii="宋体" w:hAnsi="宋体" w:eastAsia="宋体" w:cs="宋体"/>
          <w:b w:val="0"/>
          <w:bCs w:val="0"/>
          <w:sz w:val="24"/>
          <w:szCs w:val="24"/>
        </w:rPr>
        <w:t>）</w:t>
      </w:r>
      <w:r>
        <w:rPr>
          <w:rFonts w:hint="eastAsia" w:ascii="宋体" w:hAnsi="宋体" w:eastAsia="宋体" w:cs="宋体"/>
          <w:sz w:val="24"/>
          <w:szCs w:val="24"/>
        </w:rPr>
        <w:t>中标单位负责</w:t>
      </w:r>
      <w:bookmarkStart w:id="7" w:name="OLE_LINK72"/>
      <w:r>
        <w:rPr>
          <w:rFonts w:hint="eastAsia" w:ascii="宋体" w:hAnsi="宋体" w:eastAsia="宋体" w:cs="宋体"/>
          <w:sz w:val="24"/>
          <w:szCs w:val="24"/>
        </w:rPr>
        <w:t>产学研综合楼</w:t>
      </w:r>
      <w:bookmarkEnd w:id="7"/>
      <w:r>
        <w:rPr>
          <w:rFonts w:hint="eastAsia" w:ascii="宋体" w:hAnsi="宋体" w:eastAsia="宋体" w:cs="宋体"/>
          <w:sz w:val="24"/>
          <w:szCs w:val="24"/>
        </w:rPr>
        <w:t>楼宇及楼内使用单位水、电表抄表工作</w:t>
      </w:r>
      <w:r>
        <w:rPr>
          <w:rFonts w:hint="default" w:ascii="宋体" w:hAnsi="宋体" w:eastAsia="宋体" w:cs="宋体"/>
          <w:sz w:val="24"/>
          <w:szCs w:val="24"/>
        </w:rPr>
        <w:t>，</w:t>
      </w:r>
      <w:r>
        <w:rPr>
          <w:rFonts w:hint="eastAsia" w:ascii="宋体" w:hAnsi="宋体" w:eastAsia="宋体" w:cs="宋体"/>
          <w:sz w:val="24"/>
          <w:szCs w:val="24"/>
        </w:rPr>
        <w:t>每月10号前完成上月使用单位水、电表抄表工作，督促使用单位及时缴纳水电费。每月月底前报送上月各使用单位水电费用消耗情况。</w:t>
      </w:r>
    </w:p>
    <w:p w14:paraId="43671860">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outlineLvl w:val="1"/>
        <w:rPr>
          <w:rFonts w:ascii="宋体" w:hAnsi="宋体" w:eastAsia="宋体" w:cs="宋体"/>
          <w:b/>
          <w:bCs/>
          <w:sz w:val="24"/>
          <w:szCs w:val="24"/>
        </w:rPr>
      </w:pPr>
      <w:r>
        <w:rPr>
          <w:rFonts w:hint="eastAsia" w:ascii="宋体" w:hAnsi="宋体" w:eastAsia="宋体" w:cs="宋体"/>
          <w:b/>
          <w:bCs/>
          <w:sz w:val="24"/>
          <w:szCs w:val="24"/>
        </w:rPr>
        <w:t>（）人员编制岗位</w:t>
      </w:r>
    </w:p>
    <w:p w14:paraId="531CAC89">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ascii="宋体" w:hAnsi="宋体" w:eastAsia="宋体" w:cs="宋体"/>
          <w:sz w:val="24"/>
          <w:szCs w:val="24"/>
        </w:rPr>
      </w:pPr>
      <w:r>
        <w:rPr>
          <w:rFonts w:hint="eastAsia" w:ascii="宋体" w:hAnsi="宋体" w:eastAsia="宋体" w:cs="宋体"/>
          <w:sz w:val="24"/>
          <w:szCs w:val="24"/>
        </w:rPr>
        <w:t>1.人员编制岗位要求见下表</w:t>
      </w:r>
    </w:p>
    <w:tbl>
      <w:tblPr>
        <w:tblStyle w:val="1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9"/>
        <w:gridCol w:w="726"/>
        <w:gridCol w:w="3795"/>
        <w:gridCol w:w="1293"/>
        <w:gridCol w:w="982"/>
        <w:gridCol w:w="982"/>
      </w:tblGrid>
      <w:tr w14:paraId="3A08B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noWrap w:val="0"/>
            <w:vAlign w:val="center"/>
          </w:tcPr>
          <w:p w14:paraId="0130093D">
            <w:pPr>
              <w:pStyle w:val="17"/>
              <w:spacing w:line="240" w:lineRule="auto"/>
              <w:ind w:left="0" w:leftChars="0" w:firstLine="0" w:firstLineChars="0"/>
              <w:jc w:val="center"/>
              <w:rPr>
                <w:rFonts w:hint="eastAsia" w:ascii="宋体" w:hAnsi="宋体" w:eastAsia="宋体" w:cs="宋体"/>
                <w:b/>
                <w:bCs/>
                <w:kern w:val="2"/>
                <w:sz w:val="24"/>
                <w:szCs w:val="24"/>
              </w:rPr>
            </w:pPr>
            <w:r>
              <w:rPr>
                <w:rFonts w:hint="eastAsia" w:ascii="宋体" w:hAnsi="宋体" w:eastAsia="宋体" w:cs="宋体"/>
                <w:b/>
                <w:bCs/>
                <w:kern w:val="2"/>
                <w:sz w:val="24"/>
                <w:szCs w:val="24"/>
              </w:rPr>
              <w:t>部门</w:t>
            </w:r>
          </w:p>
        </w:tc>
        <w:tc>
          <w:tcPr>
            <w:tcW w:w="426" w:type="pct"/>
            <w:noWrap w:val="0"/>
            <w:vAlign w:val="center"/>
          </w:tcPr>
          <w:p w14:paraId="28ACEC82">
            <w:pPr>
              <w:pStyle w:val="17"/>
              <w:spacing w:line="240" w:lineRule="auto"/>
              <w:ind w:left="0" w:leftChars="0" w:firstLine="0" w:firstLineChars="0"/>
              <w:jc w:val="center"/>
              <w:rPr>
                <w:rFonts w:hint="eastAsia" w:ascii="宋体" w:hAnsi="宋体" w:eastAsia="宋体" w:cs="宋体"/>
                <w:b/>
                <w:bCs/>
                <w:kern w:val="2"/>
                <w:sz w:val="24"/>
                <w:szCs w:val="24"/>
              </w:rPr>
            </w:pPr>
            <w:r>
              <w:rPr>
                <w:rFonts w:hint="eastAsia" w:ascii="宋体" w:hAnsi="宋体" w:eastAsia="宋体" w:cs="宋体"/>
                <w:b/>
                <w:bCs/>
                <w:kern w:val="2"/>
                <w:sz w:val="24"/>
                <w:szCs w:val="24"/>
              </w:rPr>
              <w:t>岗位</w:t>
            </w:r>
          </w:p>
        </w:tc>
        <w:tc>
          <w:tcPr>
            <w:tcW w:w="2227" w:type="pct"/>
            <w:noWrap w:val="0"/>
            <w:vAlign w:val="center"/>
          </w:tcPr>
          <w:p w14:paraId="7DB79169">
            <w:pPr>
              <w:pStyle w:val="17"/>
              <w:spacing w:line="240" w:lineRule="auto"/>
              <w:ind w:left="0" w:leftChars="0" w:firstLine="0" w:firstLineChars="0"/>
              <w:jc w:val="center"/>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rPr>
              <w:t>岗位</w:t>
            </w:r>
            <w:r>
              <w:rPr>
                <w:rFonts w:hint="eastAsia" w:ascii="宋体" w:hAnsi="宋体" w:eastAsia="宋体" w:cs="宋体"/>
                <w:b/>
                <w:bCs/>
                <w:kern w:val="2"/>
                <w:sz w:val="24"/>
                <w:szCs w:val="24"/>
              </w:rPr>
              <w:t>要求</w:t>
            </w:r>
          </w:p>
        </w:tc>
        <w:tc>
          <w:tcPr>
            <w:tcW w:w="759" w:type="pct"/>
            <w:noWrap w:val="0"/>
            <w:vAlign w:val="center"/>
          </w:tcPr>
          <w:p w14:paraId="4B8D59D2">
            <w:pPr>
              <w:pStyle w:val="17"/>
              <w:spacing w:line="240" w:lineRule="auto"/>
              <w:ind w:left="0" w:leftChars="0" w:firstLine="0" w:firstLineChars="0"/>
              <w:jc w:val="center"/>
              <w:rPr>
                <w:rFonts w:hint="eastAsia" w:ascii="宋体" w:hAnsi="宋体" w:eastAsia="宋体" w:cs="宋体"/>
                <w:b/>
                <w:bCs/>
                <w:kern w:val="2"/>
                <w:sz w:val="24"/>
                <w:szCs w:val="24"/>
              </w:rPr>
            </w:pPr>
            <w:r>
              <w:rPr>
                <w:rFonts w:hint="eastAsia" w:ascii="宋体" w:hAnsi="宋体" w:eastAsia="宋体" w:cs="宋体"/>
                <w:b/>
                <w:bCs/>
                <w:kern w:val="2"/>
                <w:sz w:val="24"/>
                <w:szCs w:val="24"/>
              </w:rPr>
              <w:t>工作内容</w:t>
            </w:r>
          </w:p>
        </w:tc>
        <w:tc>
          <w:tcPr>
            <w:tcW w:w="576" w:type="pct"/>
            <w:noWrap w:val="0"/>
            <w:vAlign w:val="top"/>
          </w:tcPr>
          <w:p w14:paraId="5D379B6B">
            <w:pPr>
              <w:pStyle w:val="17"/>
              <w:spacing w:line="240" w:lineRule="auto"/>
              <w:ind w:left="0" w:leftChars="0" w:firstLine="0" w:firstLineChars="0"/>
              <w:jc w:val="center"/>
              <w:rPr>
                <w:rFonts w:hint="eastAsia" w:ascii="宋体" w:hAnsi="宋体" w:eastAsia="宋体" w:cs="宋体"/>
                <w:b/>
                <w:bCs/>
                <w:kern w:val="2"/>
                <w:sz w:val="24"/>
                <w:szCs w:val="24"/>
              </w:rPr>
            </w:pPr>
            <w:r>
              <w:rPr>
                <w:rFonts w:hint="eastAsia" w:ascii="宋体" w:hAnsi="宋体" w:eastAsia="宋体" w:cs="宋体"/>
                <w:b/>
                <w:bCs/>
                <w:kern w:val="2"/>
                <w:sz w:val="24"/>
                <w:szCs w:val="24"/>
              </w:rPr>
              <w:t>人数</w:t>
            </w:r>
          </w:p>
        </w:tc>
        <w:tc>
          <w:tcPr>
            <w:tcW w:w="576" w:type="pct"/>
            <w:noWrap w:val="0"/>
            <w:vAlign w:val="top"/>
          </w:tcPr>
          <w:p w14:paraId="2D7301A5">
            <w:pPr>
              <w:pStyle w:val="17"/>
              <w:spacing w:line="240" w:lineRule="auto"/>
              <w:ind w:left="0" w:leftChars="0" w:firstLine="0" w:firstLineChars="0"/>
              <w:jc w:val="center"/>
              <w:rPr>
                <w:rFonts w:hint="eastAsia" w:ascii="宋体" w:hAnsi="宋体" w:eastAsia="宋体" w:cs="宋体"/>
                <w:b/>
                <w:bCs/>
                <w:kern w:val="2"/>
                <w:sz w:val="24"/>
                <w:szCs w:val="24"/>
                <w:lang w:val="en-US" w:eastAsia="zh-CN"/>
              </w:rPr>
            </w:pPr>
            <w:r>
              <w:rPr>
                <w:rFonts w:hint="eastAsia" w:ascii="宋体" w:hAnsi="宋体" w:eastAsia="宋体" w:cs="宋体"/>
                <w:b/>
                <w:bCs/>
                <w:kern w:val="2"/>
                <w:sz w:val="24"/>
                <w:szCs w:val="24"/>
                <w:lang w:val="en-US" w:eastAsia="zh-CN"/>
              </w:rPr>
              <w:t>备注</w:t>
            </w:r>
          </w:p>
        </w:tc>
      </w:tr>
      <w:tr w14:paraId="780ED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restart"/>
            <w:noWrap w:val="0"/>
            <w:vAlign w:val="center"/>
          </w:tcPr>
          <w:p w14:paraId="69F7032D">
            <w:pPr>
              <w:pStyle w:val="17"/>
              <w:spacing w:line="240" w:lineRule="auto"/>
              <w:ind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rPr>
              <w:t>物业运营中心</w:t>
            </w:r>
          </w:p>
        </w:tc>
        <w:tc>
          <w:tcPr>
            <w:tcW w:w="426" w:type="pct"/>
            <w:noWrap w:val="0"/>
            <w:vAlign w:val="center"/>
          </w:tcPr>
          <w:p w14:paraId="14725B14">
            <w:pPr>
              <w:pStyle w:val="17"/>
              <w:spacing w:line="240" w:lineRule="auto"/>
              <w:ind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rPr>
              <w:t>项目</w:t>
            </w:r>
          </w:p>
          <w:p w14:paraId="3091BDB4">
            <w:pPr>
              <w:pStyle w:val="17"/>
              <w:spacing w:line="240" w:lineRule="auto"/>
              <w:ind w:firstLine="0" w:firstLineChars="0"/>
              <w:jc w:val="center"/>
              <w:rPr>
                <w:rFonts w:hint="eastAsia" w:ascii="宋体" w:hAnsi="宋体" w:eastAsia="宋体" w:cs="宋体"/>
                <w:kern w:val="2"/>
                <w:sz w:val="24"/>
                <w:szCs w:val="24"/>
                <w:lang w:eastAsia="zh-CN"/>
              </w:rPr>
            </w:pPr>
            <w:r>
              <w:rPr>
                <w:rFonts w:hint="eastAsia" w:ascii="宋体" w:hAnsi="宋体" w:eastAsia="宋体" w:cs="宋体"/>
                <w:kern w:val="2"/>
                <w:sz w:val="24"/>
                <w:szCs w:val="24"/>
              </w:rPr>
              <w:t>经理</w:t>
            </w:r>
            <w:r>
              <w:rPr>
                <w:rFonts w:hint="eastAsia" w:ascii="宋体" w:hAnsi="宋体" w:eastAsia="宋体" w:cs="宋体"/>
                <w:kern w:val="2"/>
                <w:sz w:val="24"/>
                <w:szCs w:val="24"/>
                <w:lang w:eastAsia="zh-CN"/>
              </w:rPr>
              <w:t>（</w:t>
            </w:r>
            <w:r>
              <w:rPr>
                <w:rFonts w:hint="eastAsia" w:ascii="宋体" w:hAnsi="宋体" w:eastAsia="宋体" w:cs="宋体"/>
                <w:kern w:val="2"/>
                <w:sz w:val="24"/>
                <w:szCs w:val="24"/>
                <w:lang w:val="en-US" w:eastAsia="zh-CN"/>
              </w:rPr>
              <w:t>专职专岗，不兼任其他岗位</w:t>
            </w:r>
            <w:r>
              <w:rPr>
                <w:rFonts w:hint="eastAsia" w:ascii="宋体" w:hAnsi="宋体" w:eastAsia="宋体" w:cs="宋体"/>
                <w:kern w:val="2"/>
                <w:sz w:val="24"/>
                <w:szCs w:val="24"/>
                <w:lang w:eastAsia="zh-CN"/>
              </w:rPr>
              <w:t>）</w:t>
            </w:r>
          </w:p>
        </w:tc>
        <w:tc>
          <w:tcPr>
            <w:tcW w:w="2227" w:type="pct"/>
            <w:noWrap w:val="0"/>
            <w:vAlign w:val="center"/>
          </w:tcPr>
          <w:p w14:paraId="6B4D7D89">
            <w:pPr>
              <w:pStyle w:val="17"/>
              <w:spacing w:line="240" w:lineRule="auto"/>
              <w:ind w:left="0" w:leftChars="0" w:firstLine="0" w:firstLineChars="0"/>
              <w:jc w:val="both"/>
              <w:rPr>
                <w:rFonts w:hint="eastAsia" w:ascii="宋体" w:hAnsi="宋体" w:eastAsia="宋体" w:cs="宋体"/>
                <w:sz w:val="24"/>
                <w:szCs w:val="24"/>
              </w:rPr>
            </w:pPr>
            <w:r>
              <w:rPr>
                <w:rFonts w:hint="eastAsia" w:ascii="宋体" w:hAnsi="宋体" w:eastAsia="宋体" w:cs="宋体"/>
                <w:sz w:val="24"/>
                <w:szCs w:val="24"/>
                <w:lang w:val="en-US" w:eastAsia="zh-CN"/>
              </w:rPr>
              <w:t>年龄45周岁以下。</w:t>
            </w:r>
            <w:r>
              <w:rPr>
                <w:rFonts w:hint="eastAsia" w:ascii="宋体" w:hAnsi="宋体" w:eastAsia="宋体" w:cs="宋体"/>
                <w:sz w:val="24"/>
                <w:szCs w:val="24"/>
              </w:rPr>
              <w:t>项目经理须专职驻场，品行端正、遵纪守法、无违法违纪、无安全生产不良记录及从业失信记录；具备良好的沟通协调、现场管控、应急处置及公文对接能力，服从采购人管理，责任心强、执行力高，能够适配本项目高标准、常态化、规范化的高校楼宇物业服务管理要求，可长期稳定在岗履职。</w:t>
            </w:r>
          </w:p>
          <w:p w14:paraId="5E072976">
            <w:pPr>
              <w:pStyle w:val="17"/>
              <w:spacing w:line="240" w:lineRule="auto"/>
              <w:ind w:firstLine="0" w:firstLineChars="0"/>
              <w:jc w:val="both"/>
              <w:rPr>
                <w:rFonts w:hint="eastAsia" w:ascii="宋体" w:hAnsi="宋体" w:eastAsia="宋体" w:cs="宋体"/>
                <w:sz w:val="24"/>
                <w:szCs w:val="24"/>
                <w:lang w:eastAsia="zh-CN"/>
              </w:rPr>
            </w:pPr>
            <w:r>
              <w:rPr>
                <w:rFonts w:hint="eastAsia" w:ascii="宋体" w:hAnsi="宋体" w:eastAsia="宋体" w:cs="宋体"/>
                <w:sz w:val="24"/>
                <w:szCs w:val="24"/>
              </w:rPr>
              <w:t>岗位职责</w:t>
            </w:r>
            <w:r>
              <w:rPr>
                <w:rFonts w:hint="eastAsia" w:ascii="宋体" w:hAnsi="宋体" w:eastAsia="宋体" w:cs="宋体"/>
                <w:sz w:val="24"/>
                <w:szCs w:val="24"/>
                <w:lang w:eastAsia="zh-CN"/>
              </w:rPr>
              <w:t>：</w:t>
            </w:r>
          </w:p>
          <w:p w14:paraId="5EA13433">
            <w:pPr>
              <w:pStyle w:val="17"/>
              <w:spacing w:line="240" w:lineRule="auto"/>
              <w:ind w:firstLine="0" w:firstLineChars="0"/>
              <w:jc w:val="both"/>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全面负责本楼宇物业服务全盘管理工作，全面统筹项目运营管理，严格落实招标文件、合同约定及采购人各项物业管理制度与服务标准。</w:t>
            </w:r>
          </w:p>
          <w:p w14:paraId="0B0A8964">
            <w:pPr>
              <w:pStyle w:val="17"/>
              <w:spacing w:line="240" w:lineRule="auto"/>
              <w:ind w:firstLine="0" w:firstLineChars="0"/>
              <w:jc w:val="both"/>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团队建设与人员管理</w:t>
            </w:r>
            <w:r>
              <w:rPr>
                <w:rFonts w:hint="eastAsia" w:ascii="宋体" w:hAnsi="宋体" w:eastAsia="宋体" w:cs="宋体"/>
                <w:sz w:val="24"/>
                <w:szCs w:val="24"/>
                <w:lang w:eastAsia="zh-CN"/>
              </w:rPr>
              <w:t>。</w:t>
            </w:r>
            <w:r>
              <w:rPr>
                <w:rFonts w:hint="eastAsia" w:ascii="宋体" w:hAnsi="宋体" w:eastAsia="宋体" w:cs="宋体"/>
                <w:sz w:val="24"/>
                <w:szCs w:val="24"/>
              </w:rPr>
              <w:t>负责项目全体物业服务人员日常管理、排班调度、在岗督查、纪律管控、服务规范培训、仪容仪表管理及日常工作考核，稳定服务队伍，保障服务标准化落地。</w:t>
            </w:r>
          </w:p>
          <w:p w14:paraId="253FB9BE">
            <w:pPr>
              <w:pStyle w:val="17"/>
              <w:spacing w:line="240" w:lineRule="auto"/>
              <w:ind w:firstLine="0" w:firstLineChars="0"/>
              <w:jc w:val="both"/>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严格落实安全作业规范，杜绝安全事故。</w:t>
            </w:r>
          </w:p>
          <w:p w14:paraId="77FAFF8A">
            <w:pPr>
              <w:pStyle w:val="17"/>
              <w:spacing w:line="240" w:lineRule="auto"/>
              <w:ind w:firstLine="0" w:firstLineChars="0"/>
              <w:jc w:val="both"/>
              <w:rPr>
                <w:rFonts w:hint="eastAsia" w:ascii="宋体" w:hAnsi="宋体" w:eastAsia="宋体" w:cs="宋体"/>
                <w:sz w:val="24"/>
                <w:szCs w:val="24"/>
                <w:lang w:eastAsia="zh-CN"/>
              </w:rPr>
            </w:pPr>
            <w:r>
              <w:rPr>
                <w:rFonts w:hint="eastAsia" w:ascii="宋体" w:hAnsi="宋体" w:eastAsia="宋体" w:cs="宋体"/>
                <w:sz w:val="24"/>
                <w:szCs w:val="24"/>
              </w:rPr>
              <w:t>全面负责项目安全生产管理工作，落实日常安全巡查、隐患排查、问题整改闭环</w:t>
            </w:r>
            <w:r>
              <w:rPr>
                <w:rFonts w:hint="eastAsia" w:ascii="宋体" w:hAnsi="宋体" w:eastAsia="宋体" w:cs="宋体"/>
                <w:sz w:val="24"/>
                <w:szCs w:val="24"/>
                <w:lang w:eastAsia="zh-CN"/>
              </w:rPr>
              <w:t>。</w:t>
            </w:r>
            <w:r>
              <w:rPr>
                <w:rFonts w:hint="eastAsia" w:ascii="宋体" w:hAnsi="宋体" w:eastAsia="宋体" w:cs="宋体"/>
                <w:sz w:val="24"/>
                <w:szCs w:val="24"/>
              </w:rPr>
              <w:t>负责楼宇设施设备运维监管</w:t>
            </w:r>
            <w:r>
              <w:rPr>
                <w:rFonts w:hint="eastAsia" w:ascii="宋体" w:hAnsi="宋体" w:eastAsia="宋体" w:cs="宋体"/>
                <w:sz w:val="24"/>
                <w:szCs w:val="24"/>
                <w:lang w:eastAsia="zh-CN"/>
              </w:rPr>
              <w:t>。</w:t>
            </w:r>
          </w:p>
          <w:p w14:paraId="6394AA56">
            <w:pPr>
              <w:pStyle w:val="17"/>
              <w:spacing w:line="240" w:lineRule="auto"/>
              <w:ind w:firstLine="0" w:firstLineChars="0"/>
              <w:jc w:val="both"/>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品质管理与环境管控</w:t>
            </w:r>
          </w:p>
          <w:p w14:paraId="5FF5C585">
            <w:pPr>
              <w:pStyle w:val="17"/>
              <w:spacing w:line="240" w:lineRule="auto"/>
              <w:ind w:firstLine="0" w:firstLineChars="0"/>
              <w:jc w:val="both"/>
              <w:rPr>
                <w:rFonts w:hint="eastAsia" w:ascii="宋体" w:hAnsi="宋体" w:eastAsia="宋体" w:cs="宋体"/>
                <w:sz w:val="24"/>
                <w:szCs w:val="24"/>
                <w:lang w:eastAsia="zh-CN"/>
              </w:rPr>
            </w:pPr>
            <w:r>
              <w:rPr>
                <w:rFonts w:hint="eastAsia" w:ascii="宋体" w:hAnsi="宋体" w:eastAsia="宋体" w:cs="宋体"/>
                <w:sz w:val="24"/>
                <w:szCs w:val="24"/>
                <w:lang w:val="en-US" w:eastAsia="zh-CN"/>
              </w:rPr>
              <w:t>5、</w:t>
            </w:r>
            <w:r>
              <w:rPr>
                <w:rFonts w:hint="eastAsia" w:ascii="宋体" w:hAnsi="宋体" w:eastAsia="宋体" w:cs="宋体"/>
                <w:sz w:val="24"/>
                <w:szCs w:val="24"/>
              </w:rPr>
              <w:t>熟悉高校楼宇应急管理规范，负责各类突发事件、安全险情、服务投诉、现场突发问题的第一时间处置、上报、闭环整改</w:t>
            </w:r>
            <w:r>
              <w:rPr>
                <w:rFonts w:hint="eastAsia" w:ascii="宋体" w:hAnsi="宋体" w:eastAsia="宋体" w:cs="宋体"/>
                <w:sz w:val="24"/>
                <w:szCs w:val="24"/>
                <w:lang w:eastAsia="zh-CN"/>
              </w:rPr>
              <w:t>。</w:t>
            </w:r>
          </w:p>
          <w:p w14:paraId="25AF4DE0">
            <w:pPr>
              <w:pStyle w:val="17"/>
              <w:spacing w:line="240" w:lineRule="auto"/>
              <w:ind w:firstLine="0" w:firstLineChars="0"/>
              <w:jc w:val="both"/>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负责项目各类物业服务台账、安全台账、运维台账、培训台账的建立、更新、归档。</w:t>
            </w:r>
          </w:p>
          <w:p w14:paraId="187FA4AB">
            <w:pPr>
              <w:pStyle w:val="17"/>
              <w:spacing w:line="240" w:lineRule="auto"/>
              <w:ind w:firstLine="0" w:firstLineChars="0"/>
              <w:jc w:val="both"/>
              <w:rPr>
                <w:rFonts w:hint="eastAsia" w:ascii="宋体" w:hAnsi="宋体" w:eastAsia="宋体" w:cs="宋体"/>
                <w:kern w:val="2"/>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配合采购人开展专项整治、安全督查、活动保障、年度考核、合同履约管理等各项工作。</w:t>
            </w:r>
          </w:p>
        </w:tc>
        <w:tc>
          <w:tcPr>
            <w:tcW w:w="759" w:type="pct"/>
            <w:noWrap w:val="0"/>
            <w:vAlign w:val="center"/>
          </w:tcPr>
          <w:p w14:paraId="78085C6A">
            <w:pPr>
              <w:pStyle w:val="17"/>
              <w:spacing w:line="240" w:lineRule="auto"/>
              <w:ind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rPr>
              <w:t>项目统筹</w:t>
            </w:r>
          </w:p>
        </w:tc>
        <w:tc>
          <w:tcPr>
            <w:tcW w:w="576" w:type="pct"/>
            <w:noWrap w:val="0"/>
            <w:vAlign w:val="center"/>
          </w:tcPr>
          <w:p w14:paraId="1BA2ADE8">
            <w:pPr>
              <w:pStyle w:val="17"/>
              <w:spacing w:line="240" w:lineRule="auto"/>
              <w:ind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rPr>
              <w:t>1</w:t>
            </w:r>
          </w:p>
        </w:tc>
        <w:tc>
          <w:tcPr>
            <w:tcW w:w="576" w:type="pct"/>
            <w:noWrap w:val="0"/>
            <w:vAlign w:val="center"/>
          </w:tcPr>
          <w:p w14:paraId="6E38B1C8">
            <w:pPr>
              <w:pStyle w:val="17"/>
              <w:spacing w:line="240" w:lineRule="auto"/>
              <w:ind w:firstLine="0" w:firstLineChars="0"/>
              <w:jc w:val="center"/>
              <w:rPr>
                <w:rFonts w:hint="eastAsia" w:ascii="宋体" w:hAnsi="宋体" w:eastAsia="宋体" w:cs="宋体"/>
                <w:kern w:val="2"/>
                <w:sz w:val="24"/>
                <w:szCs w:val="24"/>
                <w:lang w:eastAsia="zh-CN"/>
              </w:rPr>
            </w:pPr>
            <w:r>
              <w:rPr>
                <w:rFonts w:hint="eastAsia" w:ascii="宋体" w:hAnsi="宋体" w:eastAsia="宋体" w:cs="宋体"/>
                <w:sz w:val="24"/>
                <w:szCs w:val="24"/>
                <w:lang w:val="en-US" w:eastAsia="zh-CN"/>
              </w:rPr>
              <w:t>需具备</w:t>
            </w:r>
            <w:r>
              <w:rPr>
                <w:rFonts w:hint="eastAsia" w:ascii="宋体" w:hAnsi="宋体" w:eastAsia="宋体" w:cs="宋体"/>
                <w:sz w:val="24"/>
                <w:szCs w:val="24"/>
              </w:rPr>
              <w:t>本科及以上学历</w:t>
            </w:r>
            <w:r>
              <w:rPr>
                <w:rFonts w:hint="eastAsia" w:ascii="宋体" w:hAnsi="宋体" w:eastAsia="宋体" w:cs="宋体"/>
                <w:b/>
                <w:bCs/>
                <w:sz w:val="24"/>
                <w:szCs w:val="24"/>
                <w:highlight w:val="yellow"/>
                <w:lang w:eastAsia="zh-CN"/>
              </w:rPr>
              <w:t>（</w:t>
            </w:r>
            <w:r>
              <w:rPr>
                <w:rFonts w:hint="eastAsia" w:ascii="宋体" w:hAnsi="宋体" w:eastAsia="宋体" w:cs="宋体"/>
                <w:b/>
                <w:bCs/>
                <w:sz w:val="24"/>
                <w:szCs w:val="24"/>
                <w:highlight w:val="yellow"/>
                <w:lang w:val="en-US" w:eastAsia="zh-CN"/>
              </w:rPr>
              <w:t>投标文件中需提供学历证书+学信网在线查验截图</w:t>
            </w:r>
            <w:r>
              <w:rPr>
                <w:rFonts w:hint="eastAsia" w:ascii="宋体" w:hAnsi="宋体" w:eastAsia="宋体" w:cs="宋体"/>
                <w:b/>
                <w:bCs/>
                <w:sz w:val="24"/>
                <w:szCs w:val="24"/>
                <w:highlight w:val="yellow"/>
                <w:lang w:eastAsia="zh-CN"/>
              </w:rPr>
              <w:t>）</w:t>
            </w:r>
          </w:p>
        </w:tc>
      </w:tr>
      <w:tr w14:paraId="3240A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2" w:hRule="atLeast"/>
          <w:jc w:val="center"/>
        </w:trPr>
        <w:tc>
          <w:tcPr>
            <w:tcW w:w="434" w:type="pct"/>
            <w:vMerge w:val="continue"/>
            <w:noWrap w:val="0"/>
            <w:vAlign w:val="center"/>
          </w:tcPr>
          <w:p w14:paraId="693FF6A7">
            <w:pPr>
              <w:pStyle w:val="17"/>
              <w:spacing w:line="240" w:lineRule="auto"/>
              <w:ind w:firstLine="420"/>
              <w:jc w:val="center"/>
              <w:rPr>
                <w:rFonts w:hint="eastAsia" w:ascii="宋体" w:hAnsi="宋体" w:eastAsia="宋体" w:cs="宋体"/>
                <w:kern w:val="2"/>
                <w:sz w:val="24"/>
                <w:szCs w:val="24"/>
              </w:rPr>
            </w:pPr>
          </w:p>
        </w:tc>
        <w:tc>
          <w:tcPr>
            <w:tcW w:w="426" w:type="pct"/>
            <w:noWrap w:val="0"/>
            <w:vAlign w:val="center"/>
          </w:tcPr>
          <w:p w14:paraId="772445B8">
            <w:pPr>
              <w:pStyle w:val="17"/>
              <w:spacing w:line="240" w:lineRule="auto"/>
              <w:ind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rPr>
              <w:t>内勤</w:t>
            </w:r>
            <w:r>
              <w:rPr>
                <w:rFonts w:hint="eastAsia" w:ascii="宋体" w:hAnsi="宋体" w:eastAsia="宋体" w:cs="宋体"/>
                <w:kern w:val="2"/>
                <w:sz w:val="24"/>
                <w:szCs w:val="24"/>
                <w:lang w:eastAsia="zh-CN"/>
              </w:rPr>
              <w:t>（</w:t>
            </w:r>
            <w:r>
              <w:rPr>
                <w:rFonts w:hint="eastAsia" w:ascii="宋体" w:hAnsi="宋体" w:eastAsia="宋体" w:cs="宋体"/>
                <w:kern w:val="2"/>
                <w:sz w:val="24"/>
                <w:szCs w:val="24"/>
                <w:lang w:val="en-US" w:eastAsia="zh-CN"/>
              </w:rPr>
              <w:t>专职专岗，不兼任其他岗位</w:t>
            </w:r>
            <w:r>
              <w:rPr>
                <w:rFonts w:hint="eastAsia" w:ascii="宋体" w:hAnsi="宋体" w:eastAsia="宋体" w:cs="宋体"/>
                <w:kern w:val="2"/>
                <w:sz w:val="24"/>
                <w:szCs w:val="24"/>
                <w:lang w:eastAsia="zh-CN"/>
              </w:rPr>
              <w:t>）</w:t>
            </w:r>
          </w:p>
        </w:tc>
        <w:tc>
          <w:tcPr>
            <w:tcW w:w="2227" w:type="pct"/>
            <w:noWrap w:val="0"/>
            <w:vAlign w:val="center"/>
          </w:tcPr>
          <w:p w14:paraId="59CC8EE2">
            <w:pPr>
              <w:pStyle w:val="17"/>
              <w:spacing w:line="240" w:lineRule="auto"/>
              <w:ind w:firstLine="0" w:firstLineChars="0"/>
              <w:jc w:val="both"/>
              <w:rPr>
                <w:rFonts w:hint="eastAsia" w:ascii="宋体" w:hAnsi="宋体" w:eastAsia="宋体" w:cs="宋体"/>
                <w:sz w:val="24"/>
                <w:szCs w:val="24"/>
              </w:rPr>
            </w:pPr>
            <w:r>
              <w:rPr>
                <w:rFonts w:hint="eastAsia" w:ascii="宋体" w:hAnsi="宋体" w:eastAsia="宋体" w:cs="宋体"/>
                <w:sz w:val="24"/>
                <w:szCs w:val="24"/>
              </w:rPr>
              <w:t>年龄40周岁及以下，身体健康，服从项目统一管理，工作认真负责、细致严谨，能够适应岗位常态化工作及应急值守要求。</w:t>
            </w:r>
          </w:p>
          <w:p w14:paraId="117BDF43">
            <w:pPr>
              <w:pStyle w:val="17"/>
              <w:spacing w:line="240" w:lineRule="auto"/>
              <w:ind w:firstLine="0" w:firstLineChars="0"/>
              <w:jc w:val="both"/>
              <w:rPr>
                <w:rFonts w:hint="eastAsia" w:ascii="宋体" w:hAnsi="宋体" w:eastAsia="宋体" w:cs="宋体"/>
                <w:sz w:val="24"/>
                <w:szCs w:val="24"/>
              </w:rPr>
            </w:pPr>
            <w:r>
              <w:rPr>
                <w:rFonts w:hint="eastAsia" w:ascii="宋体" w:hAnsi="宋体" w:eastAsia="宋体" w:cs="宋体"/>
                <w:sz w:val="24"/>
                <w:szCs w:val="24"/>
              </w:rPr>
              <w:t>岗位职责及工作要求</w:t>
            </w:r>
          </w:p>
          <w:p w14:paraId="16F6A22A">
            <w:pPr>
              <w:pStyle w:val="17"/>
              <w:spacing w:line="240" w:lineRule="auto"/>
              <w:ind w:firstLine="0" w:firstLineChars="0"/>
              <w:jc w:val="both"/>
              <w:rPr>
                <w:rFonts w:hint="eastAsia" w:ascii="宋体" w:hAnsi="宋体" w:eastAsia="宋体" w:cs="宋体"/>
                <w:sz w:val="24"/>
                <w:szCs w:val="24"/>
              </w:rPr>
            </w:pPr>
            <w:r>
              <w:rPr>
                <w:rFonts w:hint="eastAsia" w:ascii="宋体" w:hAnsi="宋体" w:eastAsia="宋体" w:cs="宋体"/>
                <w:sz w:val="24"/>
                <w:szCs w:val="24"/>
                <w:lang w:val="en-US" w:eastAsia="zh-CN"/>
              </w:rPr>
              <w:t>1、负责项目物业服务各类资料整理、归档、台账更新、报表统计、资料保管；熟练完成日常文字编辑、信息汇总、数据梳理工作。</w:t>
            </w:r>
          </w:p>
          <w:p w14:paraId="3B2E0915">
            <w:pPr>
              <w:pStyle w:val="17"/>
              <w:spacing w:line="240" w:lineRule="auto"/>
              <w:ind w:firstLine="0" w:firstLineChars="0"/>
              <w:jc w:val="both"/>
              <w:rPr>
                <w:rFonts w:hint="eastAsia" w:ascii="宋体" w:hAnsi="宋体" w:eastAsia="宋体" w:cs="宋体"/>
                <w:sz w:val="24"/>
                <w:szCs w:val="24"/>
              </w:rPr>
            </w:pPr>
            <w:r>
              <w:rPr>
                <w:rFonts w:hint="eastAsia" w:ascii="宋体" w:hAnsi="宋体" w:eastAsia="宋体" w:cs="宋体"/>
                <w:sz w:val="24"/>
                <w:szCs w:val="24"/>
                <w:lang w:val="en-US" w:eastAsia="zh-CN"/>
              </w:rPr>
              <w:t>2、负责日常对内、对外对接联络，接收、传达采购人各项工作通知、整改要求、工作指令，及时跟踪落实、反馈闭环。</w:t>
            </w:r>
          </w:p>
          <w:p w14:paraId="4C0135C2">
            <w:pPr>
              <w:pStyle w:val="17"/>
              <w:spacing w:line="240" w:lineRule="auto"/>
              <w:ind w:firstLine="0" w:firstLineChars="0"/>
              <w:jc w:val="both"/>
              <w:rPr>
                <w:rFonts w:hint="eastAsia" w:ascii="宋体" w:hAnsi="宋体" w:eastAsia="宋体" w:cs="宋体"/>
                <w:sz w:val="24"/>
                <w:szCs w:val="24"/>
              </w:rPr>
            </w:pPr>
            <w:r>
              <w:rPr>
                <w:rFonts w:hint="eastAsia" w:ascii="宋体" w:hAnsi="宋体" w:eastAsia="宋体" w:cs="宋体"/>
                <w:sz w:val="24"/>
                <w:szCs w:val="24"/>
                <w:lang w:val="en-US" w:eastAsia="zh-CN"/>
              </w:rPr>
              <w:t>3、协助项目经理开展日常品质检查、安全巡查、问题记录、隐患汇总、整改跟踪，整理每日、每周、每月工作情况，形成工作台账。</w:t>
            </w:r>
          </w:p>
          <w:p w14:paraId="507ECF40">
            <w:pPr>
              <w:pStyle w:val="17"/>
              <w:spacing w:line="240" w:lineRule="auto"/>
              <w:ind w:firstLine="0" w:firstLineChars="0"/>
              <w:jc w:val="both"/>
              <w:rPr>
                <w:rFonts w:hint="eastAsia" w:ascii="宋体" w:hAnsi="宋体" w:eastAsia="宋体" w:cs="宋体"/>
                <w:sz w:val="24"/>
                <w:szCs w:val="24"/>
              </w:rPr>
            </w:pPr>
            <w:r>
              <w:rPr>
                <w:rFonts w:hint="eastAsia" w:ascii="宋体" w:hAnsi="宋体" w:eastAsia="宋体" w:cs="宋体"/>
                <w:sz w:val="24"/>
                <w:szCs w:val="24"/>
                <w:lang w:val="en-US" w:eastAsia="zh-CN"/>
              </w:rPr>
              <w:t>4、负责服务咨询、报修、投诉记录登记、分类、派单、跟踪、回访汇总，建立问题台账，保障各类事项闭环处置。</w:t>
            </w:r>
          </w:p>
          <w:p w14:paraId="13B2B855">
            <w:pPr>
              <w:pStyle w:val="17"/>
              <w:spacing w:line="240" w:lineRule="auto"/>
              <w:ind w:firstLine="0" w:firstLineChars="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5、负责项目物业服务人员日常考勤统计、排班协助、在岗督查、人员内务资料管理、培训资料整理等内勤保障工作。</w:t>
            </w:r>
          </w:p>
          <w:p w14:paraId="475C07F4">
            <w:pPr>
              <w:pStyle w:val="17"/>
              <w:spacing w:line="240" w:lineRule="auto"/>
              <w:ind w:firstLine="0" w:firstLineChars="0"/>
              <w:jc w:val="both"/>
              <w:rPr>
                <w:rFonts w:hint="eastAsia" w:ascii="宋体" w:hAnsi="宋体" w:eastAsia="宋体" w:cs="宋体"/>
                <w:sz w:val="24"/>
                <w:szCs w:val="24"/>
              </w:rPr>
            </w:pPr>
            <w:r>
              <w:rPr>
                <w:rFonts w:hint="eastAsia" w:ascii="宋体" w:hAnsi="宋体" w:eastAsia="宋体" w:cs="宋体"/>
                <w:sz w:val="24"/>
                <w:szCs w:val="24"/>
                <w:lang w:val="en-US" w:eastAsia="zh-CN"/>
              </w:rPr>
              <w:t>6、能够24小时配合协助采购人、项目经理处置各类突发事项、临时工作、应急任务。</w:t>
            </w:r>
          </w:p>
          <w:p w14:paraId="24744053">
            <w:pPr>
              <w:pStyle w:val="17"/>
              <w:spacing w:line="240" w:lineRule="auto"/>
              <w:ind w:firstLine="0" w:firstLineChars="0"/>
              <w:jc w:val="both"/>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完成上级交办的其他物业服务内勤辅助及临时性工作任务。</w:t>
            </w:r>
          </w:p>
        </w:tc>
        <w:tc>
          <w:tcPr>
            <w:tcW w:w="759" w:type="pct"/>
            <w:noWrap w:val="0"/>
            <w:vAlign w:val="center"/>
          </w:tcPr>
          <w:p w14:paraId="513FB8DC">
            <w:pPr>
              <w:pStyle w:val="17"/>
              <w:spacing w:line="240" w:lineRule="auto"/>
              <w:ind w:firstLine="0" w:firstLineChars="0"/>
              <w:rPr>
                <w:rFonts w:hint="eastAsia" w:ascii="宋体" w:hAnsi="宋体" w:eastAsia="宋体" w:cs="宋体"/>
                <w:kern w:val="2"/>
                <w:sz w:val="24"/>
                <w:szCs w:val="24"/>
              </w:rPr>
            </w:pPr>
            <w:r>
              <w:rPr>
                <w:rFonts w:hint="eastAsia" w:ascii="宋体" w:hAnsi="宋体" w:eastAsia="宋体" w:cs="宋体"/>
                <w:kern w:val="2"/>
                <w:sz w:val="24"/>
                <w:szCs w:val="24"/>
              </w:rPr>
              <w:t>信息化维护、资料与台账建立及整理、接待登记</w:t>
            </w:r>
          </w:p>
        </w:tc>
        <w:tc>
          <w:tcPr>
            <w:tcW w:w="576" w:type="pct"/>
            <w:noWrap w:val="0"/>
            <w:vAlign w:val="center"/>
          </w:tcPr>
          <w:p w14:paraId="1990604C">
            <w:pPr>
              <w:pStyle w:val="17"/>
              <w:spacing w:line="240" w:lineRule="auto"/>
              <w:ind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rPr>
              <w:t>1</w:t>
            </w:r>
          </w:p>
        </w:tc>
        <w:tc>
          <w:tcPr>
            <w:tcW w:w="576" w:type="pct"/>
            <w:noWrap w:val="0"/>
            <w:vAlign w:val="center"/>
          </w:tcPr>
          <w:p w14:paraId="3143DD1A">
            <w:pPr>
              <w:pStyle w:val="17"/>
              <w:spacing w:line="240" w:lineRule="auto"/>
              <w:ind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rPr>
              <w:t>需具备</w:t>
            </w:r>
            <w:r>
              <w:rPr>
                <w:rFonts w:hint="eastAsia" w:ascii="宋体" w:hAnsi="宋体" w:eastAsia="宋体" w:cs="宋体"/>
                <w:kern w:val="2"/>
                <w:sz w:val="24"/>
                <w:szCs w:val="24"/>
              </w:rPr>
              <w:t>大专及以上学历</w:t>
            </w:r>
            <w:r>
              <w:rPr>
                <w:rFonts w:hint="eastAsia" w:ascii="宋体" w:hAnsi="宋体" w:eastAsia="宋体" w:cs="宋体"/>
                <w:b/>
                <w:bCs/>
                <w:sz w:val="24"/>
                <w:szCs w:val="24"/>
                <w:highlight w:val="yellow"/>
                <w:lang w:eastAsia="zh-CN"/>
              </w:rPr>
              <w:t>（</w:t>
            </w:r>
            <w:r>
              <w:rPr>
                <w:rFonts w:hint="eastAsia" w:ascii="宋体" w:hAnsi="宋体" w:eastAsia="宋体" w:cs="宋体"/>
                <w:b/>
                <w:bCs/>
                <w:sz w:val="24"/>
                <w:szCs w:val="24"/>
                <w:highlight w:val="yellow"/>
                <w:lang w:val="en-US" w:eastAsia="zh-CN"/>
              </w:rPr>
              <w:t>投标文件中需提供学历证书+学信网在线查验截图</w:t>
            </w:r>
            <w:r>
              <w:rPr>
                <w:rFonts w:hint="eastAsia" w:ascii="宋体" w:hAnsi="宋体" w:eastAsia="宋体" w:cs="宋体"/>
                <w:b/>
                <w:bCs/>
                <w:sz w:val="24"/>
                <w:szCs w:val="24"/>
                <w:highlight w:val="yellow"/>
                <w:lang w:eastAsia="zh-CN"/>
              </w:rPr>
              <w:t>）</w:t>
            </w:r>
          </w:p>
        </w:tc>
      </w:tr>
      <w:tr w14:paraId="1E950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noWrap w:val="0"/>
            <w:vAlign w:val="center"/>
          </w:tcPr>
          <w:p w14:paraId="4123F51E">
            <w:pPr>
              <w:pStyle w:val="17"/>
              <w:spacing w:line="240" w:lineRule="auto"/>
              <w:ind w:left="0" w:leftChars="0"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rPr>
              <w:t>工程部</w:t>
            </w:r>
          </w:p>
        </w:tc>
        <w:tc>
          <w:tcPr>
            <w:tcW w:w="426" w:type="pct"/>
            <w:noWrap w:val="0"/>
            <w:vAlign w:val="center"/>
          </w:tcPr>
          <w:p w14:paraId="687AB45C">
            <w:pPr>
              <w:pStyle w:val="17"/>
              <w:spacing w:line="240" w:lineRule="auto"/>
              <w:ind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rPr>
              <w:t>工程维修员</w:t>
            </w:r>
            <w:r>
              <w:rPr>
                <w:rFonts w:hint="eastAsia" w:ascii="宋体" w:hAnsi="宋体" w:eastAsia="宋体" w:cs="宋体"/>
                <w:kern w:val="2"/>
                <w:sz w:val="24"/>
                <w:szCs w:val="24"/>
                <w:lang w:eastAsia="zh-CN"/>
              </w:rPr>
              <w:t>（</w:t>
            </w:r>
            <w:r>
              <w:rPr>
                <w:rFonts w:hint="eastAsia" w:ascii="宋体" w:hAnsi="宋体" w:eastAsia="宋体" w:cs="宋体"/>
                <w:kern w:val="2"/>
                <w:sz w:val="24"/>
                <w:szCs w:val="24"/>
                <w:lang w:val="en-US" w:eastAsia="zh-CN"/>
              </w:rPr>
              <w:t>专职专岗，不兼任其他岗位</w:t>
            </w:r>
            <w:r>
              <w:rPr>
                <w:rFonts w:hint="eastAsia" w:ascii="宋体" w:hAnsi="宋体" w:eastAsia="宋体" w:cs="宋体"/>
                <w:kern w:val="2"/>
                <w:sz w:val="24"/>
                <w:szCs w:val="24"/>
                <w:lang w:eastAsia="zh-CN"/>
              </w:rPr>
              <w:t>）</w:t>
            </w:r>
          </w:p>
        </w:tc>
        <w:tc>
          <w:tcPr>
            <w:tcW w:w="2227" w:type="pct"/>
            <w:noWrap w:val="0"/>
            <w:vAlign w:val="center"/>
          </w:tcPr>
          <w:p w14:paraId="37F1B789">
            <w:pPr>
              <w:pStyle w:val="17"/>
              <w:spacing w:line="240" w:lineRule="auto"/>
              <w:ind w:firstLine="0" w:firstLineChars="0"/>
              <w:jc w:val="both"/>
              <w:rPr>
                <w:rFonts w:hint="eastAsia" w:ascii="宋体" w:hAnsi="宋体" w:eastAsia="宋体" w:cs="宋体"/>
                <w:sz w:val="24"/>
                <w:szCs w:val="24"/>
              </w:rPr>
            </w:pPr>
            <w:r>
              <w:rPr>
                <w:rFonts w:hint="eastAsia" w:ascii="宋体" w:hAnsi="宋体" w:eastAsia="宋体" w:cs="宋体"/>
                <w:sz w:val="24"/>
                <w:szCs w:val="24"/>
              </w:rPr>
              <w:t>男，</w:t>
            </w:r>
            <w:r>
              <w:rPr>
                <w:rFonts w:hint="eastAsia" w:ascii="宋体" w:hAnsi="宋体" w:eastAsia="宋体" w:cs="宋体"/>
                <w:sz w:val="24"/>
                <w:szCs w:val="24"/>
                <w:lang w:eastAsia="zh-CN"/>
              </w:rPr>
              <w:t>年龄</w:t>
            </w:r>
            <w:r>
              <w:rPr>
                <w:rFonts w:hint="eastAsia" w:ascii="宋体" w:hAnsi="宋体" w:eastAsia="宋体" w:cs="宋体"/>
                <w:sz w:val="24"/>
                <w:szCs w:val="24"/>
              </w:rPr>
              <w:t>55 周岁以下，身体健康，能够胜任楼宇日常设备巡检、维修保养及现场作业工作，服从项目统一管理，履职尽责、文明作业。</w:t>
            </w:r>
          </w:p>
          <w:p w14:paraId="6B8426EE">
            <w:pPr>
              <w:pStyle w:val="17"/>
              <w:spacing w:line="240" w:lineRule="auto"/>
              <w:ind w:firstLine="0" w:firstLineChars="0"/>
              <w:jc w:val="both"/>
              <w:rPr>
                <w:rFonts w:hint="eastAsia" w:ascii="宋体" w:hAnsi="宋体" w:eastAsia="宋体" w:cs="宋体"/>
                <w:sz w:val="24"/>
                <w:szCs w:val="24"/>
              </w:rPr>
            </w:pPr>
            <w:r>
              <w:rPr>
                <w:rFonts w:hint="eastAsia" w:ascii="宋体" w:hAnsi="宋体" w:eastAsia="宋体" w:cs="宋体"/>
                <w:sz w:val="24"/>
                <w:szCs w:val="24"/>
              </w:rPr>
              <w:t>岗位职责及工作要求</w:t>
            </w:r>
          </w:p>
          <w:p w14:paraId="78ADECCE">
            <w:pPr>
              <w:pStyle w:val="17"/>
              <w:numPr>
                <w:ilvl w:val="0"/>
                <w:numId w:val="1"/>
              </w:numPr>
              <w:spacing w:line="240" w:lineRule="auto"/>
              <w:ind w:firstLine="0" w:firstLineChars="0"/>
              <w:jc w:val="both"/>
              <w:rPr>
                <w:rFonts w:hint="eastAsia" w:ascii="宋体" w:hAnsi="宋体" w:eastAsia="宋体" w:cs="宋体"/>
                <w:sz w:val="24"/>
                <w:szCs w:val="24"/>
              </w:rPr>
            </w:pPr>
            <w:r>
              <w:rPr>
                <w:rFonts w:hint="eastAsia" w:ascii="宋体" w:hAnsi="宋体" w:eastAsia="宋体" w:cs="宋体"/>
                <w:sz w:val="24"/>
                <w:szCs w:val="24"/>
              </w:rPr>
              <w:t>负责项目楼宇公共区域给排水、强弱电、照明、管线、公共配套设施的日常巡查、保养、隐患排查工作，对发现的设备故障、安全隐患及时记录、上报并处置，保障各类设施设备正常、稳定运行。</w:t>
            </w:r>
          </w:p>
          <w:p w14:paraId="28E1C8E4">
            <w:pPr>
              <w:pStyle w:val="17"/>
              <w:numPr>
                <w:ilvl w:val="0"/>
                <w:numId w:val="1"/>
              </w:numPr>
              <w:spacing w:line="240" w:lineRule="auto"/>
              <w:ind w:firstLine="0" w:firstLineChars="0"/>
              <w:jc w:val="both"/>
              <w:rPr>
                <w:rFonts w:hint="eastAsia" w:ascii="宋体" w:hAnsi="宋体" w:eastAsia="宋体" w:cs="宋体"/>
                <w:sz w:val="24"/>
                <w:szCs w:val="24"/>
              </w:rPr>
            </w:pPr>
            <w:r>
              <w:rPr>
                <w:rFonts w:hint="eastAsia" w:ascii="宋体" w:hAnsi="宋体" w:eastAsia="宋体" w:cs="宋体"/>
                <w:sz w:val="24"/>
                <w:szCs w:val="24"/>
              </w:rPr>
              <w:t>负责楼宇日常零星维修作业，能够独立完成基础水电维修，可根据项目需求开展简单瓦工、油漆工等基础性综合维修作业，及时处置各类报修问题，做到维修及时、处置规范、修复到位。</w:t>
            </w:r>
          </w:p>
          <w:p w14:paraId="62CB7031">
            <w:pPr>
              <w:pStyle w:val="17"/>
              <w:numPr>
                <w:ilvl w:val="0"/>
                <w:numId w:val="1"/>
              </w:numPr>
              <w:spacing w:line="240" w:lineRule="auto"/>
              <w:ind w:firstLine="0" w:firstLineChars="0"/>
              <w:jc w:val="both"/>
              <w:rPr>
                <w:rFonts w:hint="eastAsia" w:ascii="宋体" w:hAnsi="宋体" w:eastAsia="宋体" w:cs="宋体"/>
                <w:sz w:val="24"/>
                <w:szCs w:val="24"/>
              </w:rPr>
            </w:pPr>
            <w:r>
              <w:rPr>
                <w:rFonts w:hint="eastAsia" w:ascii="宋体" w:hAnsi="宋体" w:eastAsia="宋体" w:cs="宋体"/>
                <w:sz w:val="24"/>
                <w:szCs w:val="24"/>
              </w:rPr>
              <w:t>严格遵守安全生产操作规程，规范穿戴劳保用品，杜绝违规作业、野蛮施工；杜绝作业安全隐患，保障施工区域安全有序。</w:t>
            </w:r>
          </w:p>
          <w:p w14:paraId="70E668DB">
            <w:pPr>
              <w:pStyle w:val="17"/>
              <w:numPr>
                <w:ilvl w:val="0"/>
                <w:numId w:val="1"/>
              </w:numPr>
              <w:spacing w:line="240" w:lineRule="auto"/>
              <w:ind w:firstLine="0" w:firstLineChars="0"/>
              <w:jc w:val="both"/>
              <w:rPr>
                <w:rFonts w:hint="eastAsia" w:ascii="宋体" w:hAnsi="宋体" w:eastAsia="宋体" w:cs="宋体"/>
                <w:sz w:val="24"/>
                <w:szCs w:val="24"/>
              </w:rPr>
            </w:pPr>
            <w:r>
              <w:rPr>
                <w:rFonts w:hint="eastAsia" w:ascii="宋体" w:hAnsi="宋体" w:eastAsia="宋体" w:cs="宋体"/>
                <w:sz w:val="24"/>
                <w:szCs w:val="24"/>
              </w:rPr>
              <w:t>如实做好每日巡检、维修、保养、隐患整改记录，完善设备运维台账，做到可查、可溯、可复核。</w:t>
            </w:r>
          </w:p>
          <w:p w14:paraId="6287BA91">
            <w:pPr>
              <w:pStyle w:val="17"/>
              <w:numPr>
                <w:ilvl w:val="0"/>
                <w:numId w:val="1"/>
              </w:numPr>
              <w:spacing w:line="240" w:lineRule="auto"/>
              <w:ind w:firstLine="0" w:firstLineChars="0"/>
              <w:jc w:val="both"/>
              <w:rPr>
                <w:rFonts w:hint="eastAsia" w:ascii="宋体" w:hAnsi="宋体" w:eastAsia="宋体" w:cs="宋体"/>
                <w:sz w:val="24"/>
                <w:szCs w:val="24"/>
              </w:rPr>
            </w:pPr>
            <w:r>
              <w:rPr>
                <w:rFonts w:hint="eastAsia" w:ascii="宋体" w:hAnsi="宋体" w:eastAsia="宋体" w:cs="宋体"/>
                <w:sz w:val="24"/>
                <w:szCs w:val="24"/>
              </w:rPr>
              <w:t>针对巡检、检查、采购人督查发现的设施设备问题，第一时间落实整改，跟踪闭环</w:t>
            </w:r>
            <w:r>
              <w:rPr>
                <w:rFonts w:hint="eastAsia" w:ascii="宋体" w:hAnsi="宋体" w:eastAsia="宋体" w:cs="宋体"/>
                <w:sz w:val="24"/>
                <w:szCs w:val="24"/>
                <w:lang w:eastAsia="zh-CN"/>
              </w:rPr>
              <w:t>。</w:t>
            </w:r>
            <w:r>
              <w:rPr>
                <w:rFonts w:hint="eastAsia" w:ascii="宋体" w:hAnsi="宋体" w:eastAsia="宋体" w:cs="宋体"/>
                <w:sz w:val="24"/>
                <w:szCs w:val="24"/>
              </w:rPr>
              <w:t>保持楼宇水电、公共设施完好可用，无长期遗留故障、安全隐患。</w:t>
            </w:r>
          </w:p>
          <w:p w14:paraId="0F652554">
            <w:pPr>
              <w:pStyle w:val="17"/>
              <w:numPr>
                <w:ilvl w:val="0"/>
                <w:numId w:val="1"/>
              </w:numPr>
              <w:spacing w:line="240" w:lineRule="auto"/>
              <w:ind w:firstLine="0" w:firstLineChars="0"/>
              <w:jc w:val="both"/>
              <w:rPr>
                <w:rFonts w:hint="eastAsia" w:ascii="宋体" w:hAnsi="宋体" w:eastAsia="宋体" w:cs="宋体"/>
                <w:sz w:val="24"/>
                <w:szCs w:val="24"/>
              </w:rPr>
            </w:pPr>
            <w:r>
              <w:rPr>
                <w:rFonts w:hint="eastAsia" w:ascii="宋体" w:hAnsi="宋体" w:eastAsia="宋体" w:cs="宋体"/>
                <w:sz w:val="24"/>
                <w:szCs w:val="24"/>
              </w:rPr>
              <w:t>实行8小时在岗工作制，在岗期间坚守岗位、履职到位</w:t>
            </w:r>
            <w:r>
              <w:rPr>
                <w:rFonts w:hint="eastAsia" w:ascii="宋体" w:hAnsi="宋体" w:eastAsia="宋体" w:cs="宋体"/>
                <w:sz w:val="24"/>
                <w:szCs w:val="24"/>
                <w:lang w:eastAsia="zh-CN"/>
              </w:rPr>
              <w:t>。</w:t>
            </w:r>
          </w:p>
          <w:p w14:paraId="193006D1">
            <w:pPr>
              <w:pStyle w:val="17"/>
              <w:numPr>
                <w:ilvl w:val="0"/>
                <w:numId w:val="1"/>
              </w:numPr>
              <w:spacing w:line="240" w:lineRule="auto"/>
              <w:ind w:firstLine="0" w:firstLineChars="0"/>
              <w:jc w:val="both"/>
              <w:rPr>
                <w:rFonts w:hint="eastAsia" w:ascii="宋体" w:hAnsi="宋体" w:eastAsia="宋体" w:cs="宋体"/>
                <w:sz w:val="24"/>
                <w:szCs w:val="24"/>
              </w:rPr>
            </w:pPr>
            <w:r>
              <w:rPr>
                <w:rFonts w:hint="eastAsia" w:ascii="宋体" w:hAnsi="宋体" w:eastAsia="宋体" w:cs="宋体"/>
                <w:sz w:val="24"/>
                <w:szCs w:val="24"/>
              </w:rPr>
              <w:t>完成上级交办的其他工程维修及物业保障相关临时性工作。</w:t>
            </w:r>
          </w:p>
        </w:tc>
        <w:tc>
          <w:tcPr>
            <w:tcW w:w="759" w:type="pct"/>
            <w:noWrap w:val="0"/>
            <w:vAlign w:val="center"/>
          </w:tcPr>
          <w:p w14:paraId="3628960E">
            <w:pPr>
              <w:pStyle w:val="17"/>
              <w:spacing w:line="240" w:lineRule="auto"/>
              <w:ind w:left="0" w:leftChars="0" w:firstLine="0" w:firstLineChars="0"/>
              <w:jc w:val="both"/>
              <w:rPr>
                <w:rFonts w:hint="eastAsia" w:ascii="宋体" w:hAnsi="宋体" w:eastAsia="宋体" w:cs="宋体"/>
                <w:kern w:val="2"/>
                <w:sz w:val="24"/>
                <w:szCs w:val="24"/>
              </w:rPr>
            </w:pPr>
            <w:r>
              <w:rPr>
                <w:rFonts w:hint="eastAsia" w:ascii="宋体" w:hAnsi="宋体" w:eastAsia="宋体" w:cs="宋体"/>
                <w:kern w:val="2"/>
                <w:sz w:val="24"/>
                <w:szCs w:val="24"/>
              </w:rPr>
              <w:t>房屋和设施设备运行管理及维修维护</w:t>
            </w:r>
          </w:p>
        </w:tc>
        <w:tc>
          <w:tcPr>
            <w:tcW w:w="576" w:type="pct"/>
            <w:noWrap w:val="0"/>
            <w:vAlign w:val="center"/>
          </w:tcPr>
          <w:p w14:paraId="0535339D">
            <w:pPr>
              <w:pStyle w:val="17"/>
              <w:spacing w:line="240" w:lineRule="auto"/>
              <w:ind w:left="0" w:leftChars="0"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rPr>
              <w:t>2</w:t>
            </w:r>
          </w:p>
        </w:tc>
        <w:tc>
          <w:tcPr>
            <w:tcW w:w="576" w:type="pct"/>
            <w:noWrap w:val="0"/>
            <w:vAlign w:val="center"/>
          </w:tcPr>
          <w:p w14:paraId="5117D402">
            <w:pPr>
              <w:pStyle w:val="17"/>
              <w:spacing w:line="240" w:lineRule="auto"/>
              <w:ind w:left="0" w:leftChars="0" w:firstLine="0" w:firstLineChars="0"/>
              <w:jc w:val="center"/>
              <w:rPr>
                <w:rFonts w:hint="eastAsia" w:ascii="宋体" w:hAnsi="宋体" w:eastAsia="宋体" w:cs="宋体"/>
                <w:kern w:val="2"/>
                <w:sz w:val="24"/>
                <w:szCs w:val="24"/>
              </w:rPr>
            </w:pPr>
            <w:r>
              <w:rPr>
                <w:rFonts w:hint="eastAsia" w:ascii="宋体" w:hAnsi="宋体" w:eastAsia="宋体" w:cs="宋体"/>
                <w:b w:val="0"/>
                <w:bCs w:val="0"/>
                <w:sz w:val="24"/>
                <w:szCs w:val="24"/>
                <w:highlight w:val="none"/>
                <w:lang w:val="en-US" w:eastAsia="zh-CN"/>
              </w:rPr>
              <w:t>需具备建筑机电、给排水、电气工程等相关专业大专及以上学历</w:t>
            </w:r>
            <w:r>
              <w:rPr>
                <w:rFonts w:hint="eastAsia" w:ascii="宋体" w:hAnsi="宋体" w:eastAsia="宋体" w:cs="宋体"/>
                <w:b/>
                <w:bCs/>
                <w:sz w:val="24"/>
                <w:szCs w:val="24"/>
                <w:highlight w:val="yellow"/>
                <w:lang w:eastAsia="zh-CN"/>
              </w:rPr>
              <w:t>（</w:t>
            </w:r>
            <w:r>
              <w:rPr>
                <w:rFonts w:hint="eastAsia" w:ascii="宋体" w:hAnsi="宋体" w:eastAsia="宋体" w:cs="宋体"/>
                <w:b/>
                <w:bCs/>
                <w:sz w:val="24"/>
                <w:szCs w:val="24"/>
                <w:highlight w:val="yellow"/>
                <w:lang w:val="en-US" w:eastAsia="zh-CN"/>
              </w:rPr>
              <w:t>投标文件中需提供学历证书+学信网在线查验截图</w:t>
            </w:r>
            <w:r>
              <w:rPr>
                <w:rFonts w:hint="eastAsia" w:ascii="宋体" w:hAnsi="宋体" w:eastAsia="宋体" w:cs="宋体"/>
                <w:b/>
                <w:bCs/>
                <w:sz w:val="24"/>
                <w:szCs w:val="24"/>
                <w:highlight w:val="yellow"/>
                <w:lang w:eastAsia="zh-CN"/>
              </w:rPr>
              <w:t>）</w:t>
            </w:r>
          </w:p>
        </w:tc>
      </w:tr>
      <w:tr w14:paraId="35142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restart"/>
            <w:noWrap w:val="0"/>
            <w:vAlign w:val="center"/>
          </w:tcPr>
          <w:p w14:paraId="67B81997">
            <w:pPr>
              <w:pStyle w:val="17"/>
              <w:spacing w:line="240" w:lineRule="auto"/>
              <w:ind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rPr>
              <w:t>秩序维护部</w:t>
            </w:r>
            <w:r>
              <w:rPr>
                <w:rFonts w:hint="eastAsia" w:ascii="宋体" w:hAnsi="宋体" w:eastAsia="宋体" w:cs="宋体"/>
                <w:kern w:val="2"/>
                <w:sz w:val="24"/>
                <w:szCs w:val="24"/>
                <w:lang w:eastAsia="zh-CN"/>
              </w:rPr>
              <w:t>（</w:t>
            </w:r>
            <w:r>
              <w:rPr>
                <w:rFonts w:hint="eastAsia" w:ascii="宋体" w:hAnsi="宋体" w:eastAsia="宋体" w:cs="宋体"/>
                <w:kern w:val="2"/>
                <w:sz w:val="24"/>
                <w:szCs w:val="24"/>
                <w:lang w:val="en-US" w:eastAsia="zh-CN"/>
              </w:rPr>
              <w:t>专职专岗，不兼任其他岗位</w:t>
            </w:r>
            <w:r>
              <w:rPr>
                <w:rFonts w:hint="eastAsia" w:ascii="宋体" w:hAnsi="宋体" w:eastAsia="宋体" w:cs="宋体"/>
                <w:kern w:val="2"/>
                <w:sz w:val="24"/>
                <w:szCs w:val="24"/>
                <w:lang w:eastAsia="zh-CN"/>
              </w:rPr>
              <w:t>）</w:t>
            </w:r>
          </w:p>
        </w:tc>
        <w:tc>
          <w:tcPr>
            <w:tcW w:w="426" w:type="pct"/>
            <w:noWrap w:val="0"/>
            <w:vAlign w:val="center"/>
          </w:tcPr>
          <w:p w14:paraId="63522225">
            <w:pPr>
              <w:pStyle w:val="17"/>
              <w:spacing w:line="240" w:lineRule="auto"/>
              <w:ind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rPr>
              <w:t>秩序</w:t>
            </w:r>
          </w:p>
          <w:p w14:paraId="36EEC351">
            <w:pPr>
              <w:pStyle w:val="17"/>
              <w:spacing w:line="240" w:lineRule="auto"/>
              <w:ind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rPr>
              <w:t>班长</w:t>
            </w:r>
          </w:p>
        </w:tc>
        <w:tc>
          <w:tcPr>
            <w:tcW w:w="2227" w:type="pct"/>
            <w:vMerge w:val="restart"/>
            <w:noWrap w:val="0"/>
            <w:vAlign w:val="center"/>
          </w:tcPr>
          <w:p w14:paraId="397F93E2">
            <w:pPr>
              <w:pStyle w:val="17"/>
              <w:spacing w:line="24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身体健康，相貌端正。口齿清楚，会说普通话，举止文明礼貌。</w:t>
            </w:r>
          </w:p>
          <w:p w14:paraId="0AA2CD83">
            <w:pPr>
              <w:pStyle w:val="17"/>
              <w:spacing w:line="240" w:lineRule="auto"/>
              <w:ind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rPr>
              <w:t>①保安人员：</w:t>
            </w:r>
          </w:p>
          <w:p w14:paraId="4721A79A">
            <w:pPr>
              <w:pStyle w:val="17"/>
              <w:spacing w:line="240" w:lineRule="auto"/>
              <w:ind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rPr>
              <w:t>A、政审合格，品德良好，工作态度端正，责任心强，无不良行为记录。</w:t>
            </w:r>
          </w:p>
          <w:p w14:paraId="2DBD91C5">
            <w:pPr>
              <w:pStyle w:val="17"/>
              <w:spacing w:line="240" w:lineRule="auto"/>
              <w:ind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rPr>
              <w:t>B、五官端正，仪态大方，符合环境和角色要求，统一着装。</w:t>
            </w:r>
          </w:p>
          <w:p w14:paraId="5A4515AA">
            <w:pPr>
              <w:pStyle w:val="17"/>
              <w:spacing w:line="240" w:lineRule="auto"/>
              <w:ind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rPr>
              <w:t>C、身体健康，精力充沛，形体符合工作要求，无纹身。年龄不超过50周岁。</w:t>
            </w:r>
          </w:p>
          <w:p w14:paraId="0684A054">
            <w:pPr>
              <w:pStyle w:val="17"/>
              <w:spacing w:line="240" w:lineRule="auto"/>
              <w:ind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rPr>
              <w:t>D、接受过专业训练，业务熟练，机智勇敢。</w:t>
            </w:r>
          </w:p>
          <w:p w14:paraId="214203D0">
            <w:pPr>
              <w:pStyle w:val="17"/>
              <w:spacing w:line="240" w:lineRule="auto"/>
              <w:ind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rPr>
              <w:t>②监控管理人员：</w:t>
            </w:r>
          </w:p>
          <w:p w14:paraId="50903187">
            <w:pPr>
              <w:pStyle w:val="17"/>
              <w:spacing w:line="240" w:lineRule="auto"/>
              <w:ind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rPr>
              <w:t>A、监控值班人员应熟悉计算机基本操作，人员须相对稳定。</w:t>
            </w:r>
            <w:r>
              <w:rPr>
                <w:rFonts w:hint="eastAsia" w:ascii="宋体" w:hAnsi="宋体" w:eastAsia="宋体" w:cs="宋体"/>
                <w:sz w:val="24"/>
                <w:szCs w:val="24"/>
              </w:rPr>
              <w:t>消控室值班员24小时值班制，</w:t>
            </w:r>
            <w:r>
              <w:rPr>
                <w:rFonts w:hint="eastAsia" w:ascii="宋体" w:hAnsi="宋体" w:eastAsia="宋体" w:cs="宋体"/>
                <w:b w:val="0"/>
                <w:bCs w:val="0"/>
                <w:sz w:val="24"/>
                <w:szCs w:val="24"/>
                <w:highlight w:val="none"/>
              </w:rPr>
              <w:t>具有建（构）筑物消防员证或消防设施操作员证。</w:t>
            </w:r>
          </w:p>
          <w:p w14:paraId="0284B9DF">
            <w:pPr>
              <w:pStyle w:val="17"/>
              <w:spacing w:line="240" w:lineRule="auto"/>
              <w:ind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rPr>
              <w:t>B、政审合格，品德良好，工作态度端正，责任心强，无不良行为记录。</w:t>
            </w:r>
          </w:p>
          <w:p w14:paraId="2E33F8A4">
            <w:pPr>
              <w:pStyle w:val="17"/>
              <w:spacing w:line="240" w:lineRule="auto"/>
              <w:ind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rPr>
              <w:t>C、五官端正，口齿清晰，会说普通话，仪容仪表落落大方，统一着装。</w:t>
            </w:r>
          </w:p>
          <w:p w14:paraId="32A27FCC">
            <w:pPr>
              <w:pStyle w:val="17"/>
              <w:spacing w:line="240" w:lineRule="auto"/>
              <w:ind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rPr>
              <w:t>D、身体健康，精力充沛，形体符合工作要求，无纹身。男女不限，年龄在50周岁及以下。</w:t>
            </w:r>
          </w:p>
          <w:p w14:paraId="226D754A">
            <w:pPr>
              <w:pStyle w:val="17"/>
              <w:spacing w:line="240" w:lineRule="auto"/>
              <w:ind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rPr>
              <w:t>③车辆秩序维护人员：</w:t>
            </w:r>
          </w:p>
          <w:p w14:paraId="4D302429">
            <w:pPr>
              <w:pStyle w:val="17"/>
              <w:spacing w:line="240" w:lineRule="auto"/>
              <w:ind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rPr>
              <w:t>A、政审合格，品德良好，工作态度端正，责任心强，无不良行为记录。</w:t>
            </w:r>
          </w:p>
          <w:p w14:paraId="69E4BE2D">
            <w:pPr>
              <w:pStyle w:val="17"/>
              <w:spacing w:line="240" w:lineRule="auto"/>
              <w:ind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rPr>
              <w:t>B、身体健康，精力充沛，五官端正，无纹身，仪态大方，统一着装，年龄不超过45周岁。</w:t>
            </w:r>
          </w:p>
          <w:p w14:paraId="180AFE36">
            <w:pPr>
              <w:pStyle w:val="17"/>
              <w:spacing w:line="240" w:lineRule="auto"/>
              <w:ind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rPr>
              <w:t>C、具备指挥车辆疏导停放工作经验。</w:t>
            </w:r>
          </w:p>
        </w:tc>
        <w:tc>
          <w:tcPr>
            <w:tcW w:w="759" w:type="pct"/>
            <w:noWrap w:val="0"/>
            <w:vAlign w:val="center"/>
          </w:tcPr>
          <w:p w14:paraId="28B1016D">
            <w:pPr>
              <w:pStyle w:val="17"/>
              <w:spacing w:line="240" w:lineRule="auto"/>
              <w:ind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rPr>
              <w:t>楼宇巡逻、秩序员管理、培训及排班</w:t>
            </w:r>
          </w:p>
        </w:tc>
        <w:tc>
          <w:tcPr>
            <w:tcW w:w="576" w:type="pct"/>
            <w:noWrap w:val="0"/>
            <w:vAlign w:val="center"/>
          </w:tcPr>
          <w:p w14:paraId="590229DA">
            <w:pPr>
              <w:pStyle w:val="17"/>
              <w:spacing w:line="240" w:lineRule="auto"/>
              <w:ind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rPr>
              <w:t>1</w:t>
            </w:r>
          </w:p>
        </w:tc>
        <w:tc>
          <w:tcPr>
            <w:tcW w:w="576" w:type="pct"/>
            <w:vMerge w:val="restart"/>
            <w:noWrap w:val="0"/>
            <w:vAlign w:val="center"/>
          </w:tcPr>
          <w:p w14:paraId="643C9796">
            <w:pPr>
              <w:pStyle w:val="17"/>
              <w:spacing w:line="240" w:lineRule="auto"/>
              <w:ind w:firstLine="0" w:firstLineChars="0"/>
              <w:jc w:val="center"/>
              <w:rPr>
                <w:rFonts w:hint="eastAsia" w:ascii="宋体" w:hAnsi="宋体" w:eastAsia="宋体" w:cs="宋体"/>
                <w:kern w:val="2"/>
                <w:sz w:val="24"/>
                <w:szCs w:val="24"/>
                <w:lang w:eastAsia="zh-CN"/>
              </w:rPr>
            </w:pPr>
            <w:r>
              <w:rPr>
                <w:rFonts w:hint="eastAsia" w:ascii="宋体" w:hAnsi="宋体" w:eastAsia="宋体" w:cs="宋体"/>
                <w:sz w:val="24"/>
                <w:szCs w:val="24"/>
              </w:rPr>
              <w:t>初中以上学历</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投标文件中无需提供证明材料</w:t>
            </w:r>
            <w:r>
              <w:rPr>
                <w:rFonts w:hint="eastAsia" w:ascii="宋体" w:hAnsi="宋体" w:eastAsia="宋体" w:cs="宋体"/>
                <w:sz w:val="24"/>
                <w:szCs w:val="24"/>
                <w:lang w:eastAsia="zh-CN"/>
              </w:rPr>
              <w:t>）</w:t>
            </w:r>
          </w:p>
        </w:tc>
      </w:tr>
      <w:tr w14:paraId="08AF4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noWrap w:val="0"/>
            <w:vAlign w:val="center"/>
          </w:tcPr>
          <w:p w14:paraId="1176419D">
            <w:pPr>
              <w:pStyle w:val="17"/>
              <w:spacing w:line="240" w:lineRule="auto"/>
              <w:ind w:firstLine="0" w:firstLineChars="0"/>
              <w:jc w:val="center"/>
              <w:rPr>
                <w:rFonts w:hint="eastAsia" w:ascii="宋体" w:hAnsi="宋体" w:eastAsia="宋体" w:cs="宋体"/>
                <w:kern w:val="2"/>
                <w:sz w:val="24"/>
                <w:szCs w:val="24"/>
              </w:rPr>
            </w:pPr>
          </w:p>
        </w:tc>
        <w:tc>
          <w:tcPr>
            <w:tcW w:w="426" w:type="pct"/>
            <w:noWrap w:val="0"/>
            <w:vAlign w:val="center"/>
          </w:tcPr>
          <w:p w14:paraId="3555E66F">
            <w:pPr>
              <w:pStyle w:val="17"/>
              <w:spacing w:line="240" w:lineRule="auto"/>
              <w:ind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rPr>
              <w:t>消控室</w:t>
            </w:r>
          </w:p>
        </w:tc>
        <w:tc>
          <w:tcPr>
            <w:tcW w:w="2227" w:type="pct"/>
            <w:vMerge w:val="continue"/>
            <w:noWrap w:val="0"/>
            <w:vAlign w:val="center"/>
          </w:tcPr>
          <w:p w14:paraId="5704D558">
            <w:pPr>
              <w:pStyle w:val="17"/>
              <w:spacing w:line="240" w:lineRule="auto"/>
              <w:ind w:firstLine="420"/>
              <w:jc w:val="center"/>
              <w:rPr>
                <w:rFonts w:hint="eastAsia" w:ascii="宋体" w:hAnsi="宋体" w:eastAsia="宋体" w:cs="宋体"/>
                <w:kern w:val="2"/>
                <w:sz w:val="24"/>
                <w:szCs w:val="24"/>
              </w:rPr>
            </w:pPr>
          </w:p>
        </w:tc>
        <w:tc>
          <w:tcPr>
            <w:tcW w:w="759" w:type="pct"/>
            <w:noWrap w:val="0"/>
            <w:vAlign w:val="center"/>
          </w:tcPr>
          <w:p w14:paraId="1B764147">
            <w:pPr>
              <w:pStyle w:val="17"/>
              <w:spacing w:line="240" w:lineRule="auto"/>
              <w:ind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rPr>
              <w:t>监控室日常操作工作</w:t>
            </w:r>
          </w:p>
        </w:tc>
        <w:tc>
          <w:tcPr>
            <w:tcW w:w="576" w:type="pct"/>
            <w:noWrap w:val="0"/>
            <w:vAlign w:val="center"/>
          </w:tcPr>
          <w:p w14:paraId="180043D7">
            <w:pPr>
              <w:pStyle w:val="17"/>
              <w:spacing w:line="240" w:lineRule="auto"/>
              <w:ind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rPr>
              <w:t>4</w:t>
            </w:r>
          </w:p>
        </w:tc>
        <w:tc>
          <w:tcPr>
            <w:tcW w:w="576" w:type="pct"/>
            <w:vMerge w:val="continue"/>
            <w:noWrap w:val="0"/>
            <w:vAlign w:val="center"/>
          </w:tcPr>
          <w:p w14:paraId="1ACF8663">
            <w:pPr>
              <w:pStyle w:val="17"/>
              <w:spacing w:line="240" w:lineRule="auto"/>
              <w:ind w:firstLine="0" w:firstLineChars="0"/>
              <w:jc w:val="center"/>
              <w:rPr>
                <w:rFonts w:hint="eastAsia" w:ascii="宋体" w:hAnsi="宋体" w:eastAsia="宋体" w:cs="宋体"/>
                <w:kern w:val="2"/>
                <w:sz w:val="24"/>
                <w:szCs w:val="24"/>
              </w:rPr>
            </w:pPr>
          </w:p>
        </w:tc>
      </w:tr>
      <w:tr w14:paraId="130D0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noWrap w:val="0"/>
            <w:vAlign w:val="center"/>
          </w:tcPr>
          <w:p w14:paraId="482B5A8E">
            <w:pPr>
              <w:pStyle w:val="17"/>
              <w:spacing w:line="240" w:lineRule="auto"/>
              <w:ind w:firstLine="0" w:firstLineChars="0"/>
              <w:jc w:val="center"/>
              <w:rPr>
                <w:rFonts w:hint="eastAsia" w:ascii="宋体" w:hAnsi="宋体" w:eastAsia="宋体" w:cs="宋体"/>
                <w:kern w:val="2"/>
                <w:sz w:val="24"/>
                <w:szCs w:val="24"/>
              </w:rPr>
            </w:pPr>
          </w:p>
        </w:tc>
        <w:tc>
          <w:tcPr>
            <w:tcW w:w="426" w:type="pct"/>
            <w:noWrap w:val="0"/>
            <w:vAlign w:val="center"/>
          </w:tcPr>
          <w:p w14:paraId="00595E17">
            <w:pPr>
              <w:pStyle w:val="17"/>
              <w:spacing w:line="240" w:lineRule="auto"/>
              <w:ind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rPr>
              <w:t>门岗</w:t>
            </w:r>
          </w:p>
          <w:p w14:paraId="145166C0">
            <w:pPr>
              <w:pStyle w:val="17"/>
              <w:spacing w:line="240" w:lineRule="auto"/>
              <w:ind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rPr>
              <w:t>保安</w:t>
            </w:r>
          </w:p>
        </w:tc>
        <w:tc>
          <w:tcPr>
            <w:tcW w:w="2227" w:type="pct"/>
            <w:vMerge w:val="continue"/>
            <w:noWrap w:val="0"/>
            <w:vAlign w:val="center"/>
          </w:tcPr>
          <w:p w14:paraId="7DB07BB0">
            <w:pPr>
              <w:pStyle w:val="17"/>
              <w:spacing w:line="240" w:lineRule="auto"/>
              <w:ind w:firstLine="0" w:firstLineChars="0"/>
              <w:jc w:val="both"/>
              <w:rPr>
                <w:rFonts w:hint="eastAsia" w:ascii="宋体" w:hAnsi="宋体" w:eastAsia="宋体" w:cs="宋体"/>
                <w:kern w:val="2"/>
                <w:sz w:val="24"/>
                <w:szCs w:val="24"/>
              </w:rPr>
            </w:pPr>
          </w:p>
        </w:tc>
        <w:tc>
          <w:tcPr>
            <w:tcW w:w="759" w:type="pct"/>
            <w:noWrap w:val="0"/>
            <w:vAlign w:val="center"/>
          </w:tcPr>
          <w:p w14:paraId="5D59C1ED">
            <w:pPr>
              <w:pStyle w:val="17"/>
              <w:spacing w:line="240" w:lineRule="auto"/>
              <w:ind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rPr>
              <w:t>含门岗、大厅、楼层巡查、消控室等</w:t>
            </w:r>
          </w:p>
        </w:tc>
        <w:tc>
          <w:tcPr>
            <w:tcW w:w="576" w:type="pct"/>
            <w:noWrap w:val="0"/>
            <w:vAlign w:val="center"/>
          </w:tcPr>
          <w:p w14:paraId="7FCE2541">
            <w:pPr>
              <w:pStyle w:val="17"/>
              <w:spacing w:line="240" w:lineRule="auto"/>
              <w:ind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rPr>
              <w:t>12</w:t>
            </w:r>
          </w:p>
        </w:tc>
        <w:tc>
          <w:tcPr>
            <w:tcW w:w="576" w:type="pct"/>
            <w:vMerge w:val="continue"/>
            <w:noWrap w:val="0"/>
            <w:vAlign w:val="center"/>
          </w:tcPr>
          <w:p w14:paraId="110FC4E5">
            <w:pPr>
              <w:pStyle w:val="17"/>
              <w:spacing w:line="240" w:lineRule="auto"/>
              <w:ind w:firstLine="0" w:firstLineChars="0"/>
              <w:jc w:val="center"/>
              <w:rPr>
                <w:rFonts w:hint="eastAsia" w:ascii="宋体" w:hAnsi="宋体" w:eastAsia="宋体" w:cs="宋体"/>
                <w:kern w:val="2"/>
                <w:sz w:val="24"/>
                <w:szCs w:val="24"/>
              </w:rPr>
            </w:pPr>
          </w:p>
        </w:tc>
      </w:tr>
      <w:tr w14:paraId="5A585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noWrap w:val="0"/>
            <w:vAlign w:val="center"/>
          </w:tcPr>
          <w:p w14:paraId="21FF9EEA">
            <w:pPr>
              <w:pStyle w:val="17"/>
              <w:spacing w:line="240" w:lineRule="auto"/>
              <w:ind w:firstLine="0" w:firstLineChars="0"/>
              <w:jc w:val="center"/>
              <w:rPr>
                <w:rFonts w:hint="eastAsia" w:ascii="宋体" w:hAnsi="宋体" w:eastAsia="宋体" w:cs="宋体"/>
                <w:kern w:val="2"/>
                <w:sz w:val="24"/>
                <w:szCs w:val="24"/>
              </w:rPr>
            </w:pPr>
          </w:p>
        </w:tc>
        <w:tc>
          <w:tcPr>
            <w:tcW w:w="426" w:type="pct"/>
            <w:noWrap w:val="0"/>
            <w:vAlign w:val="center"/>
          </w:tcPr>
          <w:p w14:paraId="1FB9CC34">
            <w:pPr>
              <w:pStyle w:val="17"/>
              <w:spacing w:line="240" w:lineRule="auto"/>
              <w:ind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rPr>
              <w:t>车库</w:t>
            </w:r>
          </w:p>
          <w:p w14:paraId="289D493D">
            <w:pPr>
              <w:pStyle w:val="17"/>
              <w:spacing w:line="240" w:lineRule="auto"/>
              <w:ind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rPr>
              <w:t>保安</w:t>
            </w:r>
          </w:p>
        </w:tc>
        <w:tc>
          <w:tcPr>
            <w:tcW w:w="2227" w:type="pct"/>
            <w:vMerge w:val="continue"/>
            <w:noWrap w:val="0"/>
            <w:vAlign w:val="center"/>
          </w:tcPr>
          <w:p w14:paraId="14E62730">
            <w:pPr>
              <w:pStyle w:val="17"/>
              <w:spacing w:line="240" w:lineRule="auto"/>
              <w:ind w:firstLine="420"/>
              <w:jc w:val="center"/>
              <w:rPr>
                <w:rFonts w:hint="eastAsia" w:ascii="宋体" w:hAnsi="宋体" w:eastAsia="宋体" w:cs="宋体"/>
                <w:kern w:val="2"/>
                <w:sz w:val="24"/>
                <w:szCs w:val="24"/>
              </w:rPr>
            </w:pPr>
          </w:p>
        </w:tc>
        <w:tc>
          <w:tcPr>
            <w:tcW w:w="759" w:type="pct"/>
            <w:noWrap w:val="0"/>
            <w:vAlign w:val="center"/>
          </w:tcPr>
          <w:p w14:paraId="5F01389A">
            <w:pPr>
              <w:pStyle w:val="17"/>
              <w:spacing w:line="240" w:lineRule="auto"/>
              <w:ind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rPr>
              <w:t>地下车库交通秩序维护</w:t>
            </w:r>
          </w:p>
        </w:tc>
        <w:tc>
          <w:tcPr>
            <w:tcW w:w="576" w:type="pct"/>
            <w:noWrap w:val="0"/>
            <w:vAlign w:val="center"/>
          </w:tcPr>
          <w:p w14:paraId="21F6449D">
            <w:pPr>
              <w:pStyle w:val="17"/>
              <w:spacing w:line="240" w:lineRule="auto"/>
              <w:ind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rPr>
              <w:t>4</w:t>
            </w:r>
          </w:p>
        </w:tc>
        <w:tc>
          <w:tcPr>
            <w:tcW w:w="576" w:type="pct"/>
            <w:vMerge w:val="continue"/>
            <w:noWrap w:val="0"/>
            <w:vAlign w:val="center"/>
          </w:tcPr>
          <w:p w14:paraId="343457CC">
            <w:pPr>
              <w:pStyle w:val="17"/>
              <w:spacing w:line="240" w:lineRule="auto"/>
              <w:ind w:firstLine="0" w:firstLineChars="0"/>
              <w:jc w:val="center"/>
              <w:rPr>
                <w:rFonts w:hint="eastAsia" w:ascii="宋体" w:hAnsi="宋体" w:eastAsia="宋体" w:cs="宋体"/>
                <w:kern w:val="2"/>
                <w:sz w:val="24"/>
                <w:szCs w:val="24"/>
              </w:rPr>
            </w:pPr>
          </w:p>
        </w:tc>
      </w:tr>
      <w:tr w14:paraId="3A0E9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restart"/>
            <w:noWrap w:val="0"/>
            <w:vAlign w:val="center"/>
          </w:tcPr>
          <w:p w14:paraId="62451C26">
            <w:pPr>
              <w:pStyle w:val="17"/>
              <w:spacing w:line="240" w:lineRule="auto"/>
              <w:ind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rPr>
              <w:t>环境清洁部</w:t>
            </w:r>
            <w:r>
              <w:rPr>
                <w:rFonts w:hint="eastAsia" w:ascii="宋体" w:hAnsi="宋体" w:eastAsia="宋体" w:cs="宋体"/>
                <w:kern w:val="2"/>
                <w:sz w:val="24"/>
                <w:szCs w:val="24"/>
                <w:lang w:eastAsia="zh-CN"/>
              </w:rPr>
              <w:t>（</w:t>
            </w:r>
            <w:r>
              <w:rPr>
                <w:rFonts w:hint="eastAsia" w:ascii="宋体" w:hAnsi="宋体" w:eastAsia="宋体" w:cs="宋体"/>
                <w:kern w:val="2"/>
                <w:sz w:val="24"/>
                <w:szCs w:val="24"/>
                <w:lang w:val="en-US" w:eastAsia="zh-CN"/>
              </w:rPr>
              <w:t>专职专岗，不兼任其他岗位</w:t>
            </w:r>
            <w:r>
              <w:rPr>
                <w:rFonts w:hint="eastAsia" w:ascii="宋体" w:hAnsi="宋体" w:eastAsia="宋体" w:cs="宋体"/>
                <w:kern w:val="2"/>
                <w:sz w:val="24"/>
                <w:szCs w:val="24"/>
                <w:lang w:eastAsia="zh-CN"/>
              </w:rPr>
              <w:t>）</w:t>
            </w:r>
          </w:p>
        </w:tc>
        <w:tc>
          <w:tcPr>
            <w:tcW w:w="426" w:type="pct"/>
            <w:noWrap w:val="0"/>
            <w:vAlign w:val="center"/>
          </w:tcPr>
          <w:p w14:paraId="40B3748C">
            <w:pPr>
              <w:pStyle w:val="17"/>
              <w:spacing w:line="240" w:lineRule="auto"/>
              <w:ind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rPr>
              <w:t>卫生</w:t>
            </w:r>
          </w:p>
          <w:p w14:paraId="4BDC1344">
            <w:pPr>
              <w:pStyle w:val="17"/>
              <w:spacing w:line="240" w:lineRule="auto"/>
              <w:ind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rPr>
              <w:t>保洁</w:t>
            </w:r>
          </w:p>
        </w:tc>
        <w:tc>
          <w:tcPr>
            <w:tcW w:w="2227" w:type="pct"/>
            <w:vMerge w:val="restart"/>
            <w:noWrap w:val="0"/>
            <w:vAlign w:val="center"/>
          </w:tcPr>
          <w:p w14:paraId="3F4E80BE">
            <w:pPr>
              <w:pStyle w:val="17"/>
              <w:spacing w:line="240" w:lineRule="auto"/>
              <w:ind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rPr>
              <w:t>A、政审合格，品德良好，工作态度端正，爱岗敬业，责任心强，无不良行为记录。</w:t>
            </w:r>
          </w:p>
          <w:p w14:paraId="32F776F7">
            <w:pPr>
              <w:pStyle w:val="17"/>
              <w:spacing w:line="240" w:lineRule="auto"/>
              <w:ind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rPr>
              <w:t>B、接受过岗位培训，业务熟练。</w:t>
            </w:r>
          </w:p>
          <w:p w14:paraId="2069B21B">
            <w:pPr>
              <w:pStyle w:val="17"/>
              <w:spacing w:line="240" w:lineRule="auto"/>
              <w:ind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rPr>
              <w:t>C、仪容仪表仪态大方，五官端正，统一着装。</w:t>
            </w:r>
          </w:p>
          <w:p w14:paraId="1AA8A23D">
            <w:pPr>
              <w:pStyle w:val="17"/>
              <w:spacing w:line="240" w:lineRule="auto"/>
              <w:ind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rPr>
              <w:t xml:space="preserve">D、身体健康，精力充沛，形体符合工作要求。 </w:t>
            </w:r>
          </w:p>
        </w:tc>
        <w:tc>
          <w:tcPr>
            <w:tcW w:w="759" w:type="pct"/>
            <w:noWrap w:val="0"/>
            <w:vAlign w:val="center"/>
          </w:tcPr>
          <w:p w14:paraId="176430B4">
            <w:pPr>
              <w:pStyle w:val="17"/>
              <w:spacing w:line="240" w:lineRule="auto"/>
              <w:ind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rPr>
              <w:t>1～25层电梯厅、消防通道、卫生间等公共区域清洁，楼层垃圾清运。</w:t>
            </w:r>
          </w:p>
        </w:tc>
        <w:tc>
          <w:tcPr>
            <w:tcW w:w="576" w:type="pct"/>
            <w:noWrap w:val="0"/>
            <w:vAlign w:val="center"/>
          </w:tcPr>
          <w:p w14:paraId="61C6429C">
            <w:pPr>
              <w:pStyle w:val="17"/>
              <w:spacing w:line="240" w:lineRule="auto"/>
              <w:ind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rPr>
              <w:t>9</w:t>
            </w:r>
          </w:p>
        </w:tc>
        <w:tc>
          <w:tcPr>
            <w:tcW w:w="576" w:type="pct"/>
            <w:noWrap w:val="0"/>
            <w:vAlign w:val="center"/>
          </w:tcPr>
          <w:p w14:paraId="35FED2C0">
            <w:pPr>
              <w:pStyle w:val="17"/>
              <w:spacing w:line="240" w:lineRule="auto"/>
              <w:ind w:firstLine="0" w:firstLineChars="0"/>
              <w:jc w:val="center"/>
              <w:rPr>
                <w:rFonts w:hint="eastAsia" w:ascii="宋体" w:hAnsi="宋体" w:eastAsia="宋体" w:cs="宋体"/>
                <w:kern w:val="2"/>
                <w:sz w:val="24"/>
                <w:szCs w:val="24"/>
              </w:rPr>
            </w:pPr>
          </w:p>
        </w:tc>
      </w:tr>
      <w:tr w14:paraId="0F0B1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noWrap w:val="0"/>
            <w:vAlign w:val="center"/>
          </w:tcPr>
          <w:p w14:paraId="45D6A2EB">
            <w:pPr>
              <w:pStyle w:val="17"/>
              <w:spacing w:line="240" w:lineRule="auto"/>
              <w:ind w:firstLine="0" w:firstLineChars="0"/>
              <w:jc w:val="center"/>
              <w:rPr>
                <w:rFonts w:hint="eastAsia" w:ascii="宋体" w:hAnsi="宋体" w:eastAsia="宋体" w:cs="宋体"/>
                <w:kern w:val="2"/>
                <w:sz w:val="24"/>
                <w:szCs w:val="24"/>
              </w:rPr>
            </w:pPr>
          </w:p>
        </w:tc>
        <w:tc>
          <w:tcPr>
            <w:tcW w:w="426" w:type="pct"/>
            <w:noWrap w:val="0"/>
            <w:vAlign w:val="center"/>
          </w:tcPr>
          <w:p w14:paraId="4D30CC85">
            <w:pPr>
              <w:pStyle w:val="17"/>
              <w:spacing w:line="240" w:lineRule="auto"/>
              <w:ind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rPr>
              <w:t>绿化</w:t>
            </w:r>
          </w:p>
        </w:tc>
        <w:tc>
          <w:tcPr>
            <w:tcW w:w="2227" w:type="pct"/>
            <w:vMerge w:val="continue"/>
            <w:noWrap w:val="0"/>
            <w:vAlign w:val="center"/>
          </w:tcPr>
          <w:p w14:paraId="72F8055E">
            <w:pPr>
              <w:pStyle w:val="17"/>
              <w:spacing w:line="240" w:lineRule="auto"/>
              <w:ind w:firstLine="420"/>
              <w:jc w:val="center"/>
              <w:rPr>
                <w:rFonts w:hint="eastAsia" w:ascii="宋体" w:hAnsi="宋体" w:eastAsia="宋体" w:cs="宋体"/>
                <w:kern w:val="2"/>
                <w:sz w:val="24"/>
                <w:szCs w:val="24"/>
              </w:rPr>
            </w:pPr>
          </w:p>
        </w:tc>
        <w:tc>
          <w:tcPr>
            <w:tcW w:w="759" w:type="pct"/>
            <w:noWrap w:val="0"/>
            <w:vAlign w:val="center"/>
          </w:tcPr>
          <w:p w14:paraId="7269EC34">
            <w:pPr>
              <w:pStyle w:val="17"/>
              <w:spacing w:line="240" w:lineRule="auto"/>
              <w:ind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rPr>
              <w:t>负一层车库及户外地面清扫、绿植养护</w:t>
            </w:r>
          </w:p>
        </w:tc>
        <w:tc>
          <w:tcPr>
            <w:tcW w:w="576" w:type="pct"/>
            <w:noWrap w:val="0"/>
            <w:vAlign w:val="center"/>
          </w:tcPr>
          <w:p w14:paraId="4DF4208A">
            <w:pPr>
              <w:pStyle w:val="17"/>
              <w:spacing w:line="240" w:lineRule="auto"/>
              <w:ind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rPr>
              <w:t>1</w:t>
            </w:r>
          </w:p>
        </w:tc>
        <w:tc>
          <w:tcPr>
            <w:tcW w:w="576" w:type="pct"/>
            <w:noWrap w:val="0"/>
            <w:vAlign w:val="center"/>
          </w:tcPr>
          <w:p w14:paraId="1D660222">
            <w:pPr>
              <w:pStyle w:val="17"/>
              <w:spacing w:line="240" w:lineRule="auto"/>
              <w:ind w:firstLine="0" w:firstLineChars="0"/>
              <w:jc w:val="center"/>
              <w:rPr>
                <w:rFonts w:hint="eastAsia" w:ascii="宋体" w:hAnsi="宋体" w:eastAsia="宋体" w:cs="宋体"/>
                <w:kern w:val="2"/>
                <w:sz w:val="24"/>
                <w:szCs w:val="24"/>
              </w:rPr>
            </w:pPr>
          </w:p>
        </w:tc>
      </w:tr>
    </w:tbl>
    <w:p w14:paraId="4E3B828E">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sz w:val="24"/>
          <w:szCs w:val="24"/>
        </w:rPr>
      </w:pPr>
      <w:r>
        <w:rPr>
          <w:rFonts w:hint="eastAsia" w:ascii="宋体" w:hAnsi="宋体" w:eastAsia="宋体" w:cs="宋体"/>
          <w:sz w:val="24"/>
          <w:szCs w:val="24"/>
        </w:rPr>
        <w:t>以上所有人员涉及到周岁的，以开标日期计算。</w:t>
      </w:r>
    </w:p>
    <w:p w14:paraId="68CFCCBD">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sz w:val="24"/>
          <w:szCs w:val="24"/>
        </w:rPr>
      </w:pPr>
      <w:r>
        <w:rPr>
          <w:rFonts w:hint="eastAsia" w:ascii="宋体" w:hAnsi="宋体" w:eastAsia="宋体" w:cs="宋体"/>
          <w:sz w:val="24"/>
          <w:szCs w:val="24"/>
        </w:rPr>
        <w:t>注：</w:t>
      </w:r>
    </w:p>
    <w:p w14:paraId="0568BD3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sz w:val="24"/>
          <w:szCs w:val="24"/>
        </w:rPr>
      </w:pPr>
      <w:r>
        <w:rPr>
          <w:rFonts w:hint="eastAsia" w:ascii="宋体" w:hAnsi="宋体" w:eastAsia="宋体" w:cs="宋体"/>
          <w:sz w:val="24"/>
          <w:szCs w:val="24"/>
        </w:rPr>
        <w:t>（1）以上编制岗位要求，合同签订后须按上述标准配备到位,</w:t>
      </w:r>
      <w:r>
        <w:rPr>
          <w:rFonts w:hint="default" w:ascii="宋体" w:hAnsi="宋体" w:eastAsia="宋体" w:cs="宋体"/>
          <w:sz w:val="24"/>
          <w:szCs w:val="24"/>
        </w:rPr>
        <w:t>采购人</w:t>
      </w:r>
      <w:r>
        <w:rPr>
          <w:rFonts w:hint="eastAsia" w:ascii="宋体" w:hAnsi="宋体" w:eastAsia="宋体" w:cs="宋体"/>
          <w:sz w:val="24"/>
          <w:szCs w:val="24"/>
        </w:rPr>
        <w:t>可以根据具体情况，要求中标人调整各专业人员配备。</w:t>
      </w:r>
      <w:r>
        <w:rPr>
          <w:rFonts w:hint="default" w:ascii="宋体" w:hAnsi="宋体" w:eastAsia="宋体" w:cs="宋体"/>
          <w:sz w:val="24"/>
          <w:szCs w:val="24"/>
        </w:rPr>
        <w:t>采购人</w:t>
      </w:r>
      <w:r>
        <w:rPr>
          <w:rFonts w:hint="eastAsia" w:ascii="宋体" w:hAnsi="宋体" w:eastAsia="宋体" w:cs="宋体"/>
          <w:sz w:val="24"/>
          <w:szCs w:val="24"/>
        </w:rPr>
        <w:t>在合同签订后中标人进场服务前核查人员配备情况，人员须按照要求配备到位，否则</w:t>
      </w:r>
      <w:r>
        <w:rPr>
          <w:rFonts w:hint="default" w:ascii="宋体" w:hAnsi="宋体" w:eastAsia="宋体" w:cs="宋体"/>
          <w:sz w:val="24"/>
          <w:szCs w:val="24"/>
        </w:rPr>
        <w:t>采购人</w:t>
      </w:r>
      <w:r>
        <w:rPr>
          <w:rFonts w:hint="eastAsia" w:ascii="宋体" w:hAnsi="宋体" w:eastAsia="宋体" w:cs="宋体"/>
          <w:sz w:val="24"/>
          <w:szCs w:val="24"/>
        </w:rPr>
        <w:t>有权追究中标人违约责任。所有人员必须签订用工合同、办理社会保险，采购人有权随时核实并要求中标人提供相关材料，如有不实，采购人有权追究中标人违约责任。</w:t>
      </w:r>
    </w:p>
    <w:p w14:paraId="70461646">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eastAsia="宋体" w:cs="宋体"/>
          <w:b w:val="0"/>
          <w:bCs w:val="0"/>
          <w:color w:val="000000"/>
          <w:kern w:val="0"/>
          <w:sz w:val="24"/>
          <w:szCs w:val="24"/>
          <w:shd w:val="clear" w:color="auto" w:fill="FFFFFF"/>
          <w:lang w:eastAsia="zh-CN" w:bidi="ar"/>
        </w:rPr>
        <w:t>为实现新旧服务平稳衔接，2026年9月1日—2026年12月31日过渡期实行阶段性定岗配置，待楼宇全面入驻后</w:t>
      </w:r>
      <w:r>
        <w:rPr>
          <w:rFonts w:hint="default" w:ascii="宋体" w:hAnsi="宋体" w:eastAsia="宋体" w:cs="宋体"/>
          <w:b w:val="0"/>
          <w:bCs w:val="0"/>
          <w:color w:val="000000"/>
          <w:kern w:val="0"/>
          <w:sz w:val="24"/>
          <w:szCs w:val="24"/>
          <w:shd w:val="clear" w:color="auto" w:fill="FFFFFF"/>
          <w:lang w:eastAsia="zh-CN" w:bidi="ar"/>
        </w:rPr>
        <w:t>按</w:t>
      </w:r>
      <w:r>
        <w:rPr>
          <w:rFonts w:hint="eastAsia" w:ascii="宋体" w:hAnsi="宋体" w:eastAsia="宋体" w:cs="宋体"/>
          <w:b w:val="0"/>
          <w:bCs w:val="0"/>
          <w:color w:val="000000"/>
          <w:kern w:val="0"/>
          <w:sz w:val="24"/>
          <w:szCs w:val="24"/>
          <w:shd w:val="clear" w:color="auto" w:fill="FFFFFF"/>
          <w:lang w:eastAsia="zh-CN" w:bidi="ar"/>
        </w:rPr>
        <w:t>35人满编配置。</w:t>
      </w:r>
    </w:p>
    <w:p w14:paraId="745BFDA4">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outlineLvl w:val="2"/>
        <w:rPr>
          <w:rFonts w:hint="eastAsia" w:ascii="宋体" w:hAnsi="宋体" w:eastAsia="宋体" w:cs="宋体"/>
          <w:sz w:val="24"/>
          <w:szCs w:val="24"/>
        </w:rPr>
      </w:pPr>
      <w:r>
        <w:rPr>
          <w:rFonts w:hint="eastAsia" w:ascii="宋体" w:hAnsi="宋体" w:eastAsia="宋体" w:cs="宋体"/>
          <w:sz w:val="24"/>
          <w:szCs w:val="24"/>
        </w:rPr>
        <w:t>2、人员任职要求</w:t>
      </w:r>
    </w:p>
    <w:p w14:paraId="525816C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outlineLvl w:val="2"/>
        <w:rPr>
          <w:rFonts w:hint="eastAsia" w:ascii="宋体" w:hAnsi="宋体" w:eastAsia="宋体" w:cs="宋体"/>
          <w:sz w:val="24"/>
          <w:szCs w:val="24"/>
        </w:rPr>
      </w:pPr>
      <w:bookmarkStart w:id="8" w:name="OLE_LINK15"/>
      <w:r>
        <w:rPr>
          <w:rFonts w:hint="eastAsia" w:ascii="宋体" w:hAnsi="宋体" w:eastAsia="宋体" w:cs="宋体"/>
          <w:sz w:val="24"/>
          <w:szCs w:val="24"/>
        </w:rPr>
        <w:t>（1）</w:t>
      </w:r>
      <w:bookmarkEnd w:id="8"/>
      <w:r>
        <w:rPr>
          <w:rFonts w:hint="eastAsia" w:ascii="宋体" w:hAnsi="宋体" w:eastAsia="宋体" w:cs="宋体"/>
          <w:sz w:val="24"/>
          <w:szCs w:val="24"/>
        </w:rPr>
        <w:t>中标人所有进场人员必须政审合格，且不得有违法犯罪记录。中标人在服务人员上岗前应当核实其身份，并组织签订保密承诺书，进行保密教育提醒。中标人应加强相机、手机以及其他电子设备的管理，制定相关制度，检查督促进场人员不得携带电子设备进入办公室、会议室等工作区域。本项目要求提供 24小时秩序维护、设备管理</w:t>
      </w:r>
      <w:r>
        <w:rPr>
          <w:rFonts w:hint="default" w:ascii="宋体" w:hAnsi="宋体" w:eastAsia="宋体" w:cs="宋体"/>
          <w:sz w:val="24"/>
          <w:szCs w:val="24"/>
        </w:rPr>
        <w:t>、</w:t>
      </w:r>
      <w:r>
        <w:rPr>
          <w:rFonts w:hint="eastAsia" w:ascii="宋体" w:hAnsi="宋体" w:eastAsia="宋体" w:cs="宋体"/>
          <w:sz w:val="24"/>
          <w:szCs w:val="24"/>
        </w:rPr>
        <w:t>保洁、</w:t>
      </w:r>
      <w:r>
        <w:rPr>
          <w:rFonts w:hint="default" w:ascii="宋体" w:hAnsi="宋体" w:eastAsia="宋体" w:cs="宋体"/>
          <w:sz w:val="24"/>
          <w:szCs w:val="24"/>
        </w:rPr>
        <w:t>物业</w:t>
      </w:r>
      <w:r>
        <w:rPr>
          <w:rFonts w:hint="eastAsia" w:ascii="宋体" w:hAnsi="宋体" w:eastAsia="宋体" w:cs="宋体"/>
          <w:sz w:val="24"/>
          <w:szCs w:val="24"/>
        </w:rPr>
        <w:t>接待等提供</w:t>
      </w:r>
      <w:r>
        <w:rPr>
          <w:rFonts w:hint="default" w:ascii="宋体" w:hAnsi="宋体" w:eastAsia="宋体" w:cs="宋体"/>
          <w:sz w:val="24"/>
          <w:szCs w:val="24"/>
        </w:rPr>
        <w:t>8</w:t>
      </w:r>
      <w:r>
        <w:rPr>
          <w:rFonts w:hint="eastAsia" w:ascii="宋体" w:hAnsi="宋体" w:eastAsia="宋体" w:cs="宋体"/>
          <w:sz w:val="24"/>
          <w:szCs w:val="24"/>
        </w:rPr>
        <w:t>小时服务。</w:t>
      </w:r>
    </w:p>
    <w:p w14:paraId="30E5783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中标人员工</w:t>
      </w:r>
      <w:r>
        <w:rPr>
          <w:rFonts w:hint="eastAsia" w:ascii="宋体" w:hAnsi="宋体" w:eastAsia="宋体" w:cs="宋体"/>
          <w:sz w:val="24"/>
          <w:szCs w:val="24"/>
        </w:rPr>
        <w:t>须统一着装上岗。男员工不准留胡须、蓄长发、染发（黑色除外）、刺青纹身、佩带过分的饰物；女员工不准浓妆艳抹或佩带过分的饰物，头发染色不能过艳。</w:t>
      </w:r>
    </w:p>
    <w:p w14:paraId="65D9CF4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sz w:val="24"/>
          <w:szCs w:val="24"/>
        </w:rPr>
      </w:pPr>
      <w:r>
        <w:rPr>
          <w:rFonts w:hint="eastAsia" w:ascii="宋体" w:hAnsi="宋体" w:eastAsia="宋体" w:cs="宋体"/>
          <w:sz w:val="24"/>
          <w:szCs w:val="24"/>
        </w:rPr>
        <w:t>（3）所有进驻合肥工业大学产学研综合楼的物业服务人员工作时间不准抽烟、吃零食、闲谈以及做与本职工作无关的事，不得泄露工作机密，不得从事有偿服务，不准接受来访群众的任何物品，使用语言要文明，举止要大方，具有一定的工作经验。</w:t>
      </w:r>
    </w:p>
    <w:p w14:paraId="0751B23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sz w:val="24"/>
          <w:szCs w:val="24"/>
        </w:rPr>
      </w:pPr>
      <w:r>
        <w:rPr>
          <w:rFonts w:hint="eastAsia" w:ascii="宋体" w:hAnsi="宋体" w:eastAsia="宋体" w:cs="宋体"/>
          <w:sz w:val="24"/>
          <w:szCs w:val="24"/>
        </w:rPr>
        <w:t>（4）所有进驻合肥工业大学产学研综合楼的物业人员不得有任何不良记录（以公安部门登记为准）进驻时须提供资料交采购人核验。</w:t>
      </w:r>
    </w:p>
    <w:p w14:paraId="0434F856">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sz w:val="24"/>
          <w:szCs w:val="24"/>
        </w:rPr>
      </w:pPr>
      <w:r>
        <w:rPr>
          <w:rFonts w:hint="eastAsia" w:ascii="宋体" w:hAnsi="宋体" w:eastAsia="宋体" w:cs="宋体"/>
          <w:sz w:val="24"/>
          <w:szCs w:val="24"/>
        </w:rPr>
        <w:t>（</w:t>
      </w:r>
      <w:r>
        <w:rPr>
          <w:rFonts w:hint="default" w:ascii="宋体" w:hAnsi="宋体" w:eastAsia="宋体" w:cs="宋体"/>
          <w:sz w:val="24"/>
          <w:szCs w:val="24"/>
        </w:rPr>
        <w:t>5</w:t>
      </w:r>
      <w:r>
        <w:rPr>
          <w:rFonts w:hint="eastAsia" w:ascii="宋体" w:hAnsi="宋体" w:eastAsia="宋体" w:cs="宋体"/>
          <w:sz w:val="24"/>
          <w:szCs w:val="24"/>
        </w:rPr>
        <w:t>）鼓励通过信息化、智能化手段等可适当优化服务要求。</w:t>
      </w:r>
    </w:p>
    <w:p w14:paraId="729F551E">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sz w:val="24"/>
          <w:szCs w:val="24"/>
        </w:rPr>
      </w:pPr>
      <w:r>
        <w:rPr>
          <w:rFonts w:hint="eastAsia" w:ascii="宋体" w:hAnsi="宋体" w:eastAsia="宋体" w:cs="宋体"/>
          <w:sz w:val="24"/>
          <w:szCs w:val="24"/>
        </w:rPr>
        <w:t>（</w:t>
      </w:r>
      <w:r>
        <w:rPr>
          <w:rFonts w:hint="default" w:ascii="宋体" w:hAnsi="宋体" w:eastAsia="宋体" w:cs="宋体"/>
          <w:sz w:val="24"/>
          <w:szCs w:val="24"/>
        </w:rPr>
        <w:t>6</w:t>
      </w:r>
      <w:r>
        <w:rPr>
          <w:rFonts w:hint="eastAsia" w:ascii="宋体" w:hAnsi="宋体" w:eastAsia="宋体" w:cs="宋体"/>
          <w:sz w:val="24"/>
          <w:szCs w:val="24"/>
        </w:rPr>
        <w:t>）中标（成交）人应保证本次投标报价中及服务期内派驻本项目服务团队的每位员工的最低月工资标准不低于本地区最低标准；工作时间符合劳动法的规定。</w:t>
      </w:r>
    </w:p>
    <w:p w14:paraId="3F55FE19">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sz w:val="24"/>
          <w:szCs w:val="24"/>
        </w:rPr>
      </w:pPr>
      <w:r>
        <w:rPr>
          <w:rFonts w:hint="eastAsia" w:ascii="宋体" w:hAnsi="宋体" w:eastAsia="宋体" w:cs="宋体"/>
          <w:sz w:val="24"/>
          <w:szCs w:val="24"/>
        </w:rPr>
        <w:t>（</w:t>
      </w:r>
      <w:r>
        <w:rPr>
          <w:rFonts w:hint="default" w:ascii="宋体" w:hAnsi="宋体" w:eastAsia="宋体" w:cs="宋体"/>
          <w:sz w:val="24"/>
          <w:szCs w:val="24"/>
        </w:rPr>
        <w:t>7</w:t>
      </w:r>
      <w:r>
        <w:rPr>
          <w:rFonts w:hint="eastAsia" w:ascii="宋体" w:hAnsi="宋体" w:eastAsia="宋体" w:cs="宋体"/>
          <w:sz w:val="24"/>
          <w:szCs w:val="24"/>
        </w:rPr>
        <w:t>）投标人应自行为员工办理必须的保险，有关人员伤亡及第三者责任险均需由投标人考虑并包含在报价因素中。</w:t>
      </w:r>
    </w:p>
    <w:p w14:paraId="2B29B694">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sz w:val="24"/>
          <w:szCs w:val="24"/>
        </w:rPr>
      </w:pPr>
      <w:r>
        <w:rPr>
          <w:rFonts w:hint="eastAsia" w:ascii="宋体" w:hAnsi="宋体" w:eastAsia="宋体" w:cs="宋体"/>
          <w:sz w:val="24"/>
          <w:szCs w:val="24"/>
        </w:rPr>
        <w:t>（</w:t>
      </w:r>
      <w:r>
        <w:rPr>
          <w:rFonts w:hint="default" w:ascii="宋体" w:hAnsi="宋体" w:eastAsia="宋体" w:cs="宋体"/>
          <w:sz w:val="24"/>
          <w:szCs w:val="24"/>
        </w:rPr>
        <w:t>8</w:t>
      </w:r>
      <w:r>
        <w:rPr>
          <w:rFonts w:hint="eastAsia" w:ascii="宋体" w:hAnsi="宋体" w:eastAsia="宋体" w:cs="宋体"/>
          <w:sz w:val="24"/>
          <w:szCs w:val="24"/>
        </w:rPr>
        <w:t>）投标文件中的拟派的项目经理、主管及以上主要管理人员在中标后不得随意更换，如确需更换的，须经招标人书面同意，更换后的人员资质、资历、学历、职称、业绩、实际工作能力不低于被更换人员。否则，每次更换需向</w:t>
      </w:r>
      <w:r>
        <w:rPr>
          <w:rFonts w:hint="default" w:ascii="宋体" w:hAnsi="宋体" w:eastAsia="宋体" w:cs="宋体"/>
          <w:sz w:val="24"/>
          <w:szCs w:val="24"/>
        </w:rPr>
        <w:t>采购人</w:t>
      </w:r>
      <w:r>
        <w:rPr>
          <w:rFonts w:hint="eastAsia" w:ascii="宋体" w:hAnsi="宋体" w:eastAsia="宋体" w:cs="宋体"/>
          <w:sz w:val="24"/>
          <w:szCs w:val="24"/>
        </w:rPr>
        <w:t>支付违约金：项目经理10万元/人次，主管及以上主要管理人员5万元/人次。</w:t>
      </w:r>
    </w:p>
    <w:p w14:paraId="74FEB54A">
      <w:pPr>
        <w:pStyle w:val="4"/>
        <w:keepNext w:val="0"/>
        <w:keepLines w:val="0"/>
        <w:pageBreakBefore w:val="0"/>
        <w:widowControl w:val="0"/>
        <w:numPr>
          <w:ilvl w:val="0"/>
          <w:numId w:val="2"/>
        </w:numPr>
        <w:kinsoku/>
        <w:wordWrap/>
        <w:overflowPunct/>
        <w:topLinePunct w:val="0"/>
        <w:autoSpaceDE/>
        <w:autoSpaceDN/>
        <w:bidi w:val="0"/>
        <w:adjustRightInd/>
        <w:snapToGrid/>
        <w:spacing w:after="0" w:line="360" w:lineRule="auto"/>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报价要求</w:t>
      </w:r>
    </w:p>
    <w:p w14:paraId="1E34E97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sz w:val="24"/>
          <w:szCs w:val="24"/>
        </w:rPr>
      </w:pPr>
      <w:r>
        <w:rPr>
          <w:rFonts w:hint="eastAsia" w:ascii="宋体" w:hAnsi="宋体" w:eastAsia="宋体" w:cs="宋体"/>
          <w:sz w:val="24"/>
          <w:szCs w:val="24"/>
        </w:rPr>
        <w:t>1.本项目报价不得高于</w:t>
      </w:r>
      <w:r>
        <w:rPr>
          <w:rFonts w:hint="default" w:ascii="宋体" w:hAnsi="宋体" w:eastAsia="宋体" w:cs="宋体"/>
          <w:sz w:val="24"/>
          <w:szCs w:val="24"/>
        </w:rPr>
        <w:t>1875095.16</w:t>
      </w:r>
      <w:r>
        <w:rPr>
          <w:rFonts w:hint="eastAsia" w:ascii="宋体" w:hAnsi="宋体" w:eastAsia="宋体" w:cs="宋体"/>
          <w:sz w:val="24"/>
          <w:szCs w:val="24"/>
        </w:rPr>
        <w:t>元</w:t>
      </w:r>
      <w:r>
        <w:rPr>
          <w:rFonts w:hint="eastAsia" w:ascii="宋体" w:hAnsi="宋体" w:eastAsia="宋体" w:cs="宋体"/>
          <w:sz w:val="24"/>
          <w:szCs w:val="24"/>
          <w:lang w:val="en-US" w:eastAsia="zh-CN"/>
        </w:rPr>
        <w:t>/年</w:t>
      </w:r>
      <w:r>
        <w:rPr>
          <w:rFonts w:hint="eastAsia" w:ascii="宋体" w:hAnsi="宋体" w:eastAsia="宋体" w:cs="宋体"/>
          <w:sz w:val="24"/>
          <w:szCs w:val="24"/>
        </w:rPr>
        <w:t>，否则响应无效。</w:t>
      </w:r>
    </w:p>
    <w:p w14:paraId="22323A0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sz w:val="24"/>
          <w:szCs w:val="24"/>
        </w:rPr>
      </w:pPr>
      <w:r>
        <w:rPr>
          <w:rFonts w:hint="eastAsia" w:ascii="宋体" w:hAnsi="宋体" w:eastAsia="宋体" w:cs="宋体"/>
          <w:sz w:val="24"/>
          <w:szCs w:val="24"/>
        </w:rPr>
        <w:t>2.本项目采用总价包干形式。投标报价应包含完成本项目所需的全部费用，包括但不限于：</w:t>
      </w:r>
    </w:p>
    <w:p w14:paraId="63B9D6BB">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人工成本：所有管理服务人员的工资、社保、福利、服装、劳保用品等；</w:t>
      </w:r>
    </w:p>
    <w:p w14:paraId="59EF35D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日常运维：公共区域及共用设施设备的日常运行能耗（水电费）、维修保养费；</w:t>
      </w:r>
    </w:p>
    <w:p w14:paraId="1657929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rPr>
        <w:t>物料耗材：保洁所需的各类清洁剂、工具、垃圾袋、卫生纸、洗手液等低值易耗品；日常零星维修所需的维修材料及工具（单次维修材料费在人民币500元以内的，由中标人承担）；</w:t>
      </w:r>
    </w:p>
    <w:p w14:paraId="7EDCC486">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rPr>
        <w:t>其他费用：办公费、固定资产折旧、公众责任险、法定税费</w:t>
      </w:r>
      <w:r>
        <w:rPr>
          <w:rFonts w:hint="eastAsia" w:ascii="宋体" w:hAnsi="宋体" w:eastAsia="宋体" w:cs="宋体"/>
          <w:sz w:val="24"/>
          <w:szCs w:val="24"/>
          <w:lang w:eastAsia="zh-CN"/>
        </w:rPr>
        <w:t>、管理费、培训费、差旅费、垃圾分类管理费、员工食宿及交通补贴</w:t>
      </w:r>
      <w:r>
        <w:rPr>
          <w:rFonts w:hint="eastAsia" w:ascii="宋体" w:hAnsi="宋体" w:eastAsia="宋体" w:cs="宋体"/>
          <w:sz w:val="24"/>
          <w:szCs w:val="24"/>
        </w:rPr>
        <w:t>等。特别说明：房屋及设施设备的大修、中修和更新改造费用（如电梯大修、屋顶防水翻新等）不包含在本次报价范围内，需按相关规定申请使用专项维修资金。</w:t>
      </w:r>
    </w:p>
    <w:p w14:paraId="656E867B">
      <w:pPr>
        <w:keepNext w:val="0"/>
        <w:keepLines w:val="0"/>
        <w:pageBreakBefore w:val="0"/>
        <w:widowControl w:val="0"/>
        <w:kinsoku/>
        <w:wordWrap/>
        <w:overflowPunct/>
        <w:topLinePunct w:val="0"/>
        <w:autoSpaceDE/>
        <w:autoSpaceDN/>
        <w:bidi w:val="0"/>
        <w:adjustRightInd/>
        <w:snapToGrid/>
        <w:spacing w:line="360" w:lineRule="auto"/>
        <w:ind w:firstLine="437"/>
        <w:jc w:val="left"/>
        <w:textAlignment w:val="auto"/>
        <w:outlineLvl w:val="3"/>
        <w:rPr>
          <w:rFonts w:hint="eastAsia" w:ascii="宋体" w:hAnsi="宋体" w:eastAsia="宋体" w:cs="宋体"/>
          <w:bCs/>
          <w:color w:val="auto"/>
          <w:sz w:val="24"/>
        </w:rPr>
      </w:pPr>
      <w:r>
        <w:rPr>
          <w:rFonts w:hint="eastAsia" w:ascii="宋体" w:hAnsi="宋体" w:eastAsia="宋体" w:cs="宋体"/>
          <w:bCs/>
          <w:color w:val="auto"/>
          <w:sz w:val="24"/>
          <w:lang w:val="en-US" w:eastAsia="zh-CN"/>
        </w:rPr>
        <w:t>3</w:t>
      </w:r>
      <w:r>
        <w:rPr>
          <w:rFonts w:hint="eastAsia" w:ascii="宋体" w:hAnsi="宋体" w:eastAsia="宋体" w:cs="宋体"/>
          <w:bCs/>
          <w:color w:val="auto"/>
          <w:sz w:val="24"/>
        </w:rPr>
        <w:t>、政策性费用测算如下：</w:t>
      </w:r>
    </w:p>
    <w:p w14:paraId="042426CE">
      <w:pPr>
        <w:keepNext w:val="0"/>
        <w:keepLines w:val="0"/>
        <w:pageBreakBefore w:val="0"/>
        <w:widowControl w:val="0"/>
        <w:kinsoku/>
        <w:wordWrap/>
        <w:overflowPunct/>
        <w:topLinePunct w:val="0"/>
        <w:autoSpaceDE/>
        <w:autoSpaceDN/>
        <w:bidi w:val="0"/>
        <w:adjustRightInd/>
        <w:snapToGrid/>
        <w:spacing w:line="360" w:lineRule="auto"/>
        <w:ind w:firstLine="437"/>
        <w:jc w:val="left"/>
        <w:textAlignment w:val="auto"/>
        <w:outlineLvl w:val="3"/>
        <w:rPr>
          <w:rFonts w:hint="eastAsia" w:ascii="宋体" w:hAnsi="宋体" w:eastAsia="宋体" w:cs="宋体"/>
          <w:bCs/>
          <w:color w:val="auto"/>
          <w:sz w:val="24"/>
        </w:rPr>
      </w:pPr>
      <w:r>
        <w:rPr>
          <w:rFonts w:hint="eastAsia" w:ascii="宋体" w:hAnsi="宋体" w:eastAsia="宋体" w:cs="宋体"/>
          <w:bCs/>
          <w:color w:val="auto"/>
          <w:sz w:val="24"/>
        </w:rPr>
        <w:t>一般纳税人政策性费用预算：</w:t>
      </w:r>
    </w:p>
    <w:tbl>
      <w:tblPr>
        <w:tblStyle w:val="11"/>
        <w:tblW w:w="526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3001"/>
        <w:gridCol w:w="1168"/>
        <w:gridCol w:w="1407"/>
        <w:gridCol w:w="891"/>
        <w:gridCol w:w="1694"/>
      </w:tblGrid>
      <w:tr w14:paraId="659D9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886" w:type="dxa"/>
            <w:noWrap w:val="0"/>
            <w:vAlign w:val="center"/>
          </w:tcPr>
          <w:p w14:paraId="64024D02">
            <w:pPr>
              <w:rPr>
                <w:rFonts w:hint="eastAsia" w:ascii="宋体" w:hAnsi="宋体" w:eastAsia="宋体" w:cs="宋体"/>
                <w:b/>
                <w:bCs/>
                <w:i w:val="0"/>
                <w:iCs w:val="0"/>
                <w:color w:val="auto"/>
                <w:kern w:val="0"/>
                <w:sz w:val="24"/>
                <w:szCs w:val="24"/>
                <w:u w:val="none"/>
                <w:lang w:val="en-US" w:eastAsia="zh-CN" w:bidi="ar"/>
              </w:rPr>
            </w:pPr>
          </w:p>
        </w:tc>
        <w:tc>
          <w:tcPr>
            <w:tcW w:w="3272" w:type="dxa"/>
            <w:noWrap w:val="0"/>
            <w:vAlign w:val="center"/>
          </w:tcPr>
          <w:p w14:paraId="6279E62F">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缴费项目</w:t>
            </w:r>
          </w:p>
        </w:tc>
        <w:tc>
          <w:tcPr>
            <w:tcW w:w="1273" w:type="dxa"/>
            <w:noWrap w:val="0"/>
            <w:vAlign w:val="center"/>
          </w:tcPr>
          <w:p w14:paraId="3224DE82">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人数</w:t>
            </w:r>
          </w:p>
        </w:tc>
        <w:tc>
          <w:tcPr>
            <w:tcW w:w="1534" w:type="dxa"/>
            <w:noWrap w:val="0"/>
            <w:vAlign w:val="center"/>
          </w:tcPr>
          <w:p w14:paraId="6130F4BE">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费用</w:t>
            </w:r>
          </w:p>
        </w:tc>
        <w:tc>
          <w:tcPr>
            <w:tcW w:w="971" w:type="dxa"/>
            <w:noWrap w:val="0"/>
            <w:vAlign w:val="center"/>
          </w:tcPr>
          <w:p w14:paraId="50EABBF7">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月</w:t>
            </w:r>
          </w:p>
        </w:tc>
        <w:tc>
          <w:tcPr>
            <w:tcW w:w="1846" w:type="dxa"/>
            <w:noWrap w:val="0"/>
            <w:vAlign w:val="center"/>
          </w:tcPr>
          <w:p w14:paraId="148368BE">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小计</w:t>
            </w:r>
          </w:p>
        </w:tc>
      </w:tr>
      <w:tr w14:paraId="37887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886" w:type="dxa"/>
            <w:noWrap w:val="0"/>
            <w:vAlign w:val="center"/>
          </w:tcPr>
          <w:p w14:paraId="7B32DCC7">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A</w:t>
            </w:r>
          </w:p>
        </w:tc>
        <w:tc>
          <w:tcPr>
            <w:tcW w:w="3272" w:type="dxa"/>
            <w:noWrap w:val="0"/>
            <w:vAlign w:val="center"/>
          </w:tcPr>
          <w:p w14:paraId="6EECD29C">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最低人员工资</w:t>
            </w:r>
          </w:p>
        </w:tc>
        <w:tc>
          <w:tcPr>
            <w:tcW w:w="1273" w:type="dxa"/>
            <w:noWrap w:val="0"/>
            <w:vAlign w:val="center"/>
          </w:tcPr>
          <w:p w14:paraId="1397C1DF">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35</w:t>
            </w:r>
          </w:p>
        </w:tc>
        <w:tc>
          <w:tcPr>
            <w:tcW w:w="1534" w:type="dxa"/>
            <w:noWrap w:val="0"/>
            <w:vAlign w:val="center"/>
          </w:tcPr>
          <w:p w14:paraId="2F314F71">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2320</w:t>
            </w:r>
          </w:p>
        </w:tc>
        <w:tc>
          <w:tcPr>
            <w:tcW w:w="971" w:type="dxa"/>
            <w:noWrap w:val="0"/>
            <w:vAlign w:val="center"/>
          </w:tcPr>
          <w:p w14:paraId="68E9D1F0">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w:t>
            </w:r>
          </w:p>
        </w:tc>
        <w:tc>
          <w:tcPr>
            <w:tcW w:w="1846" w:type="dxa"/>
            <w:noWrap w:val="0"/>
            <w:vAlign w:val="center"/>
          </w:tcPr>
          <w:p w14:paraId="4B1722D0">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974400</w:t>
            </w:r>
          </w:p>
        </w:tc>
      </w:tr>
      <w:tr w14:paraId="34016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886" w:type="dxa"/>
            <w:noWrap w:val="0"/>
            <w:vAlign w:val="center"/>
          </w:tcPr>
          <w:p w14:paraId="4E0C0B2A">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B</w:t>
            </w:r>
          </w:p>
        </w:tc>
        <w:tc>
          <w:tcPr>
            <w:tcW w:w="3272" w:type="dxa"/>
            <w:noWrap w:val="0"/>
            <w:vAlign w:val="center"/>
          </w:tcPr>
          <w:p w14:paraId="66911445">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社会保险</w:t>
            </w:r>
          </w:p>
        </w:tc>
        <w:tc>
          <w:tcPr>
            <w:tcW w:w="1273" w:type="dxa"/>
            <w:noWrap w:val="0"/>
            <w:vAlign w:val="center"/>
          </w:tcPr>
          <w:p w14:paraId="49BF4D7C">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35</w:t>
            </w:r>
          </w:p>
        </w:tc>
        <w:tc>
          <w:tcPr>
            <w:tcW w:w="1534" w:type="dxa"/>
            <w:noWrap w:val="0"/>
            <w:vAlign w:val="center"/>
          </w:tcPr>
          <w:p w14:paraId="36D16684">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1004.46</w:t>
            </w:r>
          </w:p>
        </w:tc>
        <w:tc>
          <w:tcPr>
            <w:tcW w:w="971" w:type="dxa"/>
            <w:noWrap w:val="0"/>
            <w:vAlign w:val="center"/>
          </w:tcPr>
          <w:p w14:paraId="126A2E3A">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w:t>
            </w:r>
          </w:p>
        </w:tc>
        <w:tc>
          <w:tcPr>
            <w:tcW w:w="1846" w:type="dxa"/>
            <w:noWrap w:val="0"/>
            <w:vAlign w:val="center"/>
          </w:tcPr>
          <w:p w14:paraId="064710DC">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421873.2</w:t>
            </w:r>
          </w:p>
        </w:tc>
      </w:tr>
      <w:tr w14:paraId="334CB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886" w:type="dxa"/>
            <w:noWrap w:val="0"/>
            <w:vAlign w:val="center"/>
          </w:tcPr>
          <w:p w14:paraId="68AFEA41">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C</w:t>
            </w:r>
          </w:p>
        </w:tc>
        <w:tc>
          <w:tcPr>
            <w:tcW w:w="7050" w:type="dxa"/>
            <w:gridSpan w:val="4"/>
            <w:noWrap w:val="0"/>
            <w:vAlign w:val="center"/>
          </w:tcPr>
          <w:p w14:paraId="634F9007">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工会教育经费=A*3.5%=A*0.035</w:t>
            </w:r>
          </w:p>
        </w:tc>
        <w:tc>
          <w:tcPr>
            <w:tcW w:w="1846" w:type="dxa"/>
            <w:noWrap w:val="0"/>
            <w:vAlign w:val="center"/>
          </w:tcPr>
          <w:p w14:paraId="76A6FF92">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34104</w:t>
            </w:r>
          </w:p>
        </w:tc>
      </w:tr>
      <w:tr w14:paraId="229E2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886" w:type="dxa"/>
            <w:noWrap w:val="0"/>
            <w:vAlign w:val="center"/>
          </w:tcPr>
          <w:p w14:paraId="6F02B54B">
            <w:pPr>
              <w:jc w:val="center"/>
              <w:rPr>
                <w:rFonts w:hint="eastAsia" w:ascii="宋体" w:hAnsi="宋体" w:eastAsia="宋体" w:cs="宋体"/>
                <w:i w:val="0"/>
                <w:iCs w:val="0"/>
                <w:color w:val="auto"/>
                <w:kern w:val="0"/>
                <w:sz w:val="24"/>
                <w:szCs w:val="24"/>
                <w:u w:val="none"/>
                <w:lang w:val="en-US" w:eastAsia="zh-CN" w:bidi="ar"/>
              </w:rPr>
            </w:pPr>
          </w:p>
        </w:tc>
        <w:tc>
          <w:tcPr>
            <w:tcW w:w="7050" w:type="dxa"/>
            <w:gridSpan w:val="4"/>
            <w:noWrap w:val="0"/>
            <w:vAlign w:val="center"/>
          </w:tcPr>
          <w:p w14:paraId="495A0FDF">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小计（A+B+C）</w:t>
            </w:r>
          </w:p>
        </w:tc>
        <w:tc>
          <w:tcPr>
            <w:tcW w:w="1846" w:type="dxa"/>
            <w:noWrap w:val="0"/>
            <w:vAlign w:val="center"/>
          </w:tcPr>
          <w:p w14:paraId="79405360">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1430377.2</w:t>
            </w:r>
          </w:p>
        </w:tc>
      </w:tr>
      <w:tr w14:paraId="43C9B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886" w:type="dxa"/>
            <w:noWrap w:val="0"/>
            <w:vAlign w:val="center"/>
          </w:tcPr>
          <w:p w14:paraId="46058B1F">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D</w:t>
            </w:r>
          </w:p>
        </w:tc>
        <w:tc>
          <w:tcPr>
            <w:tcW w:w="7050" w:type="dxa"/>
            <w:gridSpan w:val="4"/>
            <w:noWrap w:val="0"/>
            <w:vAlign w:val="center"/>
          </w:tcPr>
          <w:p w14:paraId="16FEF5FE">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一般纳税人税金=（A+B+C）*6.72%=（A+B+C）*0.0672</w:t>
            </w:r>
          </w:p>
        </w:tc>
        <w:tc>
          <w:tcPr>
            <w:tcW w:w="1846" w:type="dxa"/>
            <w:noWrap w:val="0"/>
            <w:vAlign w:val="center"/>
          </w:tcPr>
          <w:p w14:paraId="5F1A3C5D">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96121.34784</w:t>
            </w:r>
            <w:r>
              <w:rPr>
                <w:rFonts w:hint="eastAsia" w:ascii="宋体" w:hAnsi="宋体" w:eastAsia="宋体" w:cs="宋体"/>
                <w:i w:val="0"/>
                <w:iCs w:val="0"/>
                <w:color w:val="000000"/>
                <w:kern w:val="0"/>
                <w:sz w:val="24"/>
                <w:szCs w:val="24"/>
                <w:u w:val="none"/>
                <w:lang w:val="en-US" w:eastAsia="zh-CN" w:bidi="ar"/>
              </w:rPr>
              <w:t xml:space="preserve"> </w:t>
            </w:r>
          </w:p>
        </w:tc>
      </w:tr>
      <w:tr w14:paraId="20BB4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886" w:type="dxa"/>
            <w:noWrap w:val="0"/>
            <w:vAlign w:val="center"/>
          </w:tcPr>
          <w:p w14:paraId="634CD9D5">
            <w:pPr>
              <w:jc w:val="center"/>
              <w:rPr>
                <w:rFonts w:hint="eastAsia" w:ascii="宋体" w:hAnsi="宋体" w:eastAsia="宋体" w:cs="宋体"/>
                <w:i w:val="0"/>
                <w:iCs w:val="0"/>
                <w:color w:val="auto"/>
                <w:kern w:val="0"/>
                <w:sz w:val="24"/>
                <w:szCs w:val="24"/>
                <w:u w:val="none"/>
                <w:lang w:val="en-US" w:eastAsia="zh-CN" w:bidi="ar"/>
              </w:rPr>
            </w:pPr>
          </w:p>
        </w:tc>
        <w:tc>
          <w:tcPr>
            <w:tcW w:w="7050" w:type="dxa"/>
            <w:gridSpan w:val="4"/>
            <w:noWrap w:val="0"/>
            <w:vAlign w:val="center"/>
          </w:tcPr>
          <w:p w14:paraId="438AB693">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总计（A+B+C+D）保留到小数点后两位</w:t>
            </w:r>
          </w:p>
        </w:tc>
        <w:tc>
          <w:tcPr>
            <w:tcW w:w="1846" w:type="dxa"/>
            <w:noWrap w:val="0"/>
            <w:vAlign w:val="center"/>
          </w:tcPr>
          <w:p w14:paraId="6B3D39E6">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1526498.55</w:t>
            </w:r>
          </w:p>
        </w:tc>
      </w:tr>
    </w:tbl>
    <w:p w14:paraId="57E300FF">
      <w:pPr>
        <w:keepNext w:val="0"/>
        <w:keepLines w:val="0"/>
        <w:pageBreakBefore w:val="0"/>
        <w:widowControl w:val="0"/>
        <w:kinsoku/>
        <w:wordWrap/>
        <w:overflowPunct/>
        <w:topLinePunct w:val="0"/>
        <w:autoSpaceDE/>
        <w:autoSpaceDN/>
        <w:bidi w:val="0"/>
        <w:adjustRightInd/>
        <w:snapToGrid/>
        <w:spacing w:line="360" w:lineRule="auto"/>
        <w:ind w:firstLine="437"/>
        <w:jc w:val="left"/>
        <w:textAlignment w:val="auto"/>
        <w:outlineLvl w:val="3"/>
        <w:rPr>
          <w:rFonts w:hint="eastAsia" w:ascii="宋体" w:hAnsi="宋体" w:eastAsia="宋体" w:cs="宋体"/>
          <w:bCs/>
          <w:color w:val="auto"/>
          <w:sz w:val="24"/>
        </w:rPr>
      </w:pPr>
      <w:r>
        <w:rPr>
          <w:rFonts w:hint="eastAsia" w:ascii="宋体" w:hAnsi="宋体" w:eastAsia="宋体" w:cs="宋体"/>
          <w:bCs/>
          <w:color w:val="auto"/>
          <w:sz w:val="24"/>
        </w:rPr>
        <w:t>小规模纳税人政策性费用测算：</w:t>
      </w:r>
    </w:p>
    <w:tbl>
      <w:tblPr>
        <w:tblStyle w:val="11"/>
        <w:tblW w:w="526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2"/>
        <w:gridCol w:w="2984"/>
        <w:gridCol w:w="961"/>
        <w:gridCol w:w="1445"/>
        <w:gridCol w:w="946"/>
        <w:gridCol w:w="1826"/>
      </w:tblGrid>
      <w:tr w14:paraId="5F4AA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812" w:type="dxa"/>
            <w:noWrap w:val="0"/>
            <w:vAlign w:val="center"/>
          </w:tcPr>
          <w:p w14:paraId="1B0A5603">
            <w:pPr>
              <w:rPr>
                <w:rFonts w:hint="eastAsia" w:ascii="宋体" w:hAnsi="宋体" w:eastAsia="宋体" w:cs="宋体"/>
                <w:b/>
                <w:bCs/>
                <w:i w:val="0"/>
                <w:iCs w:val="0"/>
                <w:color w:val="auto"/>
                <w:kern w:val="0"/>
                <w:sz w:val="24"/>
                <w:szCs w:val="24"/>
                <w:u w:val="none"/>
                <w:lang w:val="en-US" w:eastAsia="zh-CN" w:bidi="ar"/>
              </w:rPr>
            </w:pPr>
          </w:p>
        </w:tc>
        <w:tc>
          <w:tcPr>
            <w:tcW w:w="2984" w:type="dxa"/>
            <w:noWrap w:val="0"/>
            <w:vAlign w:val="center"/>
          </w:tcPr>
          <w:p w14:paraId="3E838091">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缴费项目</w:t>
            </w:r>
          </w:p>
        </w:tc>
        <w:tc>
          <w:tcPr>
            <w:tcW w:w="961" w:type="dxa"/>
            <w:noWrap w:val="0"/>
            <w:vAlign w:val="center"/>
          </w:tcPr>
          <w:p w14:paraId="06D5B840">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人数</w:t>
            </w:r>
          </w:p>
        </w:tc>
        <w:tc>
          <w:tcPr>
            <w:tcW w:w="1445" w:type="dxa"/>
            <w:noWrap w:val="0"/>
            <w:vAlign w:val="center"/>
          </w:tcPr>
          <w:p w14:paraId="51E49705">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费用</w:t>
            </w:r>
          </w:p>
        </w:tc>
        <w:tc>
          <w:tcPr>
            <w:tcW w:w="946" w:type="dxa"/>
            <w:noWrap w:val="0"/>
            <w:vAlign w:val="center"/>
          </w:tcPr>
          <w:p w14:paraId="17D64F36">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月</w:t>
            </w:r>
          </w:p>
        </w:tc>
        <w:tc>
          <w:tcPr>
            <w:tcW w:w="1826" w:type="dxa"/>
            <w:noWrap w:val="0"/>
            <w:vAlign w:val="center"/>
          </w:tcPr>
          <w:p w14:paraId="2824FEA1">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小计</w:t>
            </w:r>
          </w:p>
        </w:tc>
      </w:tr>
      <w:tr w14:paraId="632AB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812" w:type="dxa"/>
            <w:noWrap w:val="0"/>
            <w:vAlign w:val="center"/>
          </w:tcPr>
          <w:p w14:paraId="7AC125E2">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A</w:t>
            </w:r>
          </w:p>
        </w:tc>
        <w:tc>
          <w:tcPr>
            <w:tcW w:w="2984" w:type="dxa"/>
            <w:noWrap w:val="0"/>
            <w:vAlign w:val="center"/>
          </w:tcPr>
          <w:p w14:paraId="72DC9C01">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最低人员工资</w:t>
            </w:r>
          </w:p>
        </w:tc>
        <w:tc>
          <w:tcPr>
            <w:tcW w:w="961" w:type="dxa"/>
            <w:noWrap w:val="0"/>
            <w:vAlign w:val="center"/>
          </w:tcPr>
          <w:p w14:paraId="4270EF94">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35</w:t>
            </w:r>
          </w:p>
        </w:tc>
        <w:tc>
          <w:tcPr>
            <w:tcW w:w="1445" w:type="dxa"/>
            <w:noWrap w:val="0"/>
            <w:vAlign w:val="center"/>
          </w:tcPr>
          <w:p w14:paraId="646C6F30">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2320</w:t>
            </w:r>
          </w:p>
        </w:tc>
        <w:tc>
          <w:tcPr>
            <w:tcW w:w="946" w:type="dxa"/>
            <w:noWrap w:val="0"/>
            <w:vAlign w:val="center"/>
          </w:tcPr>
          <w:p w14:paraId="79ACEB54">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w:t>
            </w:r>
          </w:p>
        </w:tc>
        <w:tc>
          <w:tcPr>
            <w:tcW w:w="1826" w:type="dxa"/>
            <w:noWrap w:val="0"/>
            <w:vAlign w:val="center"/>
          </w:tcPr>
          <w:p w14:paraId="350C02E8">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974400</w:t>
            </w:r>
          </w:p>
        </w:tc>
      </w:tr>
      <w:tr w14:paraId="74B1A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812" w:type="dxa"/>
            <w:noWrap w:val="0"/>
            <w:vAlign w:val="center"/>
          </w:tcPr>
          <w:p w14:paraId="7DEE5EB3">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B</w:t>
            </w:r>
          </w:p>
        </w:tc>
        <w:tc>
          <w:tcPr>
            <w:tcW w:w="2984" w:type="dxa"/>
            <w:noWrap w:val="0"/>
            <w:vAlign w:val="center"/>
          </w:tcPr>
          <w:p w14:paraId="69D1E853">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社会保险</w:t>
            </w:r>
          </w:p>
        </w:tc>
        <w:tc>
          <w:tcPr>
            <w:tcW w:w="961" w:type="dxa"/>
            <w:noWrap w:val="0"/>
            <w:vAlign w:val="center"/>
          </w:tcPr>
          <w:p w14:paraId="1365F642">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35</w:t>
            </w:r>
          </w:p>
        </w:tc>
        <w:tc>
          <w:tcPr>
            <w:tcW w:w="1445" w:type="dxa"/>
            <w:noWrap w:val="0"/>
            <w:vAlign w:val="center"/>
          </w:tcPr>
          <w:p w14:paraId="5C803892">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1004.46</w:t>
            </w:r>
          </w:p>
        </w:tc>
        <w:tc>
          <w:tcPr>
            <w:tcW w:w="946" w:type="dxa"/>
            <w:noWrap w:val="0"/>
            <w:vAlign w:val="center"/>
          </w:tcPr>
          <w:p w14:paraId="740A27DE">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w:t>
            </w:r>
          </w:p>
        </w:tc>
        <w:tc>
          <w:tcPr>
            <w:tcW w:w="1826" w:type="dxa"/>
            <w:noWrap w:val="0"/>
            <w:vAlign w:val="center"/>
          </w:tcPr>
          <w:p w14:paraId="159B23D8">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421873.2</w:t>
            </w:r>
          </w:p>
        </w:tc>
      </w:tr>
      <w:tr w14:paraId="76FC5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812" w:type="dxa"/>
            <w:noWrap w:val="0"/>
            <w:vAlign w:val="center"/>
          </w:tcPr>
          <w:p w14:paraId="56D0738F">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C</w:t>
            </w:r>
          </w:p>
        </w:tc>
        <w:tc>
          <w:tcPr>
            <w:tcW w:w="6336" w:type="dxa"/>
            <w:gridSpan w:val="4"/>
            <w:noWrap w:val="0"/>
            <w:vAlign w:val="center"/>
          </w:tcPr>
          <w:p w14:paraId="6653BA21">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工会教育经费=A*3.5%=A*0.035</w:t>
            </w:r>
          </w:p>
        </w:tc>
        <w:tc>
          <w:tcPr>
            <w:tcW w:w="1826" w:type="dxa"/>
            <w:noWrap w:val="0"/>
            <w:vAlign w:val="center"/>
          </w:tcPr>
          <w:p w14:paraId="0CA0ABD1">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34104</w:t>
            </w:r>
          </w:p>
        </w:tc>
      </w:tr>
      <w:tr w14:paraId="569E9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812" w:type="dxa"/>
            <w:noWrap w:val="0"/>
            <w:vAlign w:val="center"/>
          </w:tcPr>
          <w:p w14:paraId="577346E1">
            <w:pPr>
              <w:jc w:val="center"/>
              <w:rPr>
                <w:rFonts w:hint="eastAsia" w:ascii="宋体" w:hAnsi="宋体" w:eastAsia="宋体" w:cs="宋体"/>
                <w:i w:val="0"/>
                <w:iCs w:val="0"/>
                <w:color w:val="auto"/>
                <w:kern w:val="0"/>
                <w:sz w:val="24"/>
                <w:szCs w:val="24"/>
                <w:u w:val="none"/>
                <w:lang w:val="en-US" w:eastAsia="zh-CN" w:bidi="ar"/>
              </w:rPr>
            </w:pPr>
          </w:p>
        </w:tc>
        <w:tc>
          <w:tcPr>
            <w:tcW w:w="6336" w:type="dxa"/>
            <w:gridSpan w:val="4"/>
            <w:noWrap w:val="0"/>
            <w:vAlign w:val="center"/>
          </w:tcPr>
          <w:p w14:paraId="23B6720F">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小计（A+B+C）</w:t>
            </w:r>
          </w:p>
        </w:tc>
        <w:tc>
          <w:tcPr>
            <w:tcW w:w="1826" w:type="dxa"/>
            <w:noWrap w:val="0"/>
            <w:vAlign w:val="center"/>
          </w:tcPr>
          <w:p w14:paraId="2B979F1C">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1430377.2</w:t>
            </w:r>
          </w:p>
        </w:tc>
      </w:tr>
      <w:tr w14:paraId="53CF0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812" w:type="dxa"/>
            <w:noWrap w:val="0"/>
            <w:vAlign w:val="center"/>
          </w:tcPr>
          <w:p w14:paraId="52A0AE75">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D</w:t>
            </w:r>
          </w:p>
        </w:tc>
        <w:tc>
          <w:tcPr>
            <w:tcW w:w="6336" w:type="dxa"/>
            <w:gridSpan w:val="4"/>
            <w:noWrap w:val="0"/>
            <w:vAlign w:val="center"/>
          </w:tcPr>
          <w:p w14:paraId="57373C27">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小规模纳税人税金=（A+B+C）*3.36%=（A+B+C）*0.0336</w:t>
            </w:r>
          </w:p>
        </w:tc>
        <w:tc>
          <w:tcPr>
            <w:tcW w:w="1826" w:type="dxa"/>
            <w:noWrap w:val="0"/>
            <w:vAlign w:val="center"/>
          </w:tcPr>
          <w:p w14:paraId="228CEEA6">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48060.67392</w:t>
            </w:r>
          </w:p>
        </w:tc>
      </w:tr>
      <w:tr w14:paraId="0E348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812" w:type="dxa"/>
            <w:noWrap w:val="0"/>
            <w:vAlign w:val="center"/>
          </w:tcPr>
          <w:p w14:paraId="105B5806">
            <w:pPr>
              <w:jc w:val="center"/>
              <w:rPr>
                <w:rFonts w:hint="eastAsia" w:ascii="宋体" w:hAnsi="宋体" w:eastAsia="宋体" w:cs="宋体"/>
                <w:i w:val="0"/>
                <w:iCs w:val="0"/>
                <w:color w:val="auto"/>
                <w:kern w:val="0"/>
                <w:sz w:val="24"/>
                <w:szCs w:val="24"/>
                <w:u w:val="none"/>
                <w:lang w:val="en-US" w:eastAsia="zh-CN" w:bidi="ar"/>
              </w:rPr>
            </w:pPr>
          </w:p>
        </w:tc>
        <w:tc>
          <w:tcPr>
            <w:tcW w:w="6336" w:type="dxa"/>
            <w:gridSpan w:val="4"/>
            <w:noWrap w:val="0"/>
            <w:vAlign w:val="center"/>
          </w:tcPr>
          <w:p w14:paraId="1690DE85">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总计（A+B+C+D）保留到小数点后两位</w:t>
            </w:r>
          </w:p>
        </w:tc>
        <w:tc>
          <w:tcPr>
            <w:tcW w:w="1826" w:type="dxa"/>
            <w:noWrap w:val="0"/>
            <w:vAlign w:val="center"/>
          </w:tcPr>
          <w:p w14:paraId="5BB3FCC5">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1478437.87</w:t>
            </w:r>
          </w:p>
        </w:tc>
      </w:tr>
    </w:tbl>
    <w:p w14:paraId="0FFC808D">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3"/>
        <w:rPr>
          <w:rFonts w:hint="eastAsia" w:ascii="宋体" w:hAnsi="宋体" w:eastAsia="宋体" w:cs="宋体"/>
          <w:bCs/>
          <w:color w:val="auto"/>
          <w:sz w:val="24"/>
        </w:rPr>
      </w:pPr>
    </w:p>
    <w:p w14:paraId="01870CF1">
      <w:pPr>
        <w:keepNext w:val="0"/>
        <w:keepLines w:val="0"/>
        <w:pageBreakBefore w:val="0"/>
        <w:widowControl w:val="0"/>
        <w:kinsoku/>
        <w:wordWrap/>
        <w:overflowPunct/>
        <w:topLinePunct w:val="0"/>
        <w:autoSpaceDE/>
        <w:autoSpaceDN/>
        <w:bidi w:val="0"/>
        <w:adjustRightInd/>
        <w:snapToGrid/>
        <w:spacing w:line="360" w:lineRule="auto"/>
        <w:ind w:firstLine="437"/>
        <w:jc w:val="left"/>
        <w:textAlignment w:val="auto"/>
        <w:outlineLvl w:val="3"/>
        <w:rPr>
          <w:rFonts w:hint="eastAsia" w:ascii="宋体" w:hAnsi="宋体" w:eastAsia="宋体" w:cs="宋体"/>
          <w:b/>
          <w:bCs w:val="0"/>
          <w:color w:val="auto"/>
          <w:sz w:val="24"/>
        </w:rPr>
      </w:pPr>
      <w:r>
        <w:rPr>
          <w:rFonts w:hint="eastAsia" w:ascii="宋体" w:hAnsi="宋体" w:eastAsia="宋体" w:cs="宋体"/>
          <w:b/>
          <w:bCs w:val="0"/>
          <w:color w:val="auto"/>
          <w:sz w:val="24"/>
        </w:rPr>
        <w:t>备注：如</w:t>
      </w:r>
      <w:r>
        <w:rPr>
          <w:rFonts w:hint="default" w:ascii="宋体" w:hAnsi="宋体" w:eastAsia="宋体" w:cs="宋体"/>
          <w:b/>
          <w:bCs w:val="0"/>
          <w:color w:val="auto"/>
          <w:sz w:val="24"/>
          <w:lang w:eastAsia="zh-CN"/>
        </w:rPr>
        <w:t>投标人</w:t>
      </w:r>
      <w:r>
        <w:rPr>
          <w:rFonts w:hint="eastAsia" w:ascii="宋体" w:hAnsi="宋体" w:eastAsia="宋体" w:cs="宋体"/>
          <w:b/>
          <w:bCs w:val="0"/>
          <w:color w:val="auto"/>
          <w:sz w:val="24"/>
        </w:rPr>
        <w:t>以小规模纳税人税金费率报价，</w:t>
      </w:r>
      <w:r>
        <w:rPr>
          <w:rFonts w:hint="eastAsia" w:ascii="宋体" w:hAnsi="宋体" w:eastAsia="宋体" w:cs="宋体"/>
          <w:b/>
          <w:bCs w:val="0"/>
          <w:color w:val="auto"/>
          <w:sz w:val="24"/>
          <w:lang w:eastAsia="zh-CN"/>
        </w:rPr>
        <w:t>投标文件</w:t>
      </w:r>
      <w:r>
        <w:rPr>
          <w:rFonts w:hint="eastAsia" w:ascii="宋体" w:hAnsi="宋体" w:eastAsia="宋体" w:cs="宋体"/>
          <w:b/>
          <w:bCs w:val="0"/>
          <w:color w:val="auto"/>
          <w:sz w:val="24"/>
        </w:rPr>
        <w:t>中须提供税务部门出具的小规模纳税人证明材料（如：企业税种核定材料等），否则将导致响应无效。</w:t>
      </w:r>
    </w:p>
    <w:p w14:paraId="7559A397">
      <w:pPr>
        <w:keepNext w:val="0"/>
        <w:keepLines w:val="0"/>
        <w:pageBreakBefore w:val="0"/>
        <w:widowControl w:val="0"/>
        <w:kinsoku/>
        <w:wordWrap/>
        <w:overflowPunct/>
        <w:topLinePunct w:val="0"/>
        <w:autoSpaceDE/>
        <w:autoSpaceDN/>
        <w:bidi w:val="0"/>
        <w:adjustRightInd/>
        <w:snapToGrid/>
        <w:spacing w:line="360" w:lineRule="auto"/>
        <w:ind w:firstLine="437"/>
        <w:jc w:val="left"/>
        <w:textAlignment w:val="auto"/>
        <w:outlineLvl w:val="3"/>
        <w:rPr>
          <w:rFonts w:hint="eastAsia" w:ascii="宋体" w:hAnsi="宋体" w:eastAsia="宋体" w:cs="宋体"/>
          <w:bCs/>
          <w:color w:val="auto"/>
          <w:sz w:val="24"/>
        </w:rPr>
      </w:pPr>
      <w:r>
        <w:rPr>
          <w:rFonts w:hint="eastAsia" w:ascii="宋体" w:hAnsi="宋体" w:eastAsia="宋体" w:cs="宋体"/>
          <w:bCs/>
          <w:color w:val="auto"/>
          <w:sz w:val="24"/>
        </w:rPr>
        <w:t>（4）请</w:t>
      </w:r>
      <w:r>
        <w:rPr>
          <w:rFonts w:hint="eastAsia" w:ascii="宋体" w:hAnsi="宋体" w:eastAsia="宋体" w:cs="宋体"/>
          <w:bCs/>
          <w:color w:val="auto"/>
          <w:sz w:val="24"/>
          <w:lang w:eastAsia="zh-CN"/>
        </w:rPr>
        <w:t>投标人</w:t>
      </w:r>
      <w:r>
        <w:rPr>
          <w:rFonts w:hint="eastAsia" w:ascii="宋体" w:hAnsi="宋体" w:eastAsia="宋体" w:cs="宋体"/>
          <w:bCs/>
          <w:color w:val="auto"/>
          <w:sz w:val="24"/>
        </w:rPr>
        <w:t>自行核算以上政策性费用，如</w:t>
      </w:r>
      <w:r>
        <w:rPr>
          <w:rFonts w:hint="eastAsia" w:ascii="宋体" w:hAnsi="宋体" w:eastAsia="宋体" w:cs="宋体"/>
          <w:bCs/>
          <w:color w:val="auto"/>
          <w:sz w:val="24"/>
          <w:lang w:eastAsia="zh-CN"/>
        </w:rPr>
        <w:t>供应商</w:t>
      </w:r>
      <w:r>
        <w:rPr>
          <w:rFonts w:hint="eastAsia" w:ascii="宋体" w:hAnsi="宋体" w:eastAsia="宋体" w:cs="宋体"/>
          <w:bCs/>
          <w:color w:val="auto"/>
          <w:sz w:val="24"/>
        </w:rPr>
        <w:t>对以上费用有疑问，请在本项目网上询问截止时间前提出。如无疑问，报价应不低于上述政策性费用价格，否则将导致响应无效。</w:t>
      </w:r>
    </w:p>
    <w:p w14:paraId="29EA4A5A">
      <w:pPr>
        <w:keepNext w:val="0"/>
        <w:keepLines w:val="0"/>
        <w:pageBreakBefore w:val="0"/>
        <w:widowControl w:val="0"/>
        <w:kinsoku/>
        <w:wordWrap/>
        <w:overflowPunct/>
        <w:topLinePunct w:val="0"/>
        <w:autoSpaceDE/>
        <w:autoSpaceDN/>
        <w:bidi w:val="0"/>
        <w:adjustRightInd/>
        <w:snapToGrid/>
        <w:spacing w:line="360" w:lineRule="auto"/>
        <w:ind w:firstLine="437"/>
        <w:jc w:val="left"/>
        <w:textAlignment w:val="auto"/>
        <w:outlineLvl w:val="3"/>
        <w:rPr>
          <w:rFonts w:hint="eastAsia" w:ascii="宋体" w:hAnsi="宋体" w:eastAsia="宋体" w:cs="宋体"/>
          <w:bCs/>
          <w:color w:val="auto"/>
          <w:sz w:val="24"/>
        </w:rPr>
      </w:pPr>
      <w:r>
        <w:rPr>
          <w:rFonts w:hint="eastAsia" w:ascii="宋体" w:hAnsi="宋体" w:eastAsia="宋体" w:cs="宋体"/>
          <w:bCs/>
          <w:color w:val="auto"/>
          <w:sz w:val="24"/>
        </w:rPr>
        <w:t>（5）政策性费用不接受赠送及优惠，其他费用作为可竞争性费用，由</w:t>
      </w:r>
      <w:r>
        <w:rPr>
          <w:rFonts w:hint="eastAsia" w:ascii="宋体" w:hAnsi="宋体" w:eastAsia="宋体" w:cs="宋体"/>
          <w:bCs/>
          <w:color w:val="auto"/>
          <w:sz w:val="24"/>
          <w:lang w:eastAsia="zh-CN"/>
        </w:rPr>
        <w:t>投标人</w:t>
      </w:r>
      <w:r>
        <w:rPr>
          <w:rFonts w:hint="eastAsia" w:ascii="宋体" w:hAnsi="宋体" w:eastAsia="宋体" w:cs="宋体"/>
          <w:bCs/>
          <w:color w:val="auto"/>
          <w:sz w:val="24"/>
        </w:rPr>
        <w:t>自行考虑报价。</w:t>
      </w:r>
    </w:p>
    <w:p w14:paraId="289F07D0">
      <w:pPr>
        <w:keepNext w:val="0"/>
        <w:keepLines w:val="0"/>
        <w:pageBreakBefore w:val="0"/>
        <w:widowControl w:val="0"/>
        <w:kinsoku/>
        <w:wordWrap/>
        <w:overflowPunct/>
        <w:topLinePunct w:val="0"/>
        <w:autoSpaceDE/>
        <w:autoSpaceDN/>
        <w:bidi w:val="0"/>
        <w:adjustRightInd/>
        <w:snapToGrid/>
        <w:spacing w:line="360" w:lineRule="auto"/>
        <w:ind w:firstLine="437"/>
        <w:jc w:val="left"/>
        <w:textAlignment w:val="auto"/>
        <w:outlineLvl w:val="3"/>
        <w:rPr>
          <w:rFonts w:hint="eastAsia" w:ascii="宋体" w:hAnsi="宋体" w:eastAsia="宋体" w:cs="宋体"/>
          <w:bCs/>
          <w:color w:val="auto"/>
          <w:sz w:val="24"/>
        </w:rPr>
      </w:pPr>
      <w:r>
        <w:rPr>
          <w:rFonts w:hint="eastAsia" w:ascii="宋体" w:hAnsi="宋体" w:eastAsia="宋体" w:cs="宋体"/>
          <w:bCs/>
          <w:color w:val="auto"/>
          <w:sz w:val="24"/>
        </w:rPr>
        <w:t>（6）</w:t>
      </w:r>
      <w:r>
        <w:rPr>
          <w:rFonts w:hint="eastAsia" w:ascii="宋体" w:hAnsi="宋体" w:eastAsia="宋体" w:cs="宋体"/>
          <w:bCs/>
          <w:color w:val="auto"/>
          <w:sz w:val="24"/>
          <w:lang w:eastAsia="zh-CN"/>
        </w:rPr>
        <w:t>投标人</w:t>
      </w:r>
      <w:r>
        <w:rPr>
          <w:rFonts w:hint="eastAsia" w:ascii="宋体" w:hAnsi="宋体" w:eastAsia="宋体" w:cs="宋体"/>
          <w:bCs/>
          <w:color w:val="auto"/>
          <w:sz w:val="24"/>
        </w:rPr>
        <w:t>自行踏勘服务现场，如</w:t>
      </w:r>
      <w:r>
        <w:rPr>
          <w:rFonts w:hint="eastAsia" w:ascii="宋体" w:hAnsi="宋体" w:eastAsia="宋体" w:cs="宋体"/>
          <w:bCs/>
          <w:color w:val="auto"/>
          <w:sz w:val="24"/>
          <w:lang w:eastAsia="zh-CN"/>
        </w:rPr>
        <w:t>投标人</w:t>
      </w:r>
      <w:r>
        <w:rPr>
          <w:rFonts w:hint="eastAsia" w:ascii="宋体" w:hAnsi="宋体" w:eastAsia="宋体" w:cs="宋体"/>
          <w:bCs/>
          <w:color w:val="auto"/>
          <w:sz w:val="24"/>
        </w:rPr>
        <w:t>因未及时踏勘现场而导致的报价缺项漏项或成交后无法兑现服务，</w:t>
      </w:r>
      <w:r>
        <w:rPr>
          <w:rFonts w:hint="eastAsia" w:ascii="宋体" w:hAnsi="宋体" w:eastAsia="宋体" w:cs="宋体"/>
          <w:bCs/>
          <w:color w:val="auto"/>
          <w:sz w:val="24"/>
          <w:lang w:eastAsia="zh-CN"/>
        </w:rPr>
        <w:t>投标人</w:t>
      </w:r>
      <w:r>
        <w:rPr>
          <w:rFonts w:hint="eastAsia" w:ascii="宋体" w:hAnsi="宋体" w:eastAsia="宋体" w:cs="宋体"/>
          <w:bCs/>
          <w:color w:val="auto"/>
          <w:sz w:val="24"/>
        </w:rPr>
        <w:t>自行承担一切后果。</w:t>
      </w:r>
    </w:p>
    <w:p w14:paraId="68C5DEE6">
      <w:pPr>
        <w:keepNext w:val="0"/>
        <w:keepLines w:val="0"/>
        <w:pageBreakBefore w:val="0"/>
        <w:widowControl w:val="0"/>
        <w:kinsoku/>
        <w:wordWrap/>
        <w:overflowPunct/>
        <w:topLinePunct w:val="0"/>
        <w:autoSpaceDE/>
        <w:autoSpaceDN/>
        <w:bidi w:val="0"/>
        <w:adjustRightInd/>
        <w:snapToGrid/>
        <w:spacing w:line="360" w:lineRule="auto"/>
        <w:ind w:firstLine="437"/>
        <w:jc w:val="left"/>
        <w:textAlignment w:val="auto"/>
        <w:outlineLvl w:val="3"/>
        <w:rPr>
          <w:rFonts w:hint="eastAsia" w:ascii="宋体" w:hAnsi="宋体" w:cs="宋体"/>
          <w:bCs/>
          <w:color w:val="auto"/>
          <w:sz w:val="24"/>
          <w:lang w:eastAsia="zh-CN"/>
        </w:rPr>
      </w:pPr>
      <w:r>
        <w:rPr>
          <w:rFonts w:hint="eastAsia" w:ascii="宋体" w:hAnsi="宋体" w:eastAsia="宋体" w:cs="宋体"/>
          <w:bCs/>
          <w:color w:val="auto"/>
          <w:sz w:val="24"/>
        </w:rPr>
        <w:t>（7）投标人应考虑合同期内政策性费用调整的风险。报价应考虑合肥市市区最低工资标准上调等风险，履约期限内不得以最低工资标准上调以及物价指数上涨等理由要求增加服务费用。</w:t>
      </w:r>
    </w:p>
    <w:p w14:paraId="21DF28B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rPr>
      </w:pPr>
      <w:r>
        <w:rPr>
          <w:rFonts w:hint="eastAsia" w:ascii="宋体" w:hAnsi="宋体" w:eastAsia="宋体" w:cs="宋体"/>
          <w:bCs/>
          <w:color w:val="auto"/>
          <w:sz w:val="24"/>
          <w:lang w:val="en-US" w:eastAsia="zh-CN"/>
        </w:rPr>
        <w:t>（8）</w:t>
      </w:r>
      <w:r>
        <w:rPr>
          <w:rFonts w:hint="eastAsia" w:ascii="宋体" w:hAnsi="宋体" w:eastAsia="宋体" w:cs="宋体"/>
          <w:bCs/>
          <w:color w:val="auto"/>
          <w:sz w:val="24"/>
        </w:rPr>
        <w:t>其他未尽事宜，按合肥市有关规定执行。</w:t>
      </w:r>
    </w:p>
    <w:p w14:paraId="3558BA5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.报价应遵循《中华人民共和国价格法》相关规定，真实、合理反映服务成本及市场行情，报价在合同履行过程中固定不变，不得以任何理由变更。任何包含价格调整要求的响应，其响应将被认定为无效。</w:t>
      </w:r>
    </w:p>
    <w:p w14:paraId="39ACD644">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.本项目物业服务包含了</w:t>
      </w:r>
      <w:r>
        <w:rPr>
          <w:rFonts w:hint="default" w:ascii="宋体" w:hAnsi="宋体" w:eastAsia="宋体" w:cs="宋体"/>
          <w:sz w:val="24"/>
          <w:szCs w:val="24"/>
        </w:rPr>
        <w:t>保洁物料及</w:t>
      </w:r>
      <w:r>
        <w:rPr>
          <w:rFonts w:hint="eastAsia" w:ascii="宋体" w:hAnsi="宋体" w:eastAsia="宋体" w:cs="宋体"/>
          <w:sz w:val="24"/>
          <w:szCs w:val="24"/>
        </w:rPr>
        <w:t>维修维保过程中</w:t>
      </w:r>
      <w:r>
        <w:rPr>
          <w:rFonts w:hint="default" w:ascii="宋体" w:hAnsi="宋体" w:eastAsia="宋体" w:cs="宋体"/>
          <w:sz w:val="24"/>
          <w:szCs w:val="24"/>
        </w:rPr>
        <w:t>5</w:t>
      </w:r>
      <w:r>
        <w:rPr>
          <w:rFonts w:hint="eastAsia" w:ascii="宋体" w:hAnsi="宋体" w:eastAsia="宋体" w:cs="宋体"/>
          <w:sz w:val="24"/>
          <w:szCs w:val="24"/>
        </w:rPr>
        <w:t>00元（</w:t>
      </w:r>
      <w:r>
        <w:rPr>
          <w:rFonts w:hint="default" w:ascii="宋体" w:hAnsi="宋体" w:eastAsia="宋体" w:cs="宋体"/>
          <w:sz w:val="24"/>
          <w:szCs w:val="24"/>
        </w:rPr>
        <w:t>单项</w:t>
      </w:r>
      <w:r>
        <w:rPr>
          <w:rFonts w:hint="eastAsia" w:ascii="宋体" w:hAnsi="宋体" w:eastAsia="宋体" w:cs="宋体"/>
          <w:sz w:val="24"/>
          <w:szCs w:val="24"/>
        </w:rPr>
        <w:t>）以内需要更换的零部件费用，原则上要求更换后的配件不低于原配件同等质量。根据采购内容和要求，报出总报价及每分项报价，总报价金额应为完成招标文件要求的物业管理内容所发生的一切总费用，其组成包括但不限于人员工资、福利、加班费、社会保险等；劳保用品、服装、各类作业工具费；零星维修材料费；消杀、除“四害”相关费用；绿化养护相关费用（包括各种药剂、肥料、工具等）；投入自有设备、车辆等运行、维护、保养费；营业利润、应缴的税费等所有费用。</w:t>
      </w:r>
    </w:p>
    <w:p w14:paraId="726FB14E">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default" w:ascii="宋体" w:hAnsi="宋体" w:eastAsia="宋体" w:cs="宋体"/>
          <w:sz w:val="24"/>
          <w:szCs w:val="24"/>
        </w:rPr>
        <w:t>.</w:t>
      </w:r>
      <w:r>
        <w:rPr>
          <w:rFonts w:hint="eastAsia" w:ascii="宋体" w:hAnsi="宋体" w:eastAsia="宋体" w:cs="宋体"/>
          <w:sz w:val="24"/>
          <w:szCs w:val="24"/>
        </w:rPr>
        <w:t>物资、设备、工器具配备要求</w:t>
      </w:r>
    </w:p>
    <w:p w14:paraId="183B258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 1 \* GB3 \* MERGEFORMAT </w:instrText>
      </w:r>
      <w:r>
        <w:rPr>
          <w:rFonts w:hint="eastAsia" w:ascii="宋体" w:hAnsi="宋体" w:eastAsia="宋体" w:cs="宋体"/>
          <w:sz w:val="24"/>
          <w:szCs w:val="24"/>
        </w:rPr>
        <w:fldChar w:fldCharType="separate"/>
      </w:r>
      <w:r>
        <w:t>①</w:t>
      </w:r>
      <w:r>
        <w:rPr>
          <w:rFonts w:hint="eastAsia" w:ascii="宋体" w:hAnsi="宋体" w:eastAsia="宋体" w:cs="宋体"/>
          <w:sz w:val="24"/>
          <w:szCs w:val="24"/>
        </w:rPr>
        <w:fldChar w:fldCharType="end"/>
      </w:r>
      <w:r>
        <w:rPr>
          <w:rFonts w:hint="eastAsia" w:ascii="宋体" w:hAnsi="宋体" w:eastAsia="宋体" w:cs="宋体"/>
          <w:sz w:val="24"/>
          <w:szCs w:val="24"/>
        </w:rPr>
        <w:t>物业人员使用的基本劳动工具，保洁工器具（拖把、扫把、毛巾、尘推等）；</w:t>
      </w:r>
    </w:p>
    <w:p w14:paraId="7450548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default"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 2 \* GB3 \* MERGEFORMAT </w:instrText>
      </w:r>
      <w:r>
        <w:rPr>
          <w:rFonts w:hint="eastAsia" w:ascii="宋体" w:hAnsi="宋体" w:eastAsia="宋体" w:cs="宋体"/>
          <w:sz w:val="24"/>
          <w:szCs w:val="24"/>
        </w:rPr>
        <w:fldChar w:fldCharType="separate"/>
      </w:r>
      <w:r>
        <w:t>②</w:t>
      </w:r>
      <w:r>
        <w:rPr>
          <w:rFonts w:hint="eastAsia" w:ascii="宋体" w:hAnsi="宋体" w:eastAsia="宋体" w:cs="宋体"/>
          <w:sz w:val="24"/>
          <w:szCs w:val="24"/>
        </w:rPr>
        <w:fldChar w:fldCharType="end"/>
      </w:r>
      <w:r>
        <w:rPr>
          <w:rFonts w:hint="eastAsia" w:ascii="宋体" w:hAnsi="宋体" w:eastAsia="宋体" w:cs="宋体"/>
          <w:sz w:val="24"/>
          <w:szCs w:val="24"/>
        </w:rPr>
        <w:t>防雨、除雪物资（如草垫、除雪剂等）由</w:t>
      </w:r>
      <w:r>
        <w:rPr>
          <w:rFonts w:hint="default" w:ascii="宋体" w:hAnsi="宋体" w:eastAsia="宋体" w:cs="宋体"/>
          <w:sz w:val="24"/>
          <w:szCs w:val="24"/>
        </w:rPr>
        <w:t>中标人</w:t>
      </w:r>
      <w:r>
        <w:rPr>
          <w:rFonts w:hint="eastAsia" w:ascii="宋体" w:hAnsi="宋体" w:eastAsia="宋体" w:cs="宋体"/>
          <w:sz w:val="24"/>
          <w:szCs w:val="24"/>
        </w:rPr>
        <w:t>自行提供</w:t>
      </w:r>
      <w:r>
        <w:rPr>
          <w:rFonts w:hint="default" w:ascii="宋体" w:hAnsi="宋体" w:eastAsia="宋体" w:cs="宋体"/>
          <w:sz w:val="24"/>
          <w:szCs w:val="24"/>
        </w:rPr>
        <w:t>；</w:t>
      </w:r>
    </w:p>
    <w:p w14:paraId="301C70D6">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 3 \* GB3 \* MERGEFORMAT </w:instrText>
      </w:r>
      <w:r>
        <w:rPr>
          <w:rFonts w:hint="eastAsia" w:ascii="宋体" w:hAnsi="宋体" w:eastAsia="宋体" w:cs="宋体"/>
          <w:sz w:val="24"/>
          <w:szCs w:val="24"/>
        </w:rPr>
        <w:fldChar w:fldCharType="separate"/>
      </w:r>
      <w:r>
        <w:t>③</w:t>
      </w:r>
      <w:r>
        <w:rPr>
          <w:rFonts w:hint="eastAsia" w:ascii="宋体" w:hAnsi="宋体" w:eastAsia="宋体" w:cs="宋体"/>
          <w:sz w:val="24"/>
          <w:szCs w:val="24"/>
        </w:rPr>
        <w:fldChar w:fldCharType="end"/>
      </w:r>
      <w:r>
        <w:rPr>
          <w:rFonts w:hint="eastAsia" w:ascii="宋体" w:hAnsi="宋体" w:eastAsia="宋体" w:cs="宋体"/>
          <w:sz w:val="24"/>
          <w:szCs w:val="24"/>
        </w:rPr>
        <w:t>物业管理区域内工程维修所需的</w:t>
      </w:r>
      <w:r>
        <w:rPr>
          <w:rFonts w:hint="default" w:ascii="宋体" w:hAnsi="宋体" w:eastAsia="宋体" w:cs="宋体"/>
          <w:sz w:val="24"/>
          <w:szCs w:val="24"/>
        </w:rPr>
        <w:t>工器具</w:t>
      </w:r>
      <w:r>
        <w:rPr>
          <w:rFonts w:hint="eastAsia" w:ascii="宋体" w:hAnsi="宋体" w:eastAsia="宋体" w:cs="宋体"/>
          <w:sz w:val="24"/>
          <w:szCs w:val="24"/>
        </w:rPr>
        <w:t>等由</w:t>
      </w:r>
      <w:r>
        <w:rPr>
          <w:rFonts w:hint="default" w:ascii="宋体" w:hAnsi="宋体" w:eastAsia="宋体" w:cs="宋体"/>
          <w:sz w:val="24"/>
          <w:szCs w:val="24"/>
        </w:rPr>
        <w:t>中标人</w:t>
      </w:r>
      <w:r>
        <w:rPr>
          <w:rFonts w:hint="eastAsia" w:ascii="宋体" w:hAnsi="宋体" w:eastAsia="宋体" w:cs="宋体"/>
          <w:sz w:val="24"/>
          <w:szCs w:val="24"/>
        </w:rPr>
        <w:t>自行提供。</w:t>
      </w:r>
    </w:p>
    <w:p w14:paraId="668C037F">
      <w:pPr>
        <w:keepNext w:val="0"/>
        <w:keepLines w:val="0"/>
        <w:pageBreakBefore w:val="0"/>
        <w:widowControl w:val="0"/>
        <w:kinsoku/>
        <w:wordWrap/>
        <w:overflowPunct/>
        <w:topLinePunct w:val="0"/>
        <w:autoSpaceDE/>
        <w:autoSpaceDN/>
        <w:bidi w:val="0"/>
        <w:adjustRightInd/>
        <w:snapToGrid/>
        <w:spacing w:line="360" w:lineRule="auto"/>
        <w:contextualSpacing/>
        <w:textAlignment w:val="auto"/>
        <w:rPr>
          <w:rFonts w:hint="eastAsia" w:ascii="宋体" w:hAnsi="宋体" w:eastAsia="宋体" w:cs="宋体"/>
          <w:sz w:val="24"/>
          <w:szCs w:val="24"/>
        </w:rPr>
      </w:pPr>
      <w:r>
        <w:rPr>
          <w:rFonts w:hint="default" w:ascii="宋体" w:hAnsi="宋体" w:eastAsia="宋体" w:cs="宋体"/>
          <w:b/>
          <w:bCs/>
          <w:sz w:val="24"/>
          <w:szCs w:val="24"/>
        </w:rPr>
        <w:t>三</w:t>
      </w:r>
      <w:r>
        <w:rPr>
          <w:rFonts w:hint="eastAsia" w:ascii="宋体" w:hAnsi="宋体" w:eastAsia="宋体" w:cs="宋体"/>
          <w:b/>
          <w:bCs/>
          <w:sz w:val="24"/>
          <w:szCs w:val="24"/>
        </w:rPr>
        <w:t>、考核办法</w:t>
      </w:r>
    </w:p>
    <w:p w14:paraId="2FDC70B6">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sz w:val="24"/>
          <w:szCs w:val="24"/>
        </w:rPr>
      </w:pPr>
      <w:r>
        <w:rPr>
          <w:rFonts w:hint="eastAsia" w:ascii="宋体" w:hAnsi="宋体" w:eastAsia="宋体" w:cs="宋体"/>
          <w:sz w:val="24"/>
          <w:szCs w:val="24"/>
        </w:rPr>
        <w:t xml:space="preserve">物业管理考核措施： </w:t>
      </w:r>
    </w:p>
    <w:p w14:paraId="57AAC883">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sz w:val="24"/>
          <w:szCs w:val="24"/>
        </w:rPr>
      </w:pPr>
      <w:r>
        <w:rPr>
          <w:rFonts w:hint="eastAsia" w:ascii="宋体" w:hAnsi="宋体" w:eastAsia="宋体" w:cs="宋体"/>
          <w:sz w:val="24"/>
          <w:szCs w:val="24"/>
        </w:rPr>
        <w:t>1.采购人对</w:t>
      </w:r>
      <w:r>
        <w:rPr>
          <w:rFonts w:hint="default" w:ascii="宋体" w:hAnsi="宋体" w:eastAsia="宋体" w:cs="宋体"/>
          <w:sz w:val="24"/>
          <w:szCs w:val="24"/>
        </w:rPr>
        <w:t>中标人</w:t>
      </w:r>
      <w:r>
        <w:rPr>
          <w:rFonts w:hint="eastAsia" w:ascii="宋体" w:hAnsi="宋体" w:eastAsia="宋体" w:cs="宋体"/>
          <w:sz w:val="24"/>
          <w:szCs w:val="24"/>
        </w:rPr>
        <w:t>进行季度考核，由采购人管理部门牵头，对</w:t>
      </w:r>
      <w:r>
        <w:rPr>
          <w:rFonts w:hint="default" w:ascii="宋体" w:hAnsi="宋体" w:eastAsia="宋体" w:cs="宋体"/>
          <w:sz w:val="24"/>
          <w:szCs w:val="24"/>
        </w:rPr>
        <w:t>中标人</w:t>
      </w:r>
      <w:r>
        <w:rPr>
          <w:rFonts w:hint="eastAsia" w:ascii="宋体" w:hAnsi="宋体" w:eastAsia="宋体" w:cs="宋体"/>
          <w:sz w:val="24"/>
          <w:szCs w:val="24"/>
        </w:rPr>
        <w:t>工作的满意度进行民主测评。中标价的</w:t>
      </w:r>
      <w:r>
        <w:rPr>
          <w:rFonts w:hint="eastAsia" w:ascii="宋体" w:hAnsi="宋体" w:eastAsia="宋体" w:cs="宋体"/>
          <w:sz w:val="24"/>
          <w:szCs w:val="24"/>
          <w:lang w:val="en-US" w:eastAsia="zh-CN"/>
        </w:rPr>
        <w:t>2</w:t>
      </w:r>
      <w:r>
        <w:rPr>
          <w:rFonts w:hint="eastAsia" w:ascii="宋体" w:hAnsi="宋体" w:eastAsia="宋体" w:cs="宋体"/>
          <w:sz w:val="24"/>
          <w:szCs w:val="24"/>
        </w:rPr>
        <w:t>%作为履约保证金，针对投诉，经查证属实，一次从</w:t>
      </w:r>
      <w:bookmarkStart w:id="9" w:name="OLE_LINK3"/>
      <w:r>
        <w:rPr>
          <w:rFonts w:hint="eastAsia" w:ascii="宋体" w:hAnsi="宋体" w:eastAsia="宋体" w:cs="宋体"/>
          <w:sz w:val="24"/>
          <w:szCs w:val="24"/>
        </w:rPr>
        <w:t>履约保证金</w:t>
      </w:r>
      <w:bookmarkEnd w:id="9"/>
      <w:r>
        <w:rPr>
          <w:rFonts w:hint="eastAsia" w:ascii="宋体" w:hAnsi="宋体" w:eastAsia="宋体" w:cs="宋体"/>
          <w:sz w:val="24"/>
          <w:szCs w:val="24"/>
        </w:rPr>
        <w:t>内扣除500元，扣完后须及时补充。</w:t>
      </w:r>
    </w:p>
    <w:p w14:paraId="233754A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sz w:val="24"/>
          <w:szCs w:val="24"/>
        </w:rPr>
      </w:pPr>
      <w:r>
        <w:rPr>
          <w:rFonts w:hint="eastAsia" w:ascii="宋体" w:hAnsi="宋体" w:eastAsia="宋体" w:cs="宋体"/>
          <w:sz w:val="24"/>
          <w:szCs w:val="24"/>
        </w:rPr>
        <w:t>2.法律政策和物业服务合同中规定的其他事项。</w:t>
      </w:r>
    </w:p>
    <w:p w14:paraId="264B6E54">
      <w:pPr>
        <w:keepNext w:val="0"/>
        <w:keepLines w:val="0"/>
        <w:pageBreakBefore w:val="0"/>
        <w:widowControl w:val="0"/>
        <w:kinsoku/>
        <w:wordWrap/>
        <w:overflowPunct/>
        <w:topLinePunct w:val="0"/>
        <w:autoSpaceDE/>
        <w:autoSpaceDN/>
        <w:bidi w:val="0"/>
        <w:adjustRightInd/>
        <w:snapToGrid/>
        <w:spacing w:line="360" w:lineRule="auto"/>
        <w:ind w:firstLine="120" w:firstLineChars="50"/>
        <w:contextualSpacing/>
        <w:textAlignment w:val="auto"/>
        <w:rPr>
          <w:rFonts w:hint="eastAsia" w:ascii="宋体" w:hAnsi="宋体" w:eastAsia="宋体" w:cs="宋体"/>
          <w:bCs/>
          <w:sz w:val="24"/>
        </w:rPr>
      </w:pPr>
      <w:r>
        <w:rPr>
          <w:rFonts w:hint="eastAsia" w:ascii="宋体" w:hAnsi="宋体" w:eastAsia="宋体" w:cs="宋体"/>
          <w:bCs/>
          <w:sz w:val="24"/>
        </w:rPr>
        <w:t>2、业务管理要求</w:t>
      </w:r>
    </w:p>
    <w:p w14:paraId="4BAF7CC2">
      <w:pPr>
        <w:keepNext w:val="0"/>
        <w:keepLines w:val="0"/>
        <w:pageBreakBefore w:val="0"/>
        <w:widowControl w:val="0"/>
        <w:kinsoku/>
        <w:wordWrap/>
        <w:overflowPunct/>
        <w:topLinePunct w:val="0"/>
        <w:autoSpaceDE/>
        <w:autoSpaceDN/>
        <w:bidi w:val="0"/>
        <w:adjustRightInd/>
        <w:snapToGrid/>
        <w:spacing w:line="360" w:lineRule="auto"/>
        <w:ind w:firstLine="437"/>
        <w:jc w:val="left"/>
        <w:textAlignment w:val="auto"/>
        <w:outlineLvl w:val="3"/>
        <w:rPr>
          <w:rFonts w:hint="eastAsia" w:ascii="宋体" w:hAnsi="宋体" w:eastAsia="宋体" w:cs="宋体"/>
          <w:bCs/>
          <w:sz w:val="24"/>
        </w:rPr>
      </w:pPr>
      <w:r>
        <w:rPr>
          <w:rFonts w:hint="eastAsia" w:ascii="宋体" w:hAnsi="宋体" w:eastAsia="宋体" w:cs="宋体"/>
          <w:bCs/>
          <w:sz w:val="24"/>
        </w:rPr>
        <w:t>（1）</w:t>
      </w:r>
      <w:r>
        <w:rPr>
          <w:rFonts w:hint="default" w:ascii="宋体" w:hAnsi="宋体" w:eastAsia="宋体" w:cs="宋体"/>
          <w:bCs/>
          <w:sz w:val="24"/>
          <w:lang w:eastAsia="zh-CN"/>
        </w:rPr>
        <w:t>中标人</w:t>
      </w:r>
      <w:r>
        <w:rPr>
          <w:rFonts w:hint="eastAsia" w:ascii="宋体" w:hAnsi="宋体" w:eastAsia="宋体" w:cs="宋体"/>
          <w:bCs/>
          <w:sz w:val="24"/>
        </w:rPr>
        <w:t>派驻的所有服务人员应聘、录用、离职等档案规范，并报采购人一份存档。</w:t>
      </w:r>
    </w:p>
    <w:p w14:paraId="39FC4A11">
      <w:pPr>
        <w:keepNext w:val="0"/>
        <w:keepLines w:val="0"/>
        <w:pageBreakBefore w:val="0"/>
        <w:widowControl w:val="0"/>
        <w:kinsoku/>
        <w:wordWrap/>
        <w:overflowPunct/>
        <w:topLinePunct w:val="0"/>
        <w:autoSpaceDE/>
        <w:autoSpaceDN/>
        <w:bidi w:val="0"/>
        <w:adjustRightInd/>
        <w:snapToGrid/>
        <w:spacing w:line="360" w:lineRule="auto"/>
        <w:ind w:firstLine="437"/>
        <w:jc w:val="left"/>
        <w:textAlignment w:val="auto"/>
        <w:outlineLvl w:val="3"/>
        <w:rPr>
          <w:rFonts w:hint="eastAsia" w:ascii="宋体" w:hAnsi="宋体" w:eastAsia="宋体" w:cs="宋体"/>
          <w:bCs/>
          <w:sz w:val="24"/>
        </w:rPr>
      </w:pPr>
      <w:r>
        <w:rPr>
          <w:rFonts w:hint="eastAsia" w:ascii="宋体" w:hAnsi="宋体" w:eastAsia="宋体" w:cs="宋体"/>
          <w:bCs/>
          <w:sz w:val="24"/>
        </w:rPr>
        <w:t>（2）保持队伍的稳定，严格控制人员轮换岗比例，如有必要需更换人员的，应提前向采购人报备</w:t>
      </w:r>
      <w:r>
        <w:rPr>
          <w:rFonts w:hint="eastAsia" w:ascii="宋体" w:hAnsi="宋体" w:cs="宋体"/>
          <w:bCs/>
          <w:sz w:val="24"/>
          <w:lang w:eastAsia="zh-CN"/>
        </w:rPr>
        <w:t>，经</w:t>
      </w:r>
      <w:r>
        <w:rPr>
          <w:rFonts w:hint="eastAsia" w:ascii="宋体" w:hAnsi="宋体" w:eastAsia="宋体" w:cs="宋体"/>
          <w:bCs/>
          <w:sz w:val="24"/>
        </w:rPr>
        <w:t>批准后方可更换，确保服务质量不受影响。</w:t>
      </w:r>
    </w:p>
    <w:p w14:paraId="76C3FF82">
      <w:pPr>
        <w:keepNext w:val="0"/>
        <w:keepLines w:val="0"/>
        <w:pageBreakBefore w:val="0"/>
        <w:widowControl w:val="0"/>
        <w:kinsoku/>
        <w:wordWrap/>
        <w:overflowPunct/>
        <w:topLinePunct w:val="0"/>
        <w:autoSpaceDE/>
        <w:autoSpaceDN/>
        <w:bidi w:val="0"/>
        <w:adjustRightInd/>
        <w:snapToGrid/>
        <w:spacing w:line="360" w:lineRule="auto"/>
        <w:ind w:firstLine="437"/>
        <w:jc w:val="left"/>
        <w:textAlignment w:val="auto"/>
        <w:outlineLvl w:val="3"/>
        <w:rPr>
          <w:rFonts w:hint="eastAsia" w:ascii="宋体" w:hAnsi="宋体" w:eastAsia="宋体" w:cs="宋体"/>
          <w:bCs/>
          <w:sz w:val="24"/>
        </w:rPr>
      </w:pPr>
      <w:r>
        <w:rPr>
          <w:rFonts w:hint="eastAsia" w:ascii="宋体" w:hAnsi="宋体" w:eastAsia="宋体" w:cs="宋体"/>
          <w:bCs/>
          <w:sz w:val="24"/>
        </w:rPr>
        <w:t>（3）</w:t>
      </w:r>
      <w:r>
        <w:rPr>
          <w:rFonts w:hint="default" w:ascii="宋体" w:hAnsi="宋体" w:eastAsia="宋体" w:cs="宋体"/>
          <w:bCs/>
          <w:sz w:val="24"/>
          <w:lang w:eastAsia="zh-CN"/>
        </w:rPr>
        <w:t>中标人</w:t>
      </w:r>
      <w:r>
        <w:rPr>
          <w:rFonts w:hint="eastAsia" w:ascii="宋体" w:hAnsi="宋体" w:eastAsia="宋体" w:cs="宋体"/>
          <w:bCs/>
          <w:sz w:val="24"/>
        </w:rPr>
        <w:t>在组织、安排服务人员工作时，应符合国家相关法规，维护其正当权益。</w:t>
      </w:r>
      <w:r>
        <w:rPr>
          <w:rFonts w:hint="default" w:ascii="宋体" w:hAnsi="宋体" w:eastAsia="宋体" w:cs="宋体"/>
          <w:bCs/>
          <w:sz w:val="24"/>
          <w:lang w:eastAsia="zh-CN"/>
        </w:rPr>
        <w:t>中标人</w:t>
      </w:r>
      <w:r>
        <w:rPr>
          <w:rFonts w:hint="eastAsia" w:ascii="宋体" w:hAnsi="宋体" w:eastAsia="宋体" w:cs="宋体"/>
          <w:bCs/>
          <w:sz w:val="24"/>
        </w:rPr>
        <w:t>对其用工行为承担一切法律责任。</w:t>
      </w:r>
    </w:p>
    <w:p w14:paraId="2495A08A">
      <w:pPr>
        <w:keepNext w:val="0"/>
        <w:keepLines w:val="0"/>
        <w:pageBreakBefore w:val="0"/>
        <w:widowControl w:val="0"/>
        <w:kinsoku/>
        <w:wordWrap/>
        <w:overflowPunct/>
        <w:topLinePunct w:val="0"/>
        <w:autoSpaceDE/>
        <w:autoSpaceDN/>
        <w:bidi w:val="0"/>
        <w:adjustRightInd/>
        <w:snapToGrid/>
        <w:spacing w:line="360" w:lineRule="auto"/>
        <w:ind w:firstLine="437"/>
        <w:jc w:val="left"/>
        <w:textAlignment w:val="auto"/>
        <w:outlineLvl w:val="3"/>
        <w:rPr>
          <w:rFonts w:hint="eastAsia" w:ascii="宋体" w:hAnsi="宋体" w:eastAsia="宋体" w:cs="宋体"/>
          <w:bCs/>
          <w:color w:val="auto"/>
          <w:sz w:val="24"/>
        </w:rPr>
      </w:pPr>
      <w:r>
        <w:rPr>
          <w:rFonts w:hint="eastAsia" w:ascii="宋体" w:hAnsi="宋体" w:eastAsia="宋体" w:cs="宋体"/>
          <w:bCs/>
          <w:color w:val="auto"/>
          <w:sz w:val="24"/>
        </w:rPr>
        <w:t>3、</w:t>
      </w:r>
      <w:r>
        <w:rPr>
          <w:rFonts w:hint="default" w:ascii="宋体" w:hAnsi="宋体" w:eastAsia="宋体" w:cs="宋体"/>
          <w:bCs/>
          <w:color w:val="auto"/>
          <w:sz w:val="24"/>
          <w:lang w:eastAsia="zh-CN"/>
        </w:rPr>
        <w:t>中标人</w:t>
      </w:r>
      <w:r>
        <w:rPr>
          <w:rFonts w:hint="eastAsia" w:ascii="宋体" w:hAnsi="宋体" w:eastAsia="宋体" w:cs="宋体"/>
          <w:bCs/>
          <w:color w:val="auto"/>
          <w:sz w:val="24"/>
        </w:rPr>
        <w:t>应考虑合同期内政策性费用调整的风险，履约期内不得以最低工资标准上调等理由要求增加物业管理费用。</w:t>
      </w:r>
    </w:p>
    <w:p w14:paraId="03E9D3D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 xml:space="preserve">4、产学研综合楼物业服务项目年度考核细则： </w:t>
      </w:r>
    </w:p>
    <w:p w14:paraId="2E9F232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一、总则</w:t>
      </w:r>
    </w:p>
    <w:p w14:paraId="603A93F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 xml:space="preserve">1.1 考核目的 </w:t>
      </w:r>
    </w:p>
    <w:p w14:paraId="2A4C83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 xml:space="preserve">为规范产学研综合楼物业服务管理工作，量化物业服务质量标准，强化物业服务企业履约意识，建立常态化、标准化、可量化的物业服务考核机制，保障楼宇安全稳定运行、环境卫生整洁、设施设备完好、服务响应高效有序，结合本项目招标文件、合同约定及高校楼宇管理实际，制定本年度考核细则。 </w:t>
      </w:r>
    </w:p>
    <w:p w14:paraId="39C366C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1.2 考核适用范围</w:t>
      </w:r>
    </w:p>
    <w:p w14:paraId="4B409A3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 xml:space="preserve">本细则适用于产学研综合楼物业服务中标服务商全年度日常服务履约考核，考核结果作为年度履约评价、服务费支付、合同续签、履约整改、末位处置的唯一正式依据。 </w:t>
      </w:r>
    </w:p>
    <w:p w14:paraId="7BCFB01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1.3 考核周期与方式</w:t>
      </w:r>
    </w:p>
    <w:p w14:paraId="31FA358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1. 考核周期：自然年度服务周期（每年9月1日至次年8月31日）。</w:t>
      </w:r>
    </w:p>
    <w:p w14:paraId="4D8B4FF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2. 考核方式：日常抽查、月度检查、季度考评、年终综合汇总相结合。</w:t>
      </w:r>
    </w:p>
    <w:p w14:paraId="685F717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3. 考核主体：合肥工业大学资产经营有限公司物业主管部门。</w:t>
      </w:r>
    </w:p>
    <w:p w14:paraId="72B02F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4. 考核结果直接作为合同是否续签的法定依据。</w:t>
      </w:r>
    </w:p>
    <w:p w14:paraId="02B8AFB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1.4 考核分值与等级设定</w:t>
      </w:r>
    </w:p>
    <w:p w14:paraId="65EA828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总分100分，另设加减分项、一票否决项。</w:t>
      </w:r>
    </w:p>
    <w:p w14:paraId="7F38DDC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1. 优秀：90分及以上</w:t>
      </w:r>
    </w:p>
    <w:p w14:paraId="07EE3A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2. 合格：80分（含）—89分（续签最低合格分数线）</w:t>
      </w:r>
    </w:p>
    <w:p w14:paraId="728E93A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3. 基本合格：70分（含）—79分（限期整改，暂缓续签）</w:t>
      </w:r>
    </w:p>
    <w:p w14:paraId="0292CD2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4. 不合格：70分以下（不予续签，合同到期终止）</w:t>
      </w:r>
    </w:p>
    <w:p w14:paraId="6111559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1.5 续签硬性标准（写入合同依据）</w:t>
      </w:r>
    </w:p>
    <w:p w14:paraId="2BE8F59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 xml:space="preserve"> 年度综合考核≥80分、无一票否决情形、无重大安全事故、无重大有效投诉、全员履约到位，视为年度考核合格，具备续签资格；未达到上述标准，采购人不予续签。</w:t>
      </w:r>
    </w:p>
    <w:p w14:paraId="483E5E0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二、考核内容及评分标准（100分）</w:t>
      </w:r>
    </w:p>
    <w:p w14:paraId="2051C48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（一）项目人员管理（20分）</w:t>
      </w:r>
    </w:p>
    <w:p w14:paraId="46D828F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1. 人员配置到位（8分）</w:t>
      </w:r>
    </w:p>
    <w:p w14:paraId="24DACF0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严格按照招标文件、投标承诺、合同约定足额配置保安、保洁、工程维修、管理人员等岗位人员，人员到岗率100%。人员缺岗、空岗、擅自减员的，每次扣2分，扣完为止。</w:t>
      </w:r>
    </w:p>
    <w:p w14:paraId="4D84827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2. 人员资质合规（6分）</w:t>
      </w:r>
    </w:p>
    <w:p w14:paraId="4A94F9E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消防中控员、电工等特种岗位持证上岗，证书有效、可查、在有效期内；所有人员无违法犯罪记录、身体健康、符合岗位年龄要求。无证上岗、证件过期、人员资质不符每人次扣3分。</w:t>
      </w:r>
    </w:p>
    <w:p w14:paraId="425822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3. 人员稳定与报备管理（6分）</w:t>
      </w:r>
    </w:p>
    <w:p w14:paraId="3DD0A5E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更换项目经理、骨干岗位提前书面报备采购人；人员轮岗、更换按规定流程报批，年度人员异动率控制在合理范围。未经报备擅自更换关键岗位，每次扣3分。</w:t>
      </w:r>
    </w:p>
    <w:p w14:paraId="27C9F31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（二）安保秩序管理（25分）</w:t>
      </w:r>
    </w:p>
    <w:p w14:paraId="3FB2ACE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1. 门禁与出入管理（6分）</w:t>
      </w:r>
    </w:p>
    <w:p w14:paraId="08A5705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严格落实人员、车辆、物资进出登记制度；外来人员实名登记、访客管理规范；道闸、门禁系统操作规范。发现脱岗、无人值守、随意放行每次扣1–3分。</w:t>
      </w:r>
    </w:p>
    <w:p w14:paraId="270CA05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2. 楼宇巡逻防控（6分）</w:t>
      </w:r>
    </w:p>
    <w:p w14:paraId="38FF777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实行24小时值班值守、定时巡逻、夜间加密巡逻；巡逻台账完整、轨迹真实、记录规范。漏巡、少巡、台账造假每次扣2分。</w:t>
      </w:r>
    </w:p>
    <w:p w14:paraId="02A9F6F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3. 治安与应急处置（6分）</w:t>
      </w:r>
    </w:p>
    <w:p w14:paraId="7FDB6E4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能够妥善处置人员纠纷、车辆乱象、突发状况；具备基础反恐、维稳、防盗处置能力。处置不及时、推诿不作为每次扣2–5分。</w:t>
      </w:r>
    </w:p>
    <w:p w14:paraId="4800300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4. 值班纪律与仪容规范（7分）</w:t>
      </w:r>
    </w:p>
    <w:p w14:paraId="5E03A1C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安保人员统一着装、仪容整洁、文明执勤；无睡岗、脱岗、闲聊、玩手机、酒后上岗等违规行为。发现违规一次扣2分，情节严重一次扣5分。</w:t>
      </w:r>
    </w:p>
    <w:p w14:paraId="3EE296A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（三）环境卫生保洁服务（25分）</w:t>
      </w:r>
    </w:p>
    <w:p w14:paraId="59C15B5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 xml:space="preserve"> 1. 公共区域保洁质量（8分）</w:t>
      </w:r>
    </w:p>
    <w:p w14:paraId="639F19C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大厅、走廊、楼梯、过道、窗台、公共玻璃每日保洁，无积灰、无污渍、无杂物、无蛛网。检查发现脏乱差一处扣1分。</w:t>
      </w:r>
    </w:p>
    <w:p w14:paraId="4B25506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2. 公共卫生间管理（7分）</w:t>
      </w:r>
    </w:p>
    <w:p w14:paraId="061E22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卫生间定时清扫、消杀、通风；无异味、无积水、无污渍、无堆积垃圾；耗材及时补充。卫生不达标每次扣1–3分。</w:t>
      </w:r>
    </w:p>
    <w:p w14:paraId="7200FCE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3. 垃圾清运与环境维护（5分）</w:t>
      </w:r>
    </w:p>
    <w:p w14:paraId="35342C2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垃圾分类堆放、日产日清；垃圾桶干净整洁、无满溢、无异味、无渗漏。清运不及时、堆放混乱每次扣2分。</w:t>
      </w:r>
    </w:p>
    <w:p w14:paraId="658A53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4. 专项保洁与常态化维护（5分）</w:t>
      </w:r>
    </w:p>
    <w:p w14:paraId="7581ADD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电梯、消防设施、公共扶手、外立面可视区域定期清洁；雨天、节假日及时开展专项保洁。落实不到位每次扣1–2分。</w:t>
      </w:r>
    </w:p>
    <w:p w14:paraId="042A64F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 xml:space="preserve"> （四）工程运维与设施设备管理（20分）</w:t>
      </w:r>
    </w:p>
    <w:p w14:paraId="09B405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1. 日常巡检管理（6分）</w:t>
      </w:r>
    </w:p>
    <w:p w14:paraId="470A549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对给排水、强弱电、照明、消防、电梯附属设施、公共配套设施每日巡检，台账完整、真实、可追溯。缺检、漏检、无台账每次扣2分。</w:t>
      </w:r>
    </w:p>
    <w:p w14:paraId="6402FAF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2. 维修响应与处置时效（7分）</w:t>
      </w:r>
    </w:p>
    <w:p w14:paraId="3F6FC51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一般性报修24小时内处置完毕；紧急故障立即到场处置；维修完工场地清理复原。响应滞后、拖延维修、重复故障未根治每次扣2–4分。</w:t>
      </w:r>
    </w:p>
    <w:p w14:paraId="635185D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3. 设施设备养护与安全管理（7分）</w:t>
      </w:r>
    </w:p>
    <w:p w14:paraId="2D7FE86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设备定期保养、隐患排查到位；无私拉乱接、线路老化、漏水渗水、设备带病运行等问题。存在安全隐患未整改每项扣3分。</w:t>
      </w:r>
    </w:p>
    <w:p w14:paraId="5B9581C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（五）服务态度、台账资料与综合管理（10分）</w:t>
      </w:r>
    </w:p>
    <w:p w14:paraId="7BA81FE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1. 服务规范、文明服务（4分）</w:t>
      </w:r>
    </w:p>
    <w:p w14:paraId="328D38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对待师生、入驻人员、来访人员态度端正，无争执、无推诿、无态度恶劣投诉。有效投诉每次扣2分。</w:t>
      </w:r>
    </w:p>
    <w:p w14:paraId="0232527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2. 台账资料标准化（3分）</w:t>
      </w:r>
    </w:p>
    <w:p w14:paraId="336471F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安保台账、巡检台账、维修台账、保洁记录、培训记录、值班记录齐全规范。资料缺失、混乱、造假每次扣1分。</w:t>
      </w:r>
    </w:p>
    <w:p w14:paraId="7EA83A1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3. 配合管理与执行力（3分）</w:t>
      </w:r>
    </w:p>
    <w:p w14:paraId="02D3135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积极配合采购人日常管理、专项检查、迎检、整改、临时任务；服从统一调度。拒不配合、消极应付每次扣1–3分。</w:t>
      </w:r>
    </w:p>
    <w:p w14:paraId="3410ACD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 xml:space="preserve"> 三、加分项（累计最高+5分）</w:t>
      </w:r>
    </w:p>
    <w:p w14:paraId="56D50D9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1. 主动发现并消除重大安全隐患，每次加1–2分。</w:t>
      </w:r>
    </w:p>
    <w:p w14:paraId="771CE1E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2. 获得业主书面表扬、主管部门通报表扬，每次加1分。</w:t>
      </w:r>
    </w:p>
    <w:p w14:paraId="0263BC5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3. 配合完成重大活动保障、专项整治工作成效突出，每次加1分。</w:t>
      </w:r>
    </w:p>
    <w:p w14:paraId="554E77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四、一票否决项（年度直接不合格、不予续签）</w:t>
      </w:r>
    </w:p>
    <w:p w14:paraId="79A806E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出现以下任意一项，年度考核直接判定不合格，不予续签合同：</w:t>
      </w:r>
    </w:p>
    <w:p w14:paraId="47EC7F2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1. 服务期内发生一般及以上安全生产责任事故、消防事故、治安责任事故；</w:t>
      </w:r>
    </w:p>
    <w:p w14:paraId="41020C6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2. 发生群体性、持续性、造成恶劣影响的重大有效投诉且整改无效；</w:t>
      </w:r>
    </w:p>
    <w:p w14:paraId="24E153D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3. 擅自转包、分包本项目物业服务工作；</w:t>
      </w:r>
    </w:p>
    <w:p w14:paraId="670EE1F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4. 关键岗位长期空岗、人员严重缺编且拒不整改；</w:t>
      </w:r>
    </w:p>
    <w:p w14:paraId="755B0BB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5. 台账大面积造假、恶意瞒报安全事故、隐瞒重大问题；</w:t>
      </w:r>
    </w:p>
    <w:p w14:paraId="0DEDCE3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6. 拒不执行采购人合理管理指令、拒不落实整改、严重影响楼宇运行。</w:t>
      </w:r>
    </w:p>
    <w:p w14:paraId="557CA88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 xml:space="preserve"> 五、考核结果应用（续签专用条款）</w:t>
      </w:r>
    </w:p>
    <w:p w14:paraId="3446DAE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1. 年度考核80分及以上、无一票否决项：考核合格，具备合同续签资格，采购人根据预算及工作需要择优续签；</w:t>
      </w:r>
    </w:p>
    <w:p w14:paraId="2D2E370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2. 年度考核70–79分：限期15日内全面整改，整改仍不到位的，视为年度不合格，不予续签；</w:t>
      </w:r>
    </w:p>
    <w:p w14:paraId="479B1CE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3. 年度考核70分以下或触发一票否决：年度考核不合格，合同到期不予续签，自动终止；</w:t>
      </w:r>
    </w:p>
    <w:p w14:paraId="70CAE82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4. 年度考核结果为采购人唯一续签依据，服务商无异议，不提出复议。</w:t>
      </w:r>
    </w:p>
    <w:p w14:paraId="228A008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六、附则</w:t>
      </w:r>
    </w:p>
    <w:p w14:paraId="38D0935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1. 本考核细则作为物业服务合同附件，与合同具有同等法律效力；</w:t>
      </w:r>
    </w:p>
    <w:p w14:paraId="313091B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2. 本细则由合肥工业大学资产经营有限公司负责解释与修订；</w:t>
      </w:r>
    </w:p>
    <w:p w14:paraId="7A2EFC6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firstLineChars="0"/>
        <w:jc w:val="left"/>
        <w:textAlignment w:val="auto"/>
        <w:outlineLvl w:val="3"/>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3. 本细则自服务期起始之日正式执行。</w:t>
      </w:r>
    </w:p>
    <w:p w14:paraId="3C360E20">
      <w:pPr>
        <w:keepNext w:val="0"/>
        <w:keepLines w:val="0"/>
        <w:pageBreakBefore w:val="0"/>
        <w:widowControl w:val="0"/>
        <w:kinsoku/>
        <w:wordWrap/>
        <w:overflowPunct/>
        <w:topLinePunct w:val="0"/>
        <w:autoSpaceDE/>
        <w:autoSpaceDN/>
        <w:bidi w:val="0"/>
        <w:adjustRightInd/>
        <w:snapToGrid/>
        <w:spacing w:line="360" w:lineRule="auto"/>
        <w:ind w:firstLine="437"/>
        <w:jc w:val="left"/>
        <w:textAlignment w:val="auto"/>
        <w:outlineLvl w:val="3"/>
        <w:rPr>
          <w:rFonts w:hint="eastAsia" w:ascii="宋体" w:hAnsi="宋体" w:eastAsia="宋体" w:cs="宋体"/>
          <w:b/>
          <w:bCs w:val="0"/>
          <w:color w:val="auto"/>
          <w:sz w:val="24"/>
        </w:rPr>
      </w:pPr>
      <w:r>
        <w:rPr>
          <w:rFonts w:hint="eastAsia" w:ascii="宋体" w:hAnsi="宋体" w:eastAsia="宋体" w:cs="宋体"/>
          <w:b/>
          <w:bCs w:val="0"/>
          <w:color w:val="auto"/>
          <w:sz w:val="24"/>
        </w:rPr>
        <w:t>五、</w:t>
      </w:r>
      <w:r>
        <w:rPr>
          <w:rFonts w:hint="eastAsia" w:ascii="宋体" w:hAnsi="宋体" w:cs="宋体"/>
          <w:b/>
          <w:bCs w:val="0"/>
          <w:color w:val="auto"/>
          <w:sz w:val="24"/>
          <w:lang w:val="en-US" w:eastAsia="zh-CN"/>
        </w:rPr>
        <w:t>其他</w:t>
      </w:r>
      <w:r>
        <w:rPr>
          <w:rFonts w:hint="eastAsia" w:ascii="宋体" w:hAnsi="宋体" w:eastAsia="宋体" w:cs="宋体"/>
          <w:b/>
          <w:bCs w:val="0"/>
          <w:color w:val="auto"/>
          <w:sz w:val="24"/>
        </w:rPr>
        <w:t>要求</w:t>
      </w:r>
    </w:p>
    <w:p w14:paraId="0D2DE521">
      <w:pPr>
        <w:keepNext w:val="0"/>
        <w:keepLines w:val="0"/>
        <w:pageBreakBefore w:val="0"/>
        <w:widowControl w:val="0"/>
        <w:kinsoku/>
        <w:wordWrap/>
        <w:overflowPunct/>
        <w:topLinePunct w:val="0"/>
        <w:autoSpaceDE/>
        <w:autoSpaceDN/>
        <w:bidi w:val="0"/>
        <w:adjustRightInd/>
        <w:snapToGrid/>
        <w:spacing w:line="360" w:lineRule="auto"/>
        <w:ind w:firstLine="437"/>
        <w:jc w:val="left"/>
        <w:textAlignment w:val="auto"/>
        <w:outlineLvl w:val="3"/>
        <w:rPr>
          <w:rFonts w:hint="eastAsia" w:ascii="宋体" w:hAnsi="宋体" w:eastAsia="宋体" w:cs="宋体"/>
          <w:bCs/>
          <w:color w:val="auto"/>
          <w:sz w:val="24"/>
        </w:rPr>
      </w:pPr>
      <w:r>
        <w:rPr>
          <w:rFonts w:hint="eastAsia" w:ascii="宋体" w:hAnsi="宋体" w:eastAsia="宋体" w:cs="宋体"/>
          <w:bCs/>
          <w:color w:val="auto"/>
          <w:sz w:val="24"/>
        </w:rPr>
        <w:t>1、本项目禁止转包，一经查明</w:t>
      </w:r>
      <w:r>
        <w:rPr>
          <w:rFonts w:hint="eastAsia" w:ascii="宋体" w:hAnsi="宋体" w:eastAsia="宋体" w:cs="宋体"/>
          <w:bCs/>
          <w:color w:val="auto"/>
          <w:sz w:val="24"/>
          <w:lang w:eastAsia="zh-CN"/>
        </w:rPr>
        <w:t>服务投标人</w:t>
      </w:r>
      <w:r>
        <w:rPr>
          <w:rFonts w:hint="eastAsia" w:ascii="宋体" w:hAnsi="宋体" w:eastAsia="宋体" w:cs="宋体"/>
          <w:bCs/>
          <w:color w:val="auto"/>
          <w:sz w:val="24"/>
        </w:rPr>
        <w:t>转包项目，采购人有权终止合同，并立即上报有关部门依规处理。</w:t>
      </w:r>
    </w:p>
    <w:p w14:paraId="24956074">
      <w:pPr>
        <w:keepNext w:val="0"/>
        <w:keepLines w:val="0"/>
        <w:pageBreakBefore w:val="0"/>
        <w:widowControl w:val="0"/>
        <w:kinsoku/>
        <w:wordWrap/>
        <w:overflowPunct/>
        <w:topLinePunct w:val="0"/>
        <w:autoSpaceDE/>
        <w:autoSpaceDN/>
        <w:bidi w:val="0"/>
        <w:adjustRightInd/>
        <w:snapToGrid/>
        <w:spacing w:line="360" w:lineRule="auto"/>
        <w:ind w:firstLine="437"/>
        <w:jc w:val="left"/>
        <w:textAlignment w:val="auto"/>
        <w:outlineLvl w:val="3"/>
        <w:rPr>
          <w:rFonts w:hint="eastAsia" w:ascii="宋体" w:hAnsi="宋体" w:eastAsia="宋体" w:cs="宋体"/>
          <w:bCs/>
          <w:color w:val="auto"/>
          <w:sz w:val="24"/>
        </w:rPr>
      </w:pPr>
      <w:r>
        <w:rPr>
          <w:rFonts w:hint="eastAsia" w:ascii="宋体" w:hAnsi="宋体" w:eastAsia="宋体" w:cs="宋体"/>
          <w:bCs/>
          <w:color w:val="auto"/>
          <w:sz w:val="24"/>
        </w:rPr>
        <w:t>2、</w:t>
      </w:r>
      <w:r>
        <w:rPr>
          <w:rFonts w:hint="default" w:ascii="宋体" w:hAnsi="宋体" w:eastAsia="宋体" w:cs="宋体"/>
          <w:bCs/>
          <w:color w:val="auto"/>
          <w:sz w:val="24"/>
        </w:rPr>
        <w:t>中标人</w:t>
      </w:r>
      <w:r>
        <w:rPr>
          <w:rFonts w:hint="eastAsia" w:ascii="宋体" w:hAnsi="宋体" w:eastAsia="宋体" w:cs="宋体"/>
          <w:bCs/>
          <w:color w:val="auto"/>
          <w:sz w:val="24"/>
        </w:rPr>
        <w:t>须具备良好的从业信誉和</w:t>
      </w:r>
      <w:r>
        <w:rPr>
          <w:rFonts w:hint="default" w:ascii="宋体" w:hAnsi="宋体" w:eastAsia="宋体" w:cs="宋体"/>
          <w:bCs/>
          <w:color w:val="auto"/>
          <w:sz w:val="24"/>
        </w:rPr>
        <w:t>物业</w:t>
      </w:r>
      <w:r>
        <w:rPr>
          <w:rFonts w:hint="eastAsia" w:ascii="宋体" w:hAnsi="宋体" w:eastAsia="宋体" w:cs="宋体"/>
          <w:bCs/>
          <w:color w:val="auto"/>
          <w:sz w:val="24"/>
        </w:rPr>
        <w:t>工作经验</w:t>
      </w:r>
      <w:r>
        <w:rPr>
          <w:rFonts w:hint="eastAsia" w:ascii="宋体" w:hAnsi="宋体" w:cs="宋体"/>
          <w:bCs/>
          <w:color w:val="auto"/>
          <w:sz w:val="24"/>
          <w:lang w:eastAsia="zh-CN"/>
        </w:rPr>
        <w:t>，具</w:t>
      </w:r>
      <w:r>
        <w:rPr>
          <w:rFonts w:hint="eastAsia" w:ascii="宋体" w:hAnsi="宋体" w:eastAsia="宋体" w:cs="宋体"/>
          <w:bCs/>
          <w:color w:val="auto"/>
          <w:sz w:val="24"/>
        </w:rPr>
        <w:t>有完善的管理体系和健全的内部管理规章。</w:t>
      </w:r>
    </w:p>
    <w:p w14:paraId="5FD80623">
      <w:pPr>
        <w:keepNext w:val="0"/>
        <w:keepLines w:val="0"/>
        <w:pageBreakBefore w:val="0"/>
        <w:widowControl w:val="0"/>
        <w:kinsoku/>
        <w:wordWrap/>
        <w:overflowPunct/>
        <w:topLinePunct w:val="0"/>
        <w:autoSpaceDE/>
        <w:autoSpaceDN/>
        <w:bidi w:val="0"/>
        <w:adjustRightInd/>
        <w:snapToGrid/>
        <w:spacing w:line="360" w:lineRule="auto"/>
        <w:ind w:firstLine="437"/>
        <w:jc w:val="left"/>
        <w:textAlignment w:val="auto"/>
        <w:outlineLvl w:val="3"/>
        <w:rPr>
          <w:rFonts w:hint="eastAsia" w:ascii="宋体" w:hAnsi="宋体" w:eastAsia="宋体" w:cs="宋体"/>
          <w:bCs/>
          <w:color w:val="auto"/>
          <w:sz w:val="24"/>
        </w:rPr>
      </w:pPr>
      <w:r>
        <w:rPr>
          <w:rFonts w:hint="eastAsia" w:ascii="宋体" w:hAnsi="宋体" w:eastAsia="宋体" w:cs="宋体"/>
          <w:bCs/>
          <w:color w:val="auto"/>
          <w:sz w:val="24"/>
        </w:rPr>
        <w:t>3、</w:t>
      </w:r>
      <w:r>
        <w:rPr>
          <w:rFonts w:hint="default" w:ascii="宋体" w:hAnsi="宋体" w:eastAsia="宋体" w:cs="宋体"/>
          <w:bCs/>
          <w:color w:val="auto"/>
          <w:sz w:val="24"/>
          <w:lang w:eastAsia="zh-CN"/>
        </w:rPr>
        <w:t>中标人</w:t>
      </w:r>
      <w:r>
        <w:rPr>
          <w:rFonts w:hint="eastAsia" w:ascii="宋体" w:hAnsi="宋体" w:eastAsia="宋体" w:cs="宋体"/>
          <w:bCs/>
          <w:color w:val="auto"/>
          <w:sz w:val="24"/>
        </w:rPr>
        <w:t>须按月按时足额发放项目人员工资。</w:t>
      </w:r>
    </w:p>
    <w:p w14:paraId="4E8894BF">
      <w:pPr>
        <w:keepNext w:val="0"/>
        <w:keepLines w:val="0"/>
        <w:pageBreakBefore w:val="0"/>
        <w:widowControl w:val="0"/>
        <w:kinsoku/>
        <w:wordWrap/>
        <w:overflowPunct/>
        <w:topLinePunct w:val="0"/>
        <w:autoSpaceDE/>
        <w:autoSpaceDN/>
        <w:bidi w:val="0"/>
        <w:adjustRightInd/>
        <w:snapToGrid/>
        <w:spacing w:line="360" w:lineRule="auto"/>
        <w:ind w:firstLine="437"/>
        <w:jc w:val="left"/>
        <w:textAlignment w:val="auto"/>
        <w:outlineLvl w:val="3"/>
        <w:rPr>
          <w:rFonts w:hint="eastAsia" w:ascii="宋体" w:hAnsi="宋体" w:eastAsia="宋体" w:cs="宋体"/>
          <w:bCs/>
          <w:color w:val="auto"/>
          <w:sz w:val="24"/>
        </w:rPr>
      </w:pPr>
      <w:r>
        <w:rPr>
          <w:rFonts w:hint="eastAsia" w:ascii="宋体" w:hAnsi="宋体" w:eastAsia="宋体" w:cs="宋体"/>
          <w:bCs/>
          <w:color w:val="auto"/>
          <w:sz w:val="24"/>
        </w:rPr>
        <w:t>4、</w:t>
      </w:r>
      <w:r>
        <w:rPr>
          <w:rFonts w:hint="default" w:ascii="宋体" w:hAnsi="宋体" w:eastAsia="宋体" w:cs="宋体"/>
          <w:bCs/>
          <w:color w:val="auto"/>
          <w:sz w:val="24"/>
          <w:lang w:eastAsia="zh-CN"/>
        </w:rPr>
        <w:t>中标人</w:t>
      </w:r>
      <w:r>
        <w:rPr>
          <w:rFonts w:hint="eastAsia" w:ascii="宋体" w:hAnsi="宋体" w:eastAsia="宋体" w:cs="宋体"/>
          <w:bCs/>
          <w:color w:val="auto"/>
          <w:sz w:val="24"/>
        </w:rPr>
        <w:t>有义务对</w:t>
      </w:r>
      <w:r>
        <w:rPr>
          <w:rFonts w:hint="default" w:ascii="宋体" w:hAnsi="宋体" w:eastAsia="宋体" w:cs="宋体"/>
          <w:bCs/>
          <w:color w:val="auto"/>
          <w:sz w:val="24"/>
        </w:rPr>
        <w:t>所有</w:t>
      </w:r>
      <w:r>
        <w:rPr>
          <w:rFonts w:hint="eastAsia" w:ascii="宋体" w:hAnsi="宋体" w:eastAsia="宋体" w:cs="宋体"/>
          <w:bCs/>
          <w:color w:val="auto"/>
          <w:sz w:val="24"/>
        </w:rPr>
        <w:t>人员进行安全教育、纪律约束，并采取必要的安全措施。</w:t>
      </w:r>
      <w:r>
        <w:rPr>
          <w:rFonts w:hint="default" w:ascii="宋体" w:hAnsi="宋体" w:eastAsia="宋体" w:cs="宋体"/>
          <w:bCs/>
          <w:color w:val="auto"/>
          <w:sz w:val="24"/>
        </w:rPr>
        <w:t>物业</w:t>
      </w:r>
      <w:r>
        <w:rPr>
          <w:rFonts w:hint="eastAsia" w:ascii="宋体" w:hAnsi="宋体" w:eastAsia="宋体" w:cs="宋体"/>
          <w:bCs/>
          <w:color w:val="auto"/>
          <w:sz w:val="24"/>
        </w:rPr>
        <w:t>人员发生自身的人身伤害、伤亡，均由</w:t>
      </w:r>
      <w:r>
        <w:rPr>
          <w:rFonts w:hint="default" w:ascii="宋体" w:hAnsi="宋体" w:eastAsia="宋体" w:cs="宋体"/>
          <w:bCs/>
          <w:color w:val="auto"/>
          <w:sz w:val="24"/>
          <w:lang w:eastAsia="zh-CN"/>
        </w:rPr>
        <w:t>中标人</w:t>
      </w:r>
      <w:r>
        <w:rPr>
          <w:rFonts w:hint="eastAsia" w:ascii="宋体" w:hAnsi="宋体" w:eastAsia="宋体" w:cs="宋体"/>
          <w:bCs/>
          <w:color w:val="auto"/>
          <w:sz w:val="24"/>
        </w:rPr>
        <w:t>负责处理并承担经济和道义上的责任，采购人不承担任何责任。</w:t>
      </w:r>
    </w:p>
    <w:p w14:paraId="50711E7E">
      <w:pPr>
        <w:keepNext w:val="0"/>
        <w:keepLines w:val="0"/>
        <w:pageBreakBefore w:val="0"/>
        <w:widowControl w:val="0"/>
        <w:kinsoku/>
        <w:wordWrap/>
        <w:overflowPunct/>
        <w:topLinePunct w:val="0"/>
        <w:autoSpaceDE/>
        <w:autoSpaceDN/>
        <w:bidi w:val="0"/>
        <w:adjustRightInd/>
        <w:snapToGrid/>
        <w:spacing w:line="360" w:lineRule="auto"/>
        <w:ind w:firstLine="437"/>
        <w:jc w:val="left"/>
        <w:textAlignment w:val="auto"/>
        <w:outlineLvl w:val="3"/>
        <w:rPr>
          <w:rFonts w:hint="eastAsia" w:ascii="宋体" w:hAnsi="宋体" w:eastAsia="宋体" w:cs="宋体"/>
          <w:bCs/>
          <w:color w:val="auto"/>
          <w:sz w:val="24"/>
        </w:rPr>
      </w:pPr>
      <w:r>
        <w:rPr>
          <w:rFonts w:hint="eastAsia" w:ascii="宋体" w:hAnsi="宋体" w:eastAsia="宋体" w:cs="宋体"/>
          <w:bCs/>
          <w:color w:val="auto"/>
          <w:sz w:val="24"/>
        </w:rPr>
        <w:t>5、</w:t>
      </w:r>
      <w:r>
        <w:rPr>
          <w:rFonts w:hint="default" w:ascii="宋体" w:hAnsi="宋体" w:eastAsia="宋体" w:cs="宋体"/>
          <w:bCs/>
          <w:color w:val="auto"/>
          <w:sz w:val="24"/>
          <w:lang w:eastAsia="zh-CN"/>
        </w:rPr>
        <w:t>中标人</w:t>
      </w:r>
      <w:r>
        <w:rPr>
          <w:rFonts w:hint="eastAsia" w:ascii="宋体" w:hAnsi="宋体" w:eastAsia="宋体" w:cs="宋体"/>
          <w:bCs/>
          <w:color w:val="auto"/>
          <w:sz w:val="24"/>
        </w:rPr>
        <w:t>与聘用人员发生劳动纠纷，均由</w:t>
      </w:r>
      <w:r>
        <w:rPr>
          <w:rFonts w:hint="default" w:ascii="宋体" w:hAnsi="宋体" w:eastAsia="宋体" w:cs="宋体"/>
          <w:bCs/>
          <w:color w:val="auto"/>
          <w:sz w:val="24"/>
          <w:lang w:eastAsia="zh-CN"/>
        </w:rPr>
        <w:t>中标人</w:t>
      </w:r>
      <w:r>
        <w:rPr>
          <w:rFonts w:hint="eastAsia" w:ascii="宋体" w:hAnsi="宋体" w:eastAsia="宋体" w:cs="宋体"/>
          <w:bCs/>
          <w:color w:val="auto"/>
          <w:sz w:val="24"/>
        </w:rPr>
        <w:t>负责调解与处理，采购人不承担责任。</w:t>
      </w:r>
    </w:p>
    <w:p w14:paraId="08E4C21C">
      <w:pPr>
        <w:keepNext w:val="0"/>
        <w:keepLines w:val="0"/>
        <w:pageBreakBefore w:val="0"/>
        <w:widowControl w:val="0"/>
        <w:kinsoku/>
        <w:wordWrap/>
        <w:overflowPunct/>
        <w:topLinePunct w:val="0"/>
        <w:autoSpaceDE/>
        <w:autoSpaceDN/>
        <w:bidi w:val="0"/>
        <w:adjustRightInd/>
        <w:snapToGrid/>
        <w:spacing w:line="360" w:lineRule="auto"/>
        <w:ind w:firstLine="437"/>
        <w:jc w:val="left"/>
        <w:textAlignment w:val="auto"/>
        <w:outlineLvl w:val="3"/>
        <w:rPr>
          <w:rFonts w:hint="eastAsia" w:ascii="宋体" w:hAnsi="宋体" w:eastAsia="宋体" w:cs="宋体"/>
          <w:bCs/>
          <w:color w:val="auto"/>
          <w:sz w:val="24"/>
        </w:rPr>
      </w:pPr>
      <w:r>
        <w:rPr>
          <w:rFonts w:hint="eastAsia" w:ascii="宋体" w:hAnsi="宋体" w:eastAsia="宋体" w:cs="宋体"/>
          <w:bCs/>
          <w:color w:val="auto"/>
          <w:sz w:val="24"/>
        </w:rPr>
        <w:t>6、</w:t>
      </w:r>
      <w:r>
        <w:rPr>
          <w:rFonts w:hint="default" w:ascii="宋体" w:hAnsi="宋体" w:eastAsia="宋体" w:cs="宋体"/>
          <w:bCs/>
          <w:color w:val="auto"/>
          <w:sz w:val="24"/>
          <w:lang w:eastAsia="zh-CN"/>
        </w:rPr>
        <w:t>中标人</w:t>
      </w:r>
      <w:r>
        <w:rPr>
          <w:rFonts w:hint="eastAsia" w:ascii="宋体" w:hAnsi="宋体" w:eastAsia="宋体" w:cs="宋体"/>
          <w:bCs/>
          <w:color w:val="auto"/>
          <w:sz w:val="24"/>
        </w:rPr>
        <w:t>在</w:t>
      </w:r>
      <w:r>
        <w:rPr>
          <w:rFonts w:hint="default" w:ascii="宋体" w:hAnsi="宋体" w:eastAsia="宋体" w:cs="宋体"/>
          <w:bCs/>
          <w:color w:val="auto"/>
          <w:sz w:val="24"/>
        </w:rPr>
        <w:t>物业</w:t>
      </w:r>
      <w:r>
        <w:rPr>
          <w:rFonts w:hint="eastAsia" w:ascii="宋体" w:hAnsi="宋体" w:eastAsia="宋体" w:cs="宋体"/>
          <w:bCs/>
          <w:color w:val="auto"/>
          <w:sz w:val="24"/>
        </w:rPr>
        <w:t>服务中因过错造成他人财产损失或人身伤亡的，均由</w:t>
      </w:r>
      <w:r>
        <w:rPr>
          <w:rFonts w:hint="default" w:ascii="宋体" w:hAnsi="宋体" w:eastAsia="宋体" w:cs="宋体"/>
          <w:bCs/>
          <w:color w:val="auto"/>
          <w:sz w:val="24"/>
          <w:lang w:eastAsia="zh-CN"/>
        </w:rPr>
        <w:t>中标人</w:t>
      </w:r>
      <w:r>
        <w:rPr>
          <w:rFonts w:hint="eastAsia" w:ascii="宋体" w:hAnsi="宋体" w:eastAsia="宋体" w:cs="宋体"/>
          <w:bCs/>
          <w:color w:val="auto"/>
          <w:sz w:val="24"/>
        </w:rPr>
        <w:t>负责处理并承担法律责任和道义责任，采购人不承担任何责任。</w:t>
      </w:r>
    </w:p>
    <w:p w14:paraId="53963C94">
      <w:pPr>
        <w:keepNext w:val="0"/>
        <w:keepLines w:val="0"/>
        <w:pageBreakBefore w:val="0"/>
        <w:widowControl w:val="0"/>
        <w:kinsoku/>
        <w:wordWrap/>
        <w:overflowPunct/>
        <w:topLinePunct w:val="0"/>
        <w:autoSpaceDE/>
        <w:autoSpaceDN/>
        <w:bidi w:val="0"/>
        <w:adjustRightInd/>
        <w:snapToGrid/>
        <w:spacing w:line="360" w:lineRule="auto"/>
        <w:ind w:firstLine="437"/>
        <w:jc w:val="left"/>
        <w:textAlignment w:val="auto"/>
        <w:outlineLvl w:val="3"/>
        <w:rPr>
          <w:rFonts w:hint="eastAsia" w:ascii="宋体" w:hAnsi="宋体" w:eastAsia="宋体" w:cs="宋体"/>
          <w:bCs/>
          <w:color w:val="auto"/>
          <w:sz w:val="24"/>
        </w:rPr>
      </w:pPr>
      <w:r>
        <w:rPr>
          <w:rFonts w:hint="eastAsia" w:ascii="宋体" w:hAnsi="宋体" w:eastAsia="宋体" w:cs="宋体"/>
          <w:bCs/>
          <w:color w:val="auto"/>
          <w:sz w:val="24"/>
        </w:rPr>
        <w:t>7、根据工作岗位需求为保安保洁服务配备所需的服装（含雨具）、劳保与安保器械、统一服装。</w:t>
      </w:r>
    </w:p>
    <w:p w14:paraId="09B14158">
      <w:pPr>
        <w:keepNext w:val="0"/>
        <w:keepLines w:val="0"/>
        <w:pageBreakBefore w:val="0"/>
        <w:kinsoku/>
        <w:wordWrap w:val="0"/>
        <w:overflowPunct/>
        <w:topLinePunct w:val="0"/>
        <w:bidi w:val="0"/>
        <w:spacing w:line="440" w:lineRule="exact"/>
        <w:ind w:firstLine="480" w:firstLineChars="200"/>
        <w:textAlignment w:val="auto"/>
        <w:rPr>
          <w:rFonts w:hint="eastAsia" w:ascii="宋体" w:hAnsi="宋体" w:eastAsia="宋体" w:cs="宋体"/>
          <w:bCs/>
          <w:color w:val="auto"/>
          <w:sz w:val="24"/>
        </w:rPr>
      </w:pPr>
      <w:r>
        <w:rPr>
          <w:rFonts w:hint="eastAsia" w:ascii="宋体" w:hAnsi="宋体" w:eastAsia="宋体" w:cs="宋体"/>
          <w:bCs/>
          <w:color w:val="auto"/>
          <w:sz w:val="24"/>
        </w:rPr>
        <w:t>8、合同签订后进场时人员配备须与</w:t>
      </w:r>
      <w:r>
        <w:rPr>
          <w:rFonts w:hint="eastAsia" w:ascii="宋体" w:hAnsi="宋体" w:eastAsia="宋体" w:cs="宋体"/>
          <w:bCs/>
          <w:color w:val="auto"/>
          <w:sz w:val="24"/>
          <w:lang w:eastAsia="zh-CN"/>
        </w:rPr>
        <w:t>投标文件</w:t>
      </w:r>
      <w:r>
        <w:rPr>
          <w:rFonts w:hint="eastAsia" w:ascii="宋体" w:hAnsi="宋体" w:eastAsia="宋体" w:cs="宋体"/>
          <w:bCs/>
          <w:color w:val="auto"/>
          <w:sz w:val="24"/>
        </w:rPr>
        <w:t>中拟配备人员保持一致，</w:t>
      </w:r>
      <w:r>
        <w:rPr>
          <w:rFonts w:hint="eastAsia" w:ascii="宋体" w:hAnsi="宋体" w:eastAsia="宋体" w:cs="宋体"/>
          <w:bCs/>
          <w:color w:val="auto"/>
          <w:sz w:val="24"/>
          <w:lang w:val="en-US" w:eastAsia="zh-CN"/>
        </w:rPr>
        <w:t>成交</w:t>
      </w:r>
      <w:r>
        <w:rPr>
          <w:rFonts w:hint="eastAsia" w:ascii="宋体" w:hAnsi="宋体" w:eastAsia="宋体" w:cs="宋体"/>
          <w:bCs/>
          <w:color w:val="auto"/>
          <w:sz w:val="24"/>
        </w:rPr>
        <w:t>后若不能到岗的，视为虚假响应，采购人将报监管部门处理，由此产生的一切不利后果由</w:t>
      </w:r>
      <w:r>
        <w:rPr>
          <w:rFonts w:hint="default" w:ascii="宋体" w:hAnsi="宋体" w:eastAsia="宋体" w:cs="宋体"/>
          <w:bCs/>
          <w:color w:val="auto"/>
          <w:sz w:val="24"/>
          <w:lang w:eastAsia="zh-CN"/>
        </w:rPr>
        <w:t>中标人</w:t>
      </w:r>
      <w:r>
        <w:rPr>
          <w:rFonts w:hint="eastAsia" w:ascii="宋体" w:hAnsi="宋体" w:eastAsia="宋体" w:cs="宋体"/>
          <w:bCs/>
          <w:color w:val="auto"/>
          <w:sz w:val="24"/>
        </w:rPr>
        <w:t>自行承担。</w:t>
      </w:r>
    </w:p>
    <w:p w14:paraId="3ED8DC62">
      <w:pPr>
        <w:pageBreakBefore w:val="0"/>
        <w:kinsoku/>
        <w:wordWrap w:val="0"/>
        <w:overflowPunct/>
        <w:topLinePunct w:val="0"/>
        <w:bidi w:val="0"/>
        <w:spacing w:line="360" w:lineRule="auto"/>
        <w:ind w:firstLine="437"/>
        <w:textAlignment w:val="auto"/>
        <w:rPr>
          <w:rFonts w:hint="default" w:ascii="Arial" w:hAnsi="Arial" w:eastAsia="宋体" w:cs="Arial"/>
          <w:bCs/>
          <w:color w:val="auto"/>
          <w:sz w:val="24"/>
          <w:szCs w:val="18"/>
        </w:rPr>
      </w:pPr>
      <w:r>
        <w:rPr>
          <w:rFonts w:hint="eastAsia" w:ascii="宋体" w:hAnsi="宋体" w:eastAsia="宋体" w:cs="宋体"/>
          <w:bCs/>
          <w:color w:val="auto"/>
          <w:sz w:val="24"/>
          <w:lang w:val="en-US" w:eastAsia="zh-CN"/>
        </w:rPr>
        <w:t>9、采购人有权在本合同服务期限届满前，根据服务提供方年度考核结果，决定是否续签服务合同。本合同期满前，</w:t>
      </w:r>
      <w:r>
        <w:rPr>
          <w:rFonts w:hint="default" w:ascii="宋体" w:hAnsi="宋体" w:eastAsia="宋体" w:cs="宋体"/>
          <w:bCs/>
          <w:color w:val="auto"/>
          <w:sz w:val="24"/>
          <w:lang w:eastAsia="zh-CN"/>
        </w:rPr>
        <w:t>中标人</w:t>
      </w:r>
      <w:r>
        <w:rPr>
          <w:rFonts w:hint="eastAsia" w:ascii="宋体" w:hAnsi="宋体" w:eastAsia="宋体" w:cs="宋体"/>
          <w:bCs/>
          <w:color w:val="auto"/>
          <w:sz w:val="24"/>
          <w:lang w:val="en-US" w:eastAsia="zh-CN"/>
        </w:rPr>
        <w:t>应按采购人要求提交续签申请及相关履约证明材料，逾期未提交或材料不符合要求的，视为自动放弃续签资格。</w:t>
      </w:r>
    </w:p>
    <w:p w14:paraId="24C39489">
      <w:pPr>
        <w:pageBreakBefore w:val="0"/>
        <w:kinsoku/>
        <w:wordWrap w:val="0"/>
        <w:overflowPunct/>
        <w:topLinePunct w:val="0"/>
        <w:bidi w:val="0"/>
        <w:jc w:val="center"/>
        <w:textAlignment w:val="auto"/>
        <w:rPr>
          <w:rFonts w:hint="default" w:ascii="华文中宋" w:hAnsi="华文中宋" w:eastAsia="华文中宋" w:cs="Times New Roman"/>
          <w:b/>
          <w:bCs/>
          <w:kern w:val="44"/>
          <w:sz w:val="44"/>
          <w:szCs w:val="44"/>
          <w:lang w:val="en-US" w:eastAsia="zh-CN" w:bidi="ar-SA"/>
        </w:rPr>
      </w:pPr>
      <w:r>
        <w:rPr>
          <w:rFonts w:hint="default" w:ascii="Arial" w:hAnsi="Arial" w:eastAsia="宋体" w:cs="Arial"/>
          <w:color w:val="auto"/>
          <w:sz w:val="24"/>
        </w:rPr>
        <w:br w:type="page"/>
      </w:r>
      <w:bookmarkStart w:id="10" w:name="_Toc24254"/>
      <w:bookmarkStart w:id="11" w:name="_Toc22201"/>
      <w:bookmarkStart w:id="12" w:name="_Toc3581"/>
      <w:r>
        <w:rPr>
          <w:rFonts w:hint="default" w:ascii="华文中宋" w:hAnsi="华文中宋" w:eastAsia="华文中宋" w:cs="Times New Roman"/>
          <w:b/>
          <w:bCs/>
          <w:kern w:val="44"/>
          <w:sz w:val="44"/>
          <w:szCs w:val="44"/>
          <w:lang w:val="en-US" w:eastAsia="zh-CN" w:bidi="ar-SA"/>
        </w:rPr>
        <w:t>第四章  评标方法和标准（综合评分法）</w:t>
      </w:r>
      <w:bookmarkEnd w:id="10"/>
      <w:bookmarkEnd w:id="11"/>
      <w:bookmarkEnd w:id="12"/>
    </w:p>
    <w:p w14:paraId="5B0B8B84">
      <w:pPr>
        <w:pageBreakBefore w:val="0"/>
        <w:kinsoku/>
        <w:wordWrap w:val="0"/>
        <w:overflowPunct/>
        <w:topLinePunct w:val="0"/>
        <w:bidi w:val="0"/>
        <w:spacing w:line="360" w:lineRule="auto"/>
        <w:ind w:firstLine="437"/>
        <w:textAlignment w:val="auto"/>
        <w:outlineLvl w:val="2"/>
        <w:rPr>
          <w:rFonts w:hint="default" w:ascii="Arial" w:hAnsi="Arial" w:eastAsia="宋体" w:cs="Arial"/>
          <w:b/>
          <w:sz w:val="28"/>
          <w:szCs w:val="28"/>
        </w:rPr>
      </w:pPr>
      <w:r>
        <w:rPr>
          <w:rFonts w:hint="default" w:ascii="Arial" w:hAnsi="Arial" w:eastAsia="宋体" w:cs="Arial"/>
          <w:b/>
          <w:sz w:val="28"/>
          <w:szCs w:val="28"/>
        </w:rPr>
        <w:t>一、总则</w:t>
      </w:r>
    </w:p>
    <w:p w14:paraId="2C64FFD1">
      <w:pPr>
        <w:pageBreakBefore w:val="0"/>
        <w:kinsoku/>
        <w:wordWrap w:val="0"/>
        <w:overflowPunct/>
        <w:topLinePunct w:val="0"/>
        <w:bidi w:val="0"/>
        <w:spacing w:line="360" w:lineRule="auto"/>
        <w:ind w:firstLine="435"/>
        <w:textAlignment w:val="auto"/>
        <w:rPr>
          <w:rFonts w:hint="default" w:ascii="Arial" w:hAnsi="Arial" w:eastAsia="宋体" w:cs="Arial"/>
          <w:sz w:val="24"/>
        </w:rPr>
      </w:pPr>
      <w:r>
        <w:rPr>
          <w:rFonts w:hint="default" w:ascii="Arial" w:hAnsi="Arial" w:eastAsia="宋体" w:cs="Arial"/>
          <w:sz w:val="24"/>
        </w:rPr>
        <w:t>本项目将按照招标文件第二章 投标人须知的相关要求及本章的规定评标。</w:t>
      </w:r>
    </w:p>
    <w:p w14:paraId="28CEC3FA">
      <w:pPr>
        <w:pageBreakBefore w:val="0"/>
        <w:kinsoku/>
        <w:wordWrap w:val="0"/>
        <w:overflowPunct/>
        <w:topLinePunct w:val="0"/>
        <w:bidi w:val="0"/>
        <w:spacing w:line="360" w:lineRule="auto"/>
        <w:ind w:firstLine="437"/>
        <w:textAlignment w:val="auto"/>
        <w:outlineLvl w:val="2"/>
        <w:rPr>
          <w:rFonts w:hint="default" w:ascii="Arial" w:hAnsi="Arial" w:eastAsia="宋体" w:cs="Arial"/>
          <w:b/>
          <w:sz w:val="28"/>
          <w:szCs w:val="28"/>
        </w:rPr>
      </w:pPr>
      <w:r>
        <w:rPr>
          <w:rFonts w:hint="default" w:ascii="Arial" w:hAnsi="Arial" w:eastAsia="宋体" w:cs="Arial"/>
          <w:b/>
          <w:sz w:val="28"/>
          <w:szCs w:val="28"/>
        </w:rPr>
        <w:t>二、评标方法</w:t>
      </w:r>
    </w:p>
    <w:p w14:paraId="6B0E09E3">
      <w:pPr>
        <w:pageBreakBefore w:val="0"/>
        <w:kinsoku/>
        <w:wordWrap w:val="0"/>
        <w:overflowPunct/>
        <w:topLinePunct w:val="0"/>
        <w:bidi w:val="0"/>
        <w:spacing w:line="360" w:lineRule="auto"/>
        <w:ind w:firstLine="435"/>
        <w:textAlignment w:val="auto"/>
        <w:rPr>
          <w:rFonts w:hint="default" w:ascii="Arial" w:hAnsi="Arial" w:eastAsia="宋体" w:cs="Arial"/>
          <w:color w:val="auto"/>
          <w:sz w:val="24"/>
        </w:rPr>
      </w:pPr>
      <w:r>
        <w:rPr>
          <w:rFonts w:hint="default" w:ascii="Arial" w:hAnsi="Arial" w:eastAsia="宋体" w:cs="Arial"/>
          <w:color w:val="auto"/>
          <w:sz w:val="24"/>
        </w:rPr>
        <w:t>2.1资格审查</w:t>
      </w:r>
    </w:p>
    <w:p w14:paraId="554A242F">
      <w:pPr>
        <w:pageBreakBefore w:val="0"/>
        <w:kinsoku/>
        <w:wordWrap w:val="0"/>
        <w:overflowPunct/>
        <w:topLinePunct w:val="0"/>
        <w:bidi w:val="0"/>
        <w:spacing w:line="360" w:lineRule="auto"/>
        <w:ind w:firstLine="435"/>
        <w:textAlignment w:val="auto"/>
        <w:rPr>
          <w:rFonts w:hint="eastAsia" w:ascii="宋体" w:hAnsi="宋体" w:eastAsia="宋体" w:cs="宋体"/>
          <w:i w:val="0"/>
          <w:iCs w:val="0"/>
          <w:color w:val="auto"/>
          <w:sz w:val="24"/>
          <w:szCs w:val="24"/>
          <w:highlight w:val="yellow"/>
          <w:lang w:eastAsia="zh-CN"/>
        </w:rPr>
      </w:pPr>
      <w:r>
        <w:rPr>
          <w:rFonts w:hint="default" w:ascii="Arial" w:hAnsi="Arial" w:eastAsia="宋体" w:cs="Arial"/>
          <w:color w:val="auto"/>
          <w:sz w:val="24"/>
        </w:rPr>
        <w:t>依据政府采购相关法律法规规定,由采购人或采购代理机构对投标人进行资格审查。资格审查表如下：</w:t>
      </w:r>
    </w:p>
    <w:tbl>
      <w:tblPr>
        <w:tblStyle w:val="10"/>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1880"/>
        <w:gridCol w:w="1963"/>
        <w:gridCol w:w="4674"/>
        <w:gridCol w:w="11"/>
      </w:tblGrid>
      <w:tr w14:paraId="0069F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88" w:type="dxa"/>
            <w:gridSpan w:val="5"/>
            <w:tcBorders>
              <w:bottom w:val="single" w:color="auto" w:sz="4" w:space="0"/>
            </w:tcBorders>
            <w:noWrap w:val="0"/>
            <w:vAlign w:val="center"/>
          </w:tcPr>
          <w:p w14:paraId="7F733E3F">
            <w:pPr>
              <w:pageBreakBefore w:val="0"/>
              <w:kinsoku/>
              <w:wordWrap w:val="0"/>
              <w:overflowPunct/>
              <w:topLinePunct w:val="0"/>
              <w:bidi w:val="0"/>
              <w:adjustRightInd w:val="0"/>
              <w:snapToGrid w:val="0"/>
              <w:spacing w:line="360" w:lineRule="auto"/>
              <w:ind w:right="-10"/>
              <w:jc w:val="center"/>
              <w:textAlignment w:val="auto"/>
              <w:rPr>
                <w:rFonts w:hint="eastAsia" w:ascii="宋体" w:hAnsi="宋体" w:eastAsia="宋体" w:cs="宋体"/>
                <w:sz w:val="24"/>
                <w:szCs w:val="24"/>
              </w:rPr>
            </w:pPr>
            <w:r>
              <w:rPr>
                <w:rFonts w:hint="eastAsia" w:ascii="宋体" w:hAnsi="宋体" w:eastAsia="宋体" w:cs="宋体"/>
                <w:b/>
                <w:sz w:val="24"/>
                <w:szCs w:val="24"/>
              </w:rPr>
              <w:t>资格审查表</w:t>
            </w:r>
          </w:p>
        </w:tc>
      </w:tr>
      <w:tr w14:paraId="57203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jc w:val="center"/>
        </w:trPr>
        <w:tc>
          <w:tcPr>
            <w:tcW w:w="760" w:type="dxa"/>
            <w:tcBorders>
              <w:bottom w:val="single" w:color="auto" w:sz="4" w:space="0"/>
            </w:tcBorders>
            <w:noWrap w:val="0"/>
            <w:vAlign w:val="center"/>
          </w:tcPr>
          <w:p w14:paraId="14DE14E0">
            <w:pPr>
              <w:pageBreakBefore w:val="0"/>
              <w:kinsoku/>
              <w:wordWrap w:val="0"/>
              <w:overflowPunct/>
              <w:topLinePunct w:val="0"/>
              <w:bidi w:val="0"/>
              <w:adjustRightInd w:val="0"/>
              <w:snapToGrid w:val="0"/>
              <w:spacing w:line="360" w:lineRule="auto"/>
              <w:ind w:right="-10"/>
              <w:jc w:val="center"/>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1880" w:type="dxa"/>
            <w:tcBorders>
              <w:bottom w:val="single" w:color="auto" w:sz="4" w:space="0"/>
            </w:tcBorders>
            <w:noWrap w:val="0"/>
            <w:vAlign w:val="center"/>
          </w:tcPr>
          <w:p w14:paraId="562F1136">
            <w:pPr>
              <w:pStyle w:val="13"/>
              <w:pageBreakBefore w:val="0"/>
              <w:pBdr>
                <w:bottom w:val="none" w:color="auto" w:sz="0" w:space="0"/>
              </w:pBdr>
              <w:tabs>
                <w:tab w:val="clear" w:pos="4153"/>
                <w:tab w:val="clear" w:pos="8306"/>
              </w:tabs>
              <w:kinsoku/>
              <w:wordWrap w:val="0"/>
              <w:overflowPunct/>
              <w:topLinePunct w:val="0"/>
              <w:bidi w:val="0"/>
              <w:snapToGrid w:val="0"/>
              <w:spacing w:line="360" w:lineRule="auto"/>
              <w:ind w:right="-10"/>
              <w:textAlignment w:val="auto"/>
              <w:rPr>
                <w:rFonts w:hint="eastAsia" w:ascii="宋体" w:hAnsi="宋体" w:eastAsia="宋体" w:cs="宋体"/>
                <w:kern w:val="2"/>
                <w:sz w:val="24"/>
                <w:szCs w:val="24"/>
              </w:rPr>
            </w:pPr>
            <w:r>
              <w:rPr>
                <w:rFonts w:hint="eastAsia" w:ascii="宋体" w:hAnsi="宋体" w:eastAsia="宋体" w:cs="宋体"/>
                <w:kern w:val="2"/>
                <w:sz w:val="24"/>
                <w:szCs w:val="24"/>
              </w:rPr>
              <w:t>评审指标</w:t>
            </w:r>
          </w:p>
        </w:tc>
        <w:tc>
          <w:tcPr>
            <w:tcW w:w="1963" w:type="dxa"/>
            <w:tcBorders>
              <w:bottom w:val="single" w:color="auto" w:sz="4" w:space="0"/>
            </w:tcBorders>
            <w:noWrap w:val="0"/>
            <w:vAlign w:val="center"/>
          </w:tcPr>
          <w:p w14:paraId="324C1BF3">
            <w:pPr>
              <w:pageBreakBefore w:val="0"/>
              <w:kinsoku/>
              <w:wordWrap w:val="0"/>
              <w:overflowPunct/>
              <w:topLinePunct w:val="0"/>
              <w:bidi w:val="0"/>
              <w:adjustRightInd w:val="0"/>
              <w:snapToGrid w:val="0"/>
              <w:spacing w:line="360" w:lineRule="auto"/>
              <w:ind w:right="-10"/>
              <w:jc w:val="center"/>
              <w:textAlignment w:val="auto"/>
              <w:rPr>
                <w:rFonts w:hint="eastAsia" w:ascii="宋体" w:hAnsi="宋体" w:eastAsia="宋体" w:cs="宋体"/>
                <w:sz w:val="24"/>
                <w:szCs w:val="24"/>
              </w:rPr>
            </w:pPr>
            <w:r>
              <w:rPr>
                <w:rFonts w:hint="eastAsia" w:ascii="宋体" w:hAnsi="宋体" w:eastAsia="宋体" w:cs="宋体"/>
                <w:sz w:val="24"/>
                <w:szCs w:val="24"/>
              </w:rPr>
              <w:t>评审标准</w:t>
            </w:r>
          </w:p>
        </w:tc>
        <w:tc>
          <w:tcPr>
            <w:tcW w:w="4674" w:type="dxa"/>
            <w:tcBorders>
              <w:bottom w:val="single" w:color="auto" w:sz="4" w:space="0"/>
            </w:tcBorders>
            <w:noWrap w:val="0"/>
            <w:vAlign w:val="center"/>
          </w:tcPr>
          <w:p w14:paraId="70715424">
            <w:pPr>
              <w:pageBreakBefore w:val="0"/>
              <w:kinsoku/>
              <w:wordWrap w:val="0"/>
              <w:overflowPunct/>
              <w:topLinePunct w:val="0"/>
              <w:bidi w:val="0"/>
              <w:adjustRightInd w:val="0"/>
              <w:snapToGrid w:val="0"/>
              <w:spacing w:line="360" w:lineRule="auto"/>
              <w:ind w:right="-10"/>
              <w:jc w:val="center"/>
              <w:textAlignment w:val="auto"/>
              <w:rPr>
                <w:rFonts w:hint="eastAsia" w:ascii="宋体" w:hAnsi="宋体" w:eastAsia="宋体" w:cs="宋体"/>
                <w:sz w:val="24"/>
                <w:szCs w:val="24"/>
              </w:rPr>
            </w:pPr>
            <w:r>
              <w:rPr>
                <w:rFonts w:hint="eastAsia" w:ascii="宋体" w:hAnsi="宋体" w:eastAsia="宋体" w:cs="宋体"/>
                <w:sz w:val="24"/>
                <w:szCs w:val="24"/>
              </w:rPr>
              <w:t>格式及材料要求</w:t>
            </w:r>
          </w:p>
        </w:tc>
      </w:tr>
      <w:tr w14:paraId="5E6D2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90" w:hRule="atLeast"/>
          <w:jc w:val="center"/>
        </w:trPr>
        <w:tc>
          <w:tcPr>
            <w:tcW w:w="760" w:type="dxa"/>
            <w:noWrap w:val="0"/>
            <w:vAlign w:val="center"/>
          </w:tcPr>
          <w:p w14:paraId="129DA695">
            <w:pPr>
              <w:pageBreakBefore w:val="0"/>
              <w:kinsoku/>
              <w:wordWrap w:val="0"/>
              <w:overflowPunct/>
              <w:topLinePunct w:val="0"/>
              <w:bidi w:val="0"/>
              <w:adjustRightInd w:val="0"/>
              <w:snapToGrid w:val="0"/>
              <w:spacing w:line="360" w:lineRule="auto"/>
              <w:ind w:right="-10"/>
              <w:jc w:val="center"/>
              <w:textAlignment w:val="auto"/>
              <w:rPr>
                <w:rFonts w:hint="eastAsia" w:ascii="宋体" w:hAnsi="宋体" w:eastAsia="宋体" w:cs="宋体"/>
                <w:sz w:val="24"/>
                <w:szCs w:val="24"/>
              </w:rPr>
            </w:pPr>
            <w:r>
              <w:rPr>
                <w:rFonts w:hint="eastAsia" w:ascii="宋体" w:hAnsi="宋体" w:eastAsia="宋体" w:cs="宋体"/>
                <w:sz w:val="24"/>
                <w:szCs w:val="24"/>
              </w:rPr>
              <w:t>1</w:t>
            </w:r>
          </w:p>
          <w:p w14:paraId="69E8EDFC">
            <w:pPr>
              <w:pageBreakBefore w:val="0"/>
              <w:kinsoku/>
              <w:wordWrap w:val="0"/>
              <w:overflowPunct/>
              <w:topLinePunct w:val="0"/>
              <w:bidi w:val="0"/>
              <w:adjustRightInd w:val="0"/>
              <w:snapToGrid w:val="0"/>
              <w:spacing w:line="360" w:lineRule="auto"/>
              <w:ind w:right="-10"/>
              <w:jc w:val="center"/>
              <w:textAlignment w:val="auto"/>
              <w:rPr>
                <w:rFonts w:hint="eastAsia" w:ascii="宋体" w:hAnsi="宋体" w:eastAsia="宋体" w:cs="宋体"/>
                <w:sz w:val="24"/>
                <w:szCs w:val="24"/>
              </w:rPr>
            </w:pPr>
            <w:r>
              <w:rPr>
                <w:rFonts w:hint="eastAsia" w:ascii="宋体" w:hAnsi="宋体" w:eastAsia="宋体" w:cs="宋体"/>
                <w:sz w:val="24"/>
                <w:szCs w:val="24"/>
              </w:rPr>
              <w:t xml:space="preserve"> </w:t>
            </w:r>
          </w:p>
        </w:tc>
        <w:tc>
          <w:tcPr>
            <w:tcW w:w="1880" w:type="dxa"/>
            <w:noWrap w:val="0"/>
            <w:vAlign w:val="center"/>
          </w:tcPr>
          <w:p w14:paraId="5989886B">
            <w:pPr>
              <w:pageBreakBefore w:val="0"/>
              <w:kinsoku/>
              <w:wordWrap w:val="0"/>
              <w:overflowPunct/>
              <w:topLinePunct w:val="0"/>
              <w:bidi w:val="0"/>
              <w:spacing w:after="50" w:line="360" w:lineRule="auto"/>
              <w:ind w:right="-10"/>
              <w:jc w:val="center"/>
              <w:textAlignment w:val="auto"/>
              <w:rPr>
                <w:rFonts w:hint="default" w:ascii="宋体" w:hAnsi="宋体" w:eastAsia="宋体"/>
                <w:sz w:val="24"/>
                <w:szCs w:val="18"/>
                <w:lang w:val="en-US" w:eastAsia="zh-CN"/>
              </w:rPr>
            </w:pPr>
            <w:r>
              <w:rPr>
                <w:rFonts w:hint="eastAsia" w:ascii="宋体" w:hAnsi="宋体" w:eastAsia="宋体"/>
                <w:sz w:val="24"/>
                <w:szCs w:val="18"/>
              </w:rPr>
              <w:t>营业执照</w:t>
            </w:r>
          </w:p>
          <w:p w14:paraId="48F867AD">
            <w:pPr>
              <w:pageBreakBefore w:val="0"/>
              <w:kinsoku/>
              <w:wordWrap w:val="0"/>
              <w:overflowPunct/>
              <w:topLinePunct w:val="0"/>
              <w:bidi w:val="0"/>
              <w:spacing w:after="50" w:line="360" w:lineRule="auto"/>
              <w:ind w:right="-10" w:rightChars="0"/>
              <w:jc w:val="center"/>
              <w:textAlignment w:val="auto"/>
              <w:rPr>
                <w:rFonts w:hint="eastAsia" w:ascii="宋体" w:hAnsi="宋体" w:eastAsia="宋体" w:cs="宋体"/>
                <w:sz w:val="24"/>
                <w:szCs w:val="24"/>
              </w:rPr>
            </w:pPr>
            <w:r>
              <w:rPr>
                <w:rFonts w:hint="eastAsia" w:ascii="宋体" w:hAnsi="宋体" w:eastAsia="宋体"/>
                <w:sz w:val="24"/>
                <w:szCs w:val="18"/>
              </w:rPr>
              <w:t xml:space="preserve"> </w:t>
            </w:r>
          </w:p>
        </w:tc>
        <w:tc>
          <w:tcPr>
            <w:tcW w:w="1963" w:type="dxa"/>
            <w:tcBorders>
              <w:bottom w:val="single" w:color="auto" w:sz="4" w:space="0"/>
            </w:tcBorders>
            <w:noWrap w:val="0"/>
            <w:vAlign w:val="center"/>
          </w:tcPr>
          <w:p w14:paraId="2AB0D8F8">
            <w:pPr>
              <w:pageBreakBefore w:val="0"/>
              <w:kinsoku/>
              <w:wordWrap w:val="0"/>
              <w:overflowPunct/>
              <w:topLinePunct w:val="0"/>
              <w:bidi w:val="0"/>
              <w:spacing w:after="50" w:line="360" w:lineRule="auto"/>
              <w:ind w:right="-10"/>
              <w:jc w:val="center"/>
              <w:textAlignment w:val="auto"/>
              <w:rPr>
                <w:rFonts w:hint="eastAsia" w:ascii="宋体" w:hAnsi="宋体" w:eastAsia="宋体"/>
                <w:sz w:val="24"/>
                <w:szCs w:val="18"/>
              </w:rPr>
            </w:pPr>
            <w:r>
              <w:rPr>
                <w:rFonts w:hint="eastAsia" w:ascii="宋体" w:hAnsi="宋体" w:eastAsia="宋体"/>
                <w:sz w:val="24"/>
                <w:szCs w:val="18"/>
              </w:rPr>
              <w:t>合法有效</w:t>
            </w:r>
          </w:p>
          <w:p w14:paraId="0659F7F7">
            <w:pPr>
              <w:pageBreakBefore w:val="0"/>
              <w:kinsoku/>
              <w:wordWrap w:val="0"/>
              <w:overflowPunct/>
              <w:topLinePunct w:val="0"/>
              <w:bidi w:val="0"/>
              <w:spacing w:after="50" w:line="360" w:lineRule="auto"/>
              <w:ind w:right="-10" w:rightChars="0"/>
              <w:jc w:val="center"/>
              <w:textAlignment w:val="auto"/>
              <w:rPr>
                <w:rFonts w:hint="eastAsia" w:ascii="宋体" w:hAnsi="宋体" w:eastAsia="宋体" w:cs="宋体"/>
                <w:sz w:val="24"/>
                <w:szCs w:val="24"/>
              </w:rPr>
            </w:pPr>
            <w:r>
              <w:rPr>
                <w:rFonts w:hint="eastAsia" w:ascii="宋体" w:hAnsi="宋体" w:eastAsia="宋体"/>
                <w:sz w:val="24"/>
                <w:szCs w:val="18"/>
              </w:rPr>
              <w:t xml:space="preserve"> </w:t>
            </w:r>
          </w:p>
        </w:tc>
        <w:tc>
          <w:tcPr>
            <w:tcW w:w="4674" w:type="dxa"/>
            <w:noWrap w:val="0"/>
            <w:vAlign w:val="center"/>
          </w:tcPr>
          <w:p w14:paraId="6A1C9C2C">
            <w:pPr>
              <w:pageBreakBefore w:val="0"/>
              <w:kinsoku/>
              <w:wordWrap w:val="0"/>
              <w:overflowPunct/>
              <w:topLinePunct w:val="0"/>
              <w:bidi w:val="0"/>
              <w:spacing w:after="50" w:line="360" w:lineRule="auto"/>
              <w:ind w:right="-10" w:rightChars="0"/>
              <w:jc w:val="center"/>
              <w:textAlignment w:val="auto"/>
              <w:rPr>
                <w:rFonts w:hint="eastAsia" w:ascii="宋体" w:hAnsi="宋体" w:eastAsia="宋体" w:cs="宋体"/>
                <w:sz w:val="24"/>
                <w:szCs w:val="24"/>
              </w:rPr>
            </w:pPr>
            <w:r>
              <w:rPr>
                <w:rFonts w:hint="eastAsia" w:ascii="宋体" w:hAnsi="宋体" w:eastAsia="宋体"/>
                <w:sz w:val="24"/>
                <w:szCs w:val="18"/>
              </w:rPr>
              <w:t>提供有效的投标人营业执照（或事业单位法人登记证书）</w:t>
            </w:r>
            <w:r>
              <w:rPr>
                <w:rFonts w:hint="eastAsia" w:ascii="宋体" w:hAnsi="宋体" w:eastAsia="宋体"/>
                <w:sz w:val="24"/>
                <w:lang w:eastAsia="zh-CN"/>
              </w:rPr>
              <w:t>扫描件</w:t>
            </w:r>
            <w:r>
              <w:rPr>
                <w:rFonts w:hint="eastAsia" w:ascii="宋体" w:hAnsi="宋体" w:eastAsia="宋体"/>
                <w:sz w:val="24"/>
                <w:szCs w:val="18"/>
              </w:rPr>
              <w:t>，应完整的体现出营业执照（或事业单位法人登记证书）的全部内容。联合体投标的联合体各方均须提供。</w:t>
            </w:r>
          </w:p>
        </w:tc>
      </w:tr>
      <w:tr w14:paraId="7FF9E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jc w:val="center"/>
        </w:trPr>
        <w:tc>
          <w:tcPr>
            <w:tcW w:w="760" w:type="dxa"/>
            <w:tcBorders>
              <w:bottom w:val="single" w:color="auto" w:sz="4" w:space="0"/>
            </w:tcBorders>
            <w:noWrap w:val="0"/>
            <w:vAlign w:val="center"/>
          </w:tcPr>
          <w:p w14:paraId="46297755">
            <w:pPr>
              <w:pageBreakBefore w:val="0"/>
              <w:kinsoku/>
              <w:wordWrap w:val="0"/>
              <w:overflowPunct/>
              <w:topLinePunct w:val="0"/>
              <w:bidi w:val="0"/>
              <w:adjustRightInd w:val="0"/>
              <w:snapToGrid w:val="0"/>
              <w:spacing w:line="360" w:lineRule="auto"/>
              <w:ind w:right="-1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p>
        </w:tc>
        <w:tc>
          <w:tcPr>
            <w:tcW w:w="1880" w:type="dxa"/>
            <w:tcBorders>
              <w:bottom w:val="single" w:color="auto" w:sz="4" w:space="0"/>
            </w:tcBorders>
            <w:noWrap w:val="0"/>
            <w:vAlign w:val="center"/>
          </w:tcPr>
          <w:p w14:paraId="5418DF28">
            <w:pPr>
              <w:keepNext w:val="0"/>
              <w:keepLines w:val="0"/>
              <w:pageBreakBefore w:val="0"/>
              <w:widowControl w:val="0"/>
              <w:kinsoku/>
              <w:wordWrap w:val="0"/>
              <w:overflowPunct/>
              <w:topLinePunct w:val="0"/>
              <w:autoSpaceDE/>
              <w:autoSpaceDN/>
              <w:bidi w:val="0"/>
              <w:spacing w:after="50" w:line="440" w:lineRule="exact"/>
              <w:ind w:right="-10" w:rightChars="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投标有效性声明</w:t>
            </w:r>
          </w:p>
        </w:tc>
        <w:tc>
          <w:tcPr>
            <w:tcW w:w="1963" w:type="dxa"/>
            <w:tcBorders>
              <w:bottom w:val="single" w:color="auto" w:sz="4" w:space="0"/>
            </w:tcBorders>
            <w:noWrap w:val="0"/>
            <w:vAlign w:val="center"/>
          </w:tcPr>
          <w:p w14:paraId="7A66D9CE">
            <w:pPr>
              <w:keepNext w:val="0"/>
              <w:keepLines w:val="0"/>
              <w:pageBreakBefore w:val="0"/>
              <w:widowControl w:val="0"/>
              <w:kinsoku/>
              <w:wordWrap w:val="0"/>
              <w:overflowPunct/>
              <w:topLinePunct w:val="0"/>
              <w:autoSpaceDE/>
              <w:autoSpaceDN/>
              <w:bidi w:val="0"/>
              <w:spacing w:after="50" w:line="440" w:lineRule="exact"/>
              <w:ind w:right="-10" w:rightChars="0"/>
              <w:jc w:val="both"/>
              <w:textAlignment w:val="auto"/>
              <w:rPr>
                <w:rFonts w:hint="eastAsia" w:ascii="宋体" w:hAnsi="宋体" w:eastAsia="宋体" w:cs="宋体"/>
                <w:sz w:val="24"/>
                <w:szCs w:val="24"/>
              </w:rPr>
            </w:pPr>
            <w:r>
              <w:rPr>
                <w:rFonts w:hint="eastAsia" w:ascii="宋体" w:hAnsi="宋体" w:eastAsia="宋体" w:cs="宋体"/>
                <w:sz w:val="24"/>
                <w:szCs w:val="24"/>
              </w:rPr>
              <w:t>格式、填写要求符合招标文件规定并加盖投标人</w:t>
            </w:r>
            <w:r>
              <w:rPr>
                <w:rFonts w:hint="eastAsia" w:ascii="宋体" w:hAnsi="宋体" w:eastAsia="宋体" w:cs="宋体"/>
                <w:sz w:val="24"/>
                <w:szCs w:val="24"/>
                <w:lang w:eastAsia="zh-CN"/>
              </w:rPr>
              <w:t>电子签章</w:t>
            </w:r>
          </w:p>
        </w:tc>
        <w:tc>
          <w:tcPr>
            <w:tcW w:w="4674" w:type="dxa"/>
            <w:tcBorders>
              <w:bottom w:val="single" w:color="auto" w:sz="4" w:space="0"/>
            </w:tcBorders>
            <w:noWrap w:val="0"/>
            <w:vAlign w:val="center"/>
          </w:tcPr>
          <w:p w14:paraId="244B40C1">
            <w:pPr>
              <w:keepNext w:val="0"/>
              <w:keepLines w:val="0"/>
              <w:pageBreakBefore w:val="0"/>
              <w:widowControl w:val="0"/>
              <w:kinsoku/>
              <w:wordWrap w:val="0"/>
              <w:overflowPunct/>
              <w:topLinePunct w:val="0"/>
              <w:autoSpaceDE/>
              <w:autoSpaceDN/>
              <w:bidi w:val="0"/>
              <w:adjustRightInd w:val="0"/>
              <w:snapToGrid w:val="0"/>
              <w:spacing w:line="440" w:lineRule="exact"/>
              <w:ind w:right="-10" w:rightChars="0"/>
              <w:jc w:val="both"/>
              <w:textAlignment w:val="auto"/>
              <w:rPr>
                <w:rFonts w:hint="eastAsia" w:ascii="宋体" w:hAnsi="宋体" w:eastAsia="宋体" w:cs="宋体"/>
                <w:sz w:val="24"/>
                <w:szCs w:val="24"/>
              </w:rPr>
            </w:pPr>
            <w:r>
              <w:rPr>
                <w:rFonts w:hint="eastAsia" w:ascii="宋体" w:hAnsi="宋体" w:eastAsia="宋体" w:cs="宋体"/>
                <w:sz w:val="24"/>
                <w:szCs w:val="24"/>
              </w:rPr>
              <w:t>详见第六章投标文件格式</w:t>
            </w:r>
          </w:p>
        </w:tc>
      </w:tr>
      <w:tr w14:paraId="0726C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jc w:val="center"/>
        </w:trPr>
        <w:tc>
          <w:tcPr>
            <w:tcW w:w="760" w:type="dxa"/>
            <w:noWrap w:val="0"/>
            <w:vAlign w:val="center"/>
          </w:tcPr>
          <w:p w14:paraId="57CD01A9">
            <w:pPr>
              <w:pageBreakBefore w:val="0"/>
              <w:kinsoku/>
              <w:wordWrap w:val="0"/>
              <w:overflowPunct/>
              <w:topLinePunct w:val="0"/>
              <w:bidi w:val="0"/>
              <w:adjustRightInd w:val="0"/>
              <w:snapToGrid w:val="0"/>
              <w:spacing w:line="360" w:lineRule="auto"/>
              <w:ind w:right="-1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p>
        </w:tc>
        <w:tc>
          <w:tcPr>
            <w:tcW w:w="1880" w:type="dxa"/>
            <w:noWrap w:val="0"/>
            <w:vAlign w:val="center"/>
          </w:tcPr>
          <w:p w14:paraId="72E3566C">
            <w:pPr>
              <w:keepNext w:val="0"/>
              <w:keepLines w:val="0"/>
              <w:pageBreakBefore w:val="0"/>
              <w:widowControl w:val="0"/>
              <w:kinsoku/>
              <w:wordWrap w:val="0"/>
              <w:overflowPunct/>
              <w:topLinePunct w:val="0"/>
              <w:autoSpaceDE/>
              <w:autoSpaceDN/>
              <w:bidi w:val="0"/>
              <w:spacing w:after="50" w:line="440" w:lineRule="exact"/>
              <w:ind w:right="-1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投标人</w:t>
            </w:r>
            <w:r>
              <w:rPr>
                <w:rFonts w:hint="eastAsia" w:ascii="宋体" w:hAnsi="宋体" w:eastAsia="宋体" w:cs="宋体"/>
                <w:sz w:val="24"/>
                <w:szCs w:val="24"/>
                <w:highlight w:val="none"/>
                <w:lang w:eastAsia="zh-CN"/>
              </w:rPr>
              <w:t>资格</w:t>
            </w:r>
          </w:p>
        </w:tc>
        <w:tc>
          <w:tcPr>
            <w:tcW w:w="1963" w:type="dxa"/>
            <w:noWrap w:val="0"/>
            <w:vAlign w:val="center"/>
          </w:tcPr>
          <w:p w14:paraId="6709588B">
            <w:pPr>
              <w:keepNext w:val="0"/>
              <w:keepLines w:val="0"/>
              <w:pageBreakBefore w:val="0"/>
              <w:widowControl w:val="0"/>
              <w:kinsoku/>
              <w:wordWrap w:val="0"/>
              <w:overflowPunct/>
              <w:topLinePunct w:val="0"/>
              <w:autoSpaceDE/>
              <w:autoSpaceDN/>
              <w:bidi w:val="0"/>
              <w:spacing w:after="50" w:line="440" w:lineRule="exact"/>
              <w:ind w:right="-10" w:rightChars="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符合投标人资格要求</w:t>
            </w:r>
          </w:p>
        </w:tc>
        <w:tc>
          <w:tcPr>
            <w:tcW w:w="4674" w:type="dxa"/>
            <w:noWrap w:val="0"/>
            <w:vAlign w:val="center"/>
          </w:tcPr>
          <w:p w14:paraId="13C1B9D1">
            <w:pPr>
              <w:keepNext w:val="0"/>
              <w:keepLines w:val="0"/>
              <w:pageBreakBefore w:val="0"/>
              <w:widowControl w:val="0"/>
              <w:kinsoku/>
              <w:wordWrap w:val="0"/>
              <w:overflowPunct/>
              <w:topLinePunct w:val="0"/>
              <w:autoSpaceDE/>
              <w:autoSpaceDN/>
              <w:bidi w:val="0"/>
              <w:adjustRightInd w:val="0"/>
              <w:snapToGrid w:val="0"/>
              <w:spacing w:line="440" w:lineRule="exact"/>
              <w:ind w:right="-10" w:rightChars="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提供符合投标人资格中要求的</w:t>
            </w:r>
            <w:r>
              <w:rPr>
                <w:rFonts w:hint="eastAsia" w:ascii="宋体" w:hAnsi="宋体" w:eastAsia="宋体" w:cs="宋体"/>
                <w:sz w:val="24"/>
                <w:szCs w:val="24"/>
                <w:highlight w:val="none"/>
                <w:lang w:eastAsia="zh-CN"/>
              </w:rPr>
              <w:t>证明材料</w:t>
            </w:r>
            <w:r>
              <w:rPr>
                <w:rFonts w:hint="eastAsia" w:ascii="宋体" w:hAnsi="宋体" w:eastAsia="宋体" w:cs="宋体"/>
                <w:b w:val="0"/>
                <w:sz w:val="24"/>
                <w:szCs w:val="24"/>
                <w:highlight w:val="none"/>
                <w:lang w:eastAsia="zh-CN"/>
              </w:rPr>
              <w:t>扫描件</w:t>
            </w:r>
          </w:p>
        </w:tc>
      </w:tr>
    </w:tbl>
    <w:p w14:paraId="19A00A23">
      <w:pPr>
        <w:pStyle w:val="9"/>
        <w:pageBreakBefore w:val="0"/>
        <w:kinsoku/>
        <w:wordWrap w:val="0"/>
        <w:overflowPunct/>
        <w:topLinePunct w:val="0"/>
        <w:bidi w:val="0"/>
        <w:ind w:left="0" w:leftChars="0" w:firstLine="0" w:firstLineChars="0"/>
        <w:textAlignment w:val="auto"/>
        <w:rPr>
          <w:rFonts w:hint="default" w:ascii="宋体" w:hAnsi="宋体" w:eastAsia="宋体"/>
          <w:sz w:val="24"/>
          <w:highlight w:val="yellow"/>
          <w:lang w:eastAsia="zh-CN"/>
        </w:rPr>
      </w:pPr>
    </w:p>
    <w:p w14:paraId="6A585939">
      <w:pPr>
        <w:pageBreakBefore w:val="0"/>
        <w:kinsoku/>
        <w:wordWrap w:val="0"/>
        <w:overflowPunct/>
        <w:topLinePunct w:val="0"/>
        <w:bidi w:val="0"/>
        <w:spacing w:line="360" w:lineRule="auto"/>
        <w:textAlignment w:val="auto"/>
        <w:rPr>
          <w:rFonts w:hint="default" w:ascii="Arial" w:hAnsi="Arial" w:eastAsia="宋体" w:cs="Arial"/>
          <w:sz w:val="24"/>
        </w:rPr>
      </w:pPr>
      <w:r>
        <w:rPr>
          <w:rFonts w:hint="default" w:ascii="Arial" w:hAnsi="Arial" w:eastAsia="宋体" w:cs="Arial"/>
          <w:b/>
          <w:bCs/>
          <w:sz w:val="24"/>
        </w:rPr>
        <w:t>资格审查指标通过标准：</w:t>
      </w:r>
      <w:r>
        <w:rPr>
          <w:rFonts w:hint="default" w:ascii="Arial" w:hAnsi="Arial" w:eastAsia="宋体" w:cs="Arial"/>
          <w:sz w:val="24"/>
        </w:rPr>
        <w:t>投标人必须通过资格审查表中的全部评审指标。</w:t>
      </w:r>
    </w:p>
    <w:p w14:paraId="45F57E53">
      <w:pPr>
        <w:pageBreakBefore w:val="0"/>
        <w:kinsoku/>
        <w:wordWrap w:val="0"/>
        <w:overflowPunct/>
        <w:topLinePunct w:val="0"/>
        <w:bidi w:val="0"/>
        <w:spacing w:line="360" w:lineRule="auto"/>
        <w:ind w:firstLine="435"/>
        <w:textAlignment w:val="auto"/>
        <w:rPr>
          <w:rFonts w:hint="default" w:ascii="Arial" w:hAnsi="Arial" w:eastAsia="宋体" w:cs="Arial"/>
          <w:sz w:val="24"/>
        </w:rPr>
      </w:pPr>
      <w:r>
        <w:rPr>
          <w:rFonts w:hint="default" w:ascii="Arial" w:hAnsi="Arial" w:eastAsia="宋体" w:cs="Arial"/>
          <w:sz w:val="24"/>
        </w:rPr>
        <w:t>2.2符合性审查</w:t>
      </w:r>
    </w:p>
    <w:p w14:paraId="6477425D">
      <w:pPr>
        <w:keepNext w:val="0"/>
        <w:keepLines w:val="0"/>
        <w:pageBreakBefore w:val="0"/>
        <w:widowControl w:val="0"/>
        <w:kinsoku/>
        <w:wordWrap w:val="0"/>
        <w:overflowPunct/>
        <w:topLinePunct w:val="0"/>
        <w:autoSpaceDE/>
        <w:autoSpaceDN/>
        <w:bidi w:val="0"/>
        <w:spacing w:line="440" w:lineRule="exact"/>
        <w:ind w:firstLine="435"/>
        <w:jc w:val="both"/>
        <w:textAlignment w:val="auto"/>
        <w:rPr>
          <w:rFonts w:hint="eastAsia" w:ascii="宋体" w:hAnsi="宋体" w:eastAsia="宋体" w:cs="宋体"/>
          <w:sz w:val="24"/>
          <w:szCs w:val="24"/>
        </w:rPr>
      </w:pPr>
      <w:r>
        <w:rPr>
          <w:rFonts w:hint="default" w:ascii="Arial" w:hAnsi="Arial" w:eastAsia="宋体" w:cs="Arial"/>
          <w:sz w:val="24"/>
        </w:rPr>
        <w:t>评标委员会对通过资格审查的投标人的投标文件进行符合性审查，以确定其是否满足招标文件的实质性要求。符合性审查表如下：</w:t>
      </w:r>
    </w:p>
    <w:tbl>
      <w:tblPr>
        <w:tblStyle w:val="1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1859"/>
        <w:gridCol w:w="3386"/>
        <w:gridCol w:w="2505"/>
      </w:tblGrid>
      <w:tr w14:paraId="793D5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522" w:type="dxa"/>
            <w:gridSpan w:val="4"/>
            <w:tcBorders>
              <w:bottom w:val="single" w:color="auto" w:sz="4" w:space="0"/>
            </w:tcBorders>
            <w:noWrap w:val="0"/>
            <w:vAlign w:val="center"/>
          </w:tcPr>
          <w:p w14:paraId="7DE2D38A">
            <w:pPr>
              <w:keepNext w:val="0"/>
              <w:keepLines w:val="0"/>
              <w:pageBreakBefore w:val="0"/>
              <w:widowControl w:val="0"/>
              <w:kinsoku/>
              <w:wordWrap w:val="0"/>
              <w:overflowPunct/>
              <w:topLinePunct w:val="0"/>
              <w:autoSpaceDE/>
              <w:autoSpaceDN/>
              <w:bidi w:val="0"/>
              <w:adjustRightInd w:val="0"/>
              <w:snapToGrid w:val="0"/>
              <w:spacing w:line="440" w:lineRule="exact"/>
              <w:ind w:right="-10"/>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符合性审查表</w:t>
            </w:r>
          </w:p>
        </w:tc>
      </w:tr>
      <w:tr w14:paraId="593C6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2" w:type="dxa"/>
            <w:tcBorders>
              <w:bottom w:val="single" w:color="auto" w:sz="4" w:space="0"/>
            </w:tcBorders>
            <w:noWrap w:val="0"/>
            <w:vAlign w:val="center"/>
          </w:tcPr>
          <w:p w14:paraId="13F5BD6C">
            <w:pPr>
              <w:keepNext w:val="0"/>
              <w:keepLines w:val="0"/>
              <w:pageBreakBefore w:val="0"/>
              <w:widowControl w:val="0"/>
              <w:kinsoku/>
              <w:wordWrap w:val="0"/>
              <w:overflowPunct/>
              <w:topLinePunct w:val="0"/>
              <w:autoSpaceDE/>
              <w:autoSpaceDN/>
              <w:bidi w:val="0"/>
              <w:adjustRightInd w:val="0"/>
              <w:snapToGrid w:val="0"/>
              <w:spacing w:line="440" w:lineRule="exact"/>
              <w:ind w:right="-10"/>
              <w:jc w:val="both"/>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1859" w:type="dxa"/>
            <w:tcBorders>
              <w:bottom w:val="single" w:color="auto" w:sz="4" w:space="0"/>
            </w:tcBorders>
            <w:noWrap w:val="0"/>
            <w:vAlign w:val="center"/>
          </w:tcPr>
          <w:p w14:paraId="2B2495B6">
            <w:pPr>
              <w:pStyle w:val="13"/>
              <w:keepNext w:val="0"/>
              <w:keepLines w:val="0"/>
              <w:pageBreakBefore w:val="0"/>
              <w:widowControl w:val="0"/>
              <w:pBdr>
                <w:bottom w:val="none" w:color="auto" w:sz="0" w:space="0"/>
              </w:pBdr>
              <w:kinsoku/>
              <w:wordWrap w:val="0"/>
              <w:overflowPunct/>
              <w:topLinePunct w:val="0"/>
              <w:autoSpaceDE/>
              <w:autoSpaceDN/>
              <w:bidi w:val="0"/>
              <w:snapToGrid w:val="0"/>
              <w:spacing w:line="440" w:lineRule="exact"/>
              <w:ind w:right="-1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评审指标</w:t>
            </w:r>
          </w:p>
        </w:tc>
        <w:tc>
          <w:tcPr>
            <w:tcW w:w="3386" w:type="dxa"/>
            <w:tcBorders>
              <w:bottom w:val="single" w:color="auto" w:sz="4" w:space="0"/>
            </w:tcBorders>
            <w:noWrap w:val="0"/>
            <w:vAlign w:val="center"/>
          </w:tcPr>
          <w:p w14:paraId="003FF835">
            <w:pPr>
              <w:keepNext w:val="0"/>
              <w:keepLines w:val="0"/>
              <w:pageBreakBefore w:val="0"/>
              <w:widowControl w:val="0"/>
              <w:kinsoku/>
              <w:wordWrap w:val="0"/>
              <w:overflowPunct/>
              <w:topLinePunct w:val="0"/>
              <w:autoSpaceDE/>
              <w:autoSpaceDN/>
              <w:bidi w:val="0"/>
              <w:adjustRightInd w:val="0"/>
              <w:snapToGrid w:val="0"/>
              <w:spacing w:line="440" w:lineRule="exact"/>
              <w:ind w:right="-10"/>
              <w:jc w:val="both"/>
              <w:textAlignment w:val="auto"/>
              <w:rPr>
                <w:rFonts w:hint="eastAsia" w:ascii="宋体" w:hAnsi="宋体" w:eastAsia="宋体" w:cs="宋体"/>
                <w:sz w:val="24"/>
                <w:szCs w:val="24"/>
              </w:rPr>
            </w:pPr>
            <w:r>
              <w:rPr>
                <w:rFonts w:hint="eastAsia" w:ascii="宋体" w:hAnsi="宋体" w:eastAsia="宋体" w:cs="宋体"/>
                <w:sz w:val="24"/>
                <w:szCs w:val="24"/>
              </w:rPr>
              <w:t>评审标准</w:t>
            </w:r>
          </w:p>
        </w:tc>
        <w:tc>
          <w:tcPr>
            <w:tcW w:w="2505" w:type="dxa"/>
            <w:tcBorders>
              <w:bottom w:val="single" w:color="auto" w:sz="4" w:space="0"/>
            </w:tcBorders>
            <w:noWrap w:val="0"/>
            <w:vAlign w:val="center"/>
          </w:tcPr>
          <w:p w14:paraId="519E06A5">
            <w:pPr>
              <w:keepNext w:val="0"/>
              <w:keepLines w:val="0"/>
              <w:pageBreakBefore w:val="0"/>
              <w:widowControl w:val="0"/>
              <w:kinsoku/>
              <w:wordWrap w:val="0"/>
              <w:overflowPunct/>
              <w:topLinePunct w:val="0"/>
              <w:autoSpaceDE/>
              <w:autoSpaceDN/>
              <w:bidi w:val="0"/>
              <w:adjustRightInd w:val="0"/>
              <w:snapToGrid w:val="0"/>
              <w:spacing w:line="440" w:lineRule="exact"/>
              <w:ind w:right="-10"/>
              <w:jc w:val="both"/>
              <w:textAlignment w:val="auto"/>
              <w:rPr>
                <w:rFonts w:hint="eastAsia" w:ascii="宋体" w:hAnsi="宋体" w:eastAsia="宋体" w:cs="宋体"/>
                <w:sz w:val="24"/>
                <w:szCs w:val="24"/>
              </w:rPr>
            </w:pPr>
            <w:r>
              <w:rPr>
                <w:rFonts w:hint="eastAsia" w:ascii="宋体" w:hAnsi="宋体" w:eastAsia="宋体" w:cs="宋体"/>
                <w:sz w:val="24"/>
                <w:szCs w:val="24"/>
              </w:rPr>
              <w:t>格式及材料要求</w:t>
            </w:r>
          </w:p>
        </w:tc>
      </w:tr>
      <w:tr w14:paraId="6374A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noWrap w:val="0"/>
            <w:vAlign w:val="center"/>
          </w:tcPr>
          <w:p w14:paraId="05914D99">
            <w:pPr>
              <w:keepNext w:val="0"/>
              <w:keepLines w:val="0"/>
              <w:pageBreakBefore w:val="0"/>
              <w:widowControl w:val="0"/>
              <w:kinsoku/>
              <w:wordWrap w:val="0"/>
              <w:overflowPunct/>
              <w:topLinePunct w:val="0"/>
              <w:autoSpaceDE/>
              <w:autoSpaceDN/>
              <w:bidi w:val="0"/>
              <w:adjustRightInd w:val="0"/>
              <w:snapToGrid w:val="0"/>
              <w:spacing w:line="440" w:lineRule="exact"/>
              <w:ind w:right="-10"/>
              <w:jc w:val="both"/>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859" w:type="dxa"/>
            <w:noWrap w:val="0"/>
            <w:vAlign w:val="center"/>
          </w:tcPr>
          <w:p w14:paraId="54939154">
            <w:pPr>
              <w:keepNext w:val="0"/>
              <w:keepLines w:val="0"/>
              <w:pageBreakBefore w:val="0"/>
              <w:widowControl w:val="0"/>
              <w:kinsoku/>
              <w:wordWrap w:val="0"/>
              <w:overflowPunct/>
              <w:topLinePunct w:val="0"/>
              <w:autoSpaceDE/>
              <w:autoSpaceDN/>
              <w:bidi w:val="0"/>
              <w:spacing w:after="50" w:line="440" w:lineRule="exact"/>
              <w:ind w:right="-10"/>
              <w:jc w:val="both"/>
              <w:textAlignment w:val="auto"/>
              <w:rPr>
                <w:rFonts w:hint="eastAsia" w:ascii="宋体" w:hAnsi="宋体" w:eastAsia="宋体" w:cs="宋体"/>
                <w:sz w:val="24"/>
                <w:szCs w:val="24"/>
              </w:rPr>
            </w:pPr>
            <w:r>
              <w:rPr>
                <w:rFonts w:hint="eastAsia" w:ascii="宋体" w:hAnsi="宋体" w:eastAsia="宋体" w:cs="宋体"/>
                <w:sz w:val="24"/>
                <w:szCs w:val="24"/>
              </w:rPr>
              <w:t>开标一览表</w:t>
            </w:r>
          </w:p>
        </w:tc>
        <w:tc>
          <w:tcPr>
            <w:tcW w:w="3386" w:type="dxa"/>
            <w:noWrap w:val="0"/>
            <w:vAlign w:val="center"/>
          </w:tcPr>
          <w:p w14:paraId="5DAAE082">
            <w:pPr>
              <w:keepNext w:val="0"/>
              <w:keepLines w:val="0"/>
              <w:pageBreakBefore w:val="0"/>
              <w:widowControl w:val="0"/>
              <w:kinsoku/>
              <w:wordWrap w:val="0"/>
              <w:overflowPunct/>
              <w:topLinePunct w:val="0"/>
              <w:autoSpaceDE/>
              <w:autoSpaceDN/>
              <w:bidi w:val="0"/>
              <w:spacing w:after="50" w:line="440" w:lineRule="exact"/>
              <w:ind w:right="-10"/>
              <w:jc w:val="both"/>
              <w:textAlignment w:val="auto"/>
              <w:rPr>
                <w:rFonts w:hint="eastAsia" w:ascii="宋体" w:hAnsi="宋体" w:eastAsia="宋体" w:cs="宋体"/>
                <w:sz w:val="24"/>
                <w:szCs w:val="24"/>
                <w:lang w:eastAsia="zh-CN"/>
              </w:rPr>
            </w:pPr>
            <w:r>
              <w:rPr>
                <w:rFonts w:hint="eastAsia" w:ascii="宋体" w:hAnsi="宋体" w:eastAsia="宋体" w:cs="宋体"/>
                <w:sz w:val="24"/>
                <w:szCs w:val="24"/>
              </w:rPr>
              <w:t>格式、填写要求符合招标文件规定并</w:t>
            </w:r>
            <w:r>
              <w:rPr>
                <w:rFonts w:hint="eastAsia" w:ascii="宋体" w:hAnsi="宋体" w:eastAsia="宋体" w:cs="宋体"/>
                <w:sz w:val="24"/>
                <w:szCs w:val="24"/>
                <w:lang w:eastAsia="zh-CN"/>
              </w:rPr>
              <w:t>经</w:t>
            </w:r>
            <w:r>
              <w:rPr>
                <w:rFonts w:hint="eastAsia" w:ascii="宋体" w:hAnsi="宋体" w:eastAsia="宋体" w:cs="宋体"/>
                <w:sz w:val="24"/>
                <w:szCs w:val="24"/>
              </w:rPr>
              <w:t>投标人</w:t>
            </w:r>
            <w:r>
              <w:rPr>
                <w:rFonts w:hint="eastAsia" w:ascii="宋体" w:hAnsi="宋体" w:eastAsia="宋体" w:cs="宋体"/>
                <w:sz w:val="24"/>
                <w:szCs w:val="24"/>
                <w:lang w:eastAsia="zh-CN"/>
              </w:rPr>
              <w:t>电子签章</w:t>
            </w:r>
          </w:p>
        </w:tc>
        <w:tc>
          <w:tcPr>
            <w:tcW w:w="2505" w:type="dxa"/>
            <w:noWrap w:val="0"/>
            <w:vAlign w:val="center"/>
          </w:tcPr>
          <w:p w14:paraId="2A0C1D8C">
            <w:pPr>
              <w:keepNext w:val="0"/>
              <w:keepLines w:val="0"/>
              <w:pageBreakBefore w:val="0"/>
              <w:widowControl w:val="0"/>
              <w:kinsoku/>
              <w:wordWrap w:val="0"/>
              <w:overflowPunct/>
              <w:topLinePunct w:val="0"/>
              <w:autoSpaceDE/>
              <w:autoSpaceDN/>
              <w:bidi w:val="0"/>
              <w:adjustRightInd w:val="0"/>
              <w:snapToGrid w:val="0"/>
              <w:spacing w:line="440" w:lineRule="exact"/>
              <w:ind w:right="-10"/>
              <w:jc w:val="both"/>
              <w:textAlignment w:val="auto"/>
              <w:rPr>
                <w:rFonts w:hint="eastAsia" w:ascii="宋体" w:hAnsi="宋体" w:eastAsia="宋体" w:cs="宋体"/>
                <w:sz w:val="24"/>
                <w:szCs w:val="24"/>
              </w:rPr>
            </w:pPr>
            <w:r>
              <w:rPr>
                <w:rFonts w:hint="eastAsia" w:ascii="宋体" w:hAnsi="宋体" w:eastAsia="宋体" w:cs="宋体"/>
                <w:sz w:val="24"/>
                <w:szCs w:val="24"/>
              </w:rPr>
              <w:t>详见第六章投标文件格式一</w:t>
            </w:r>
          </w:p>
        </w:tc>
      </w:tr>
      <w:tr w14:paraId="4228C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noWrap w:val="0"/>
            <w:vAlign w:val="center"/>
          </w:tcPr>
          <w:p w14:paraId="7414D259">
            <w:pPr>
              <w:keepNext w:val="0"/>
              <w:keepLines w:val="0"/>
              <w:pageBreakBefore w:val="0"/>
              <w:widowControl w:val="0"/>
              <w:kinsoku/>
              <w:wordWrap w:val="0"/>
              <w:overflowPunct/>
              <w:topLinePunct w:val="0"/>
              <w:autoSpaceDE/>
              <w:autoSpaceDN/>
              <w:bidi w:val="0"/>
              <w:adjustRightInd w:val="0"/>
              <w:snapToGrid w:val="0"/>
              <w:spacing w:line="440" w:lineRule="exact"/>
              <w:ind w:right="-10"/>
              <w:jc w:val="both"/>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1859" w:type="dxa"/>
            <w:noWrap w:val="0"/>
            <w:vAlign w:val="center"/>
          </w:tcPr>
          <w:p w14:paraId="18EDE81A">
            <w:pPr>
              <w:keepNext w:val="0"/>
              <w:keepLines w:val="0"/>
              <w:pageBreakBefore w:val="0"/>
              <w:widowControl w:val="0"/>
              <w:kinsoku/>
              <w:wordWrap w:val="0"/>
              <w:overflowPunct/>
              <w:topLinePunct w:val="0"/>
              <w:autoSpaceDE/>
              <w:autoSpaceDN/>
              <w:bidi w:val="0"/>
              <w:spacing w:after="50" w:line="440" w:lineRule="exact"/>
              <w:ind w:right="-10"/>
              <w:jc w:val="both"/>
              <w:textAlignment w:val="auto"/>
              <w:rPr>
                <w:rFonts w:hint="eastAsia" w:ascii="宋体" w:hAnsi="宋体" w:eastAsia="宋体" w:cs="宋体"/>
                <w:sz w:val="24"/>
                <w:szCs w:val="24"/>
              </w:rPr>
            </w:pPr>
            <w:r>
              <w:rPr>
                <w:rFonts w:hint="eastAsia" w:ascii="宋体" w:hAnsi="宋体" w:eastAsia="宋体" w:cs="宋体"/>
                <w:sz w:val="24"/>
                <w:szCs w:val="24"/>
              </w:rPr>
              <w:t>投标函</w:t>
            </w:r>
          </w:p>
        </w:tc>
        <w:tc>
          <w:tcPr>
            <w:tcW w:w="3386" w:type="dxa"/>
            <w:noWrap w:val="0"/>
            <w:vAlign w:val="center"/>
          </w:tcPr>
          <w:p w14:paraId="6A4E1EAF">
            <w:pPr>
              <w:keepNext w:val="0"/>
              <w:keepLines w:val="0"/>
              <w:pageBreakBefore w:val="0"/>
              <w:widowControl w:val="0"/>
              <w:kinsoku/>
              <w:wordWrap w:val="0"/>
              <w:overflowPunct/>
              <w:topLinePunct w:val="0"/>
              <w:autoSpaceDE/>
              <w:autoSpaceDN/>
              <w:bidi w:val="0"/>
              <w:spacing w:after="50" w:line="440" w:lineRule="exact"/>
              <w:ind w:right="-10"/>
              <w:jc w:val="both"/>
              <w:textAlignment w:val="auto"/>
              <w:rPr>
                <w:rFonts w:hint="eastAsia" w:ascii="宋体" w:hAnsi="宋体" w:eastAsia="宋体" w:cs="宋体"/>
                <w:sz w:val="24"/>
                <w:szCs w:val="24"/>
                <w:lang w:eastAsia="zh-CN"/>
              </w:rPr>
            </w:pPr>
            <w:r>
              <w:rPr>
                <w:rFonts w:hint="eastAsia" w:ascii="宋体" w:hAnsi="宋体" w:eastAsia="宋体" w:cs="宋体"/>
                <w:sz w:val="24"/>
                <w:szCs w:val="24"/>
              </w:rPr>
              <w:t>格式、填写要求符合招标文件规定并</w:t>
            </w:r>
            <w:r>
              <w:rPr>
                <w:rFonts w:hint="eastAsia" w:ascii="宋体" w:hAnsi="宋体" w:eastAsia="宋体" w:cs="宋体"/>
                <w:sz w:val="24"/>
                <w:szCs w:val="24"/>
                <w:lang w:eastAsia="zh-CN"/>
              </w:rPr>
              <w:t>经</w:t>
            </w:r>
            <w:r>
              <w:rPr>
                <w:rFonts w:hint="eastAsia" w:ascii="宋体" w:hAnsi="宋体" w:eastAsia="宋体" w:cs="宋体"/>
                <w:sz w:val="24"/>
                <w:szCs w:val="24"/>
              </w:rPr>
              <w:t>投标人</w:t>
            </w:r>
            <w:r>
              <w:rPr>
                <w:rFonts w:hint="eastAsia" w:ascii="宋体" w:hAnsi="宋体" w:eastAsia="宋体" w:cs="宋体"/>
                <w:sz w:val="24"/>
                <w:szCs w:val="24"/>
                <w:lang w:eastAsia="zh-CN"/>
              </w:rPr>
              <w:t>电子签章</w:t>
            </w:r>
          </w:p>
        </w:tc>
        <w:tc>
          <w:tcPr>
            <w:tcW w:w="2505" w:type="dxa"/>
            <w:noWrap w:val="0"/>
            <w:vAlign w:val="center"/>
          </w:tcPr>
          <w:p w14:paraId="0817BCB6">
            <w:pPr>
              <w:keepNext w:val="0"/>
              <w:keepLines w:val="0"/>
              <w:pageBreakBefore w:val="0"/>
              <w:widowControl w:val="0"/>
              <w:kinsoku/>
              <w:wordWrap w:val="0"/>
              <w:overflowPunct/>
              <w:topLinePunct w:val="0"/>
              <w:autoSpaceDE/>
              <w:autoSpaceDN/>
              <w:bidi w:val="0"/>
              <w:adjustRightInd w:val="0"/>
              <w:snapToGrid w:val="0"/>
              <w:spacing w:line="440" w:lineRule="exact"/>
              <w:ind w:right="-10"/>
              <w:jc w:val="both"/>
              <w:textAlignment w:val="auto"/>
              <w:rPr>
                <w:rFonts w:hint="eastAsia" w:ascii="宋体" w:hAnsi="宋体" w:eastAsia="宋体" w:cs="宋体"/>
                <w:sz w:val="24"/>
                <w:szCs w:val="24"/>
              </w:rPr>
            </w:pPr>
            <w:r>
              <w:rPr>
                <w:rFonts w:hint="eastAsia" w:ascii="宋体" w:hAnsi="宋体" w:eastAsia="宋体" w:cs="宋体"/>
                <w:sz w:val="24"/>
                <w:szCs w:val="24"/>
              </w:rPr>
              <w:t>详见第六章投标文件格式二</w:t>
            </w:r>
          </w:p>
        </w:tc>
      </w:tr>
      <w:tr w14:paraId="5587E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noWrap w:val="0"/>
            <w:vAlign w:val="center"/>
          </w:tcPr>
          <w:p w14:paraId="730B4DE8">
            <w:pPr>
              <w:keepNext w:val="0"/>
              <w:keepLines w:val="0"/>
              <w:pageBreakBefore w:val="0"/>
              <w:widowControl w:val="0"/>
              <w:kinsoku/>
              <w:wordWrap w:val="0"/>
              <w:overflowPunct/>
              <w:topLinePunct w:val="0"/>
              <w:autoSpaceDE/>
              <w:autoSpaceDN/>
              <w:bidi w:val="0"/>
              <w:adjustRightInd w:val="0"/>
              <w:snapToGrid w:val="0"/>
              <w:spacing w:line="440" w:lineRule="exact"/>
              <w:ind w:right="-10"/>
              <w:jc w:val="both"/>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1859" w:type="dxa"/>
            <w:noWrap w:val="0"/>
            <w:vAlign w:val="center"/>
          </w:tcPr>
          <w:p w14:paraId="13B07B39">
            <w:pPr>
              <w:keepNext w:val="0"/>
              <w:keepLines w:val="0"/>
              <w:pageBreakBefore w:val="0"/>
              <w:widowControl w:val="0"/>
              <w:kinsoku/>
              <w:wordWrap w:val="0"/>
              <w:overflowPunct/>
              <w:topLinePunct w:val="0"/>
              <w:autoSpaceDE/>
              <w:autoSpaceDN/>
              <w:bidi w:val="0"/>
              <w:spacing w:after="50" w:line="440" w:lineRule="exact"/>
              <w:ind w:right="-10"/>
              <w:jc w:val="both"/>
              <w:textAlignment w:val="auto"/>
              <w:rPr>
                <w:rFonts w:hint="eastAsia" w:ascii="宋体" w:hAnsi="宋体" w:eastAsia="宋体" w:cs="宋体"/>
                <w:sz w:val="24"/>
                <w:szCs w:val="24"/>
              </w:rPr>
            </w:pPr>
            <w:r>
              <w:rPr>
                <w:rFonts w:hint="eastAsia" w:ascii="宋体" w:hAnsi="宋体" w:eastAsia="宋体" w:cs="宋体"/>
                <w:sz w:val="24"/>
                <w:szCs w:val="24"/>
              </w:rPr>
              <w:t>授权书</w:t>
            </w:r>
          </w:p>
        </w:tc>
        <w:tc>
          <w:tcPr>
            <w:tcW w:w="3386" w:type="dxa"/>
            <w:noWrap w:val="0"/>
            <w:vAlign w:val="center"/>
          </w:tcPr>
          <w:p w14:paraId="5295C81B">
            <w:pPr>
              <w:keepNext w:val="0"/>
              <w:keepLines w:val="0"/>
              <w:pageBreakBefore w:val="0"/>
              <w:widowControl w:val="0"/>
              <w:kinsoku/>
              <w:wordWrap w:val="0"/>
              <w:overflowPunct/>
              <w:topLinePunct w:val="0"/>
              <w:autoSpaceDE/>
              <w:autoSpaceDN/>
              <w:bidi w:val="0"/>
              <w:spacing w:after="50" w:line="440" w:lineRule="exact"/>
              <w:ind w:right="-10"/>
              <w:jc w:val="both"/>
              <w:textAlignment w:val="auto"/>
              <w:rPr>
                <w:rFonts w:hint="eastAsia" w:ascii="宋体" w:hAnsi="宋体" w:eastAsia="宋体" w:cs="宋体"/>
                <w:sz w:val="24"/>
                <w:szCs w:val="24"/>
                <w:lang w:eastAsia="zh-CN"/>
              </w:rPr>
            </w:pPr>
            <w:r>
              <w:rPr>
                <w:rFonts w:hint="eastAsia" w:ascii="宋体" w:hAnsi="宋体" w:eastAsia="宋体" w:cs="宋体"/>
                <w:sz w:val="24"/>
                <w:szCs w:val="24"/>
              </w:rPr>
              <w:t>格式、填写要求符合招标文件规定并</w:t>
            </w:r>
            <w:r>
              <w:rPr>
                <w:rFonts w:hint="eastAsia" w:ascii="宋体" w:hAnsi="宋体" w:eastAsia="宋体" w:cs="宋体"/>
                <w:sz w:val="24"/>
                <w:szCs w:val="24"/>
                <w:lang w:eastAsia="zh-CN"/>
              </w:rPr>
              <w:t>经</w:t>
            </w:r>
            <w:r>
              <w:rPr>
                <w:rFonts w:hint="eastAsia" w:ascii="宋体" w:hAnsi="宋体" w:eastAsia="宋体" w:cs="宋体"/>
                <w:sz w:val="24"/>
                <w:szCs w:val="24"/>
              </w:rPr>
              <w:t>投标人</w:t>
            </w:r>
            <w:r>
              <w:rPr>
                <w:rFonts w:hint="eastAsia" w:ascii="宋体" w:hAnsi="宋体" w:eastAsia="宋体" w:cs="宋体"/>
                <w:sz w:val="24"/>
                <w:szCs w:val="24"/>
                <w:lang w:eastAsia="zh-CN"/>
              </w:rPr>
              <w:t>电子签章</w:t>
            </w:r>
          </w:p>
        </w:tc>
        <w:tc>
          <w:tcPr>
            <w:tcW w:w="2505" w:type="dxa"/>
            <w:noWrap w:val="0"/>
            <w:vAlign w:val="center"/>
          </w:tcPr>
          <w:p w14:paraId="452DD571">
            <w:pPr>
              <w:keepNext w:val="0"/>
              <w:keepLines w:val="0"/>
              <w:pageBreakBefore w:val="0"/>
              <w:widowControl w:val="0"/>
              <w:kinsoku/>
              <w:wordWrap w:val="0"/>
              <w:overflowPunct/>
              <w:topLinePunct w:val="0"/>
              <w:autoSpaceDE/>
              <w:autoSpaceDN/>
              <w:bidi w:val="0"/>
              <w:adjustRightInd w:val="0"/>
              <w:snapToGrid w:val="0"/>
              <w:spacing w:line="440" w:lineRule="exact"/>
              <w:ind w:right="-10"/>
              <w:jc w:val="both"/>
              <w:textAlignment w:val="auto"/>
              <w:rPr>
                <w:rFonts w:hint="eastAsia" w:ascii="宋体" w:hAnsi="宋体" w:eastAsia="宋体" w:cs="宋体"/>
                <w:sz w:val="24"/>
                <w:szCs w:val="24"/>
              </w:rPr>
            </w:pPr>
            <w:r>
              <w:rPr>
                <w:rFonts w:hint="eastAsia" w:ascii="宋体" w:hAnsi="宋体" w:eastAsia="宋体" w:cs="宋体"/>
                <w:sz w:val="24"/>
                <w:szCs w:val="24"/>
              </w:rPr>
              <w:t>法定代表人参加投标的无需此件，提供身份证明即可。详见第六章投标文件格式四</w:t>
            </w:r>
          </w:p>
        </w:tc>
      </w:tr>
      <w:tr w14:paraId="0B6A2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noWrap w:val="0"/>
            <w:vAlign w:val="center"/>
          </w:tcPr>
          <w:p w14:paraId="13A920F2">
            <w:pPr>
              <w:keepNext w:val="0"/>
              <w:keepLines w:val="0"/>
              <w:pageBreakBefore w:val="0"/>
              <w:widowControl w:val="0"/>
              <w:kinsoku/>
              <w:wordWrap w:val="0"/>
              <w:overflowPunct/>
              <w:topLinePunct w:val="0"/>
              <w:autoSpaceDE/>
              <w:autoSpaceDN/>
              <w:bidi w:val="0"/>
              <w:adjustRightInd w:val="0"/>
              <w:snapToGrid w:val="0"/>
              <w:spacing w:line="440" w:lineRule="exact"/>
              <w:ind w:right="-10"/>
              <w:jc w:val="both"/>
              <w:textAlignment w:val="auto"/>
              <w:rPr>
                <w:rFonts w:hint="eastAsia" w:ascii="宋体" w:hAnsi="宋体" w:eastAsia="宋体" w:cs="宋体"/>
                <w:sz w:val="24"/>
                <w:szCs w:val="24"/>
              </w:rPr>
            </w:pPr>
            <w:r>
              <w:rPr>
                <w:rFonts w:hint="eastAsia" w:ascii="宋体" w:hAnsi="宋体" w:eastAsia="宋体" w:cs="宋体"/>
                <w:sz w:val="24"/>
                <w:szCs w:val="24"/>
              </w:rPr>
              <w:t>4</w:t>
            </w:r>
          </w:p>
        </w:tc>
        <w:tc>
          <w:tcPr>
            <w:tcW w:w="1859" w:type="dxa"/>
            <w:noWrap w:val="0"/>
            <w:vAlign w:val="center"/>
          </w:tcPr>
          <w:p w14:paraId="41629E02">
            <w:pPr>
              <w:keepNext w:val="0"/>
              <w:keepLines w:val="0"/>
              <w:pageBreakBefore w:val="0"/>
              <w:widowControl w:val="0"/>
              <w:kinsoku/>
              <w:wordWrap w:val="0"/>
              <w:overflowPunct/>
              <w:topLinePunct w:val="0"/>
              <w:autoSpaceDE/>
              <w:autoSpaceDN/>
              <w:bidi w:val="0"/>
              <w:spacing w:after="50" w:line="440" w:lineRule="exact"/>
              <w:ind w:right="-10"/>
              <w:jc w:val="both"/>
              <w:textAlignment w:val="auto"/>
              <w:rPr>
                <w:rFonts w:hint="eastAsia" w:ascii="宋体" w:hAnsi="宋体" w:eastAsia="宋体" w:cs="宋体"/>
                <w:sz w:val="24"/>
                <w:szCs w:val="24"/>
              </w:rPr>
            </w:pPr>
            <w:r>
              <w:rPr>
                <w:rFonts w:hint="eastAsia" w:ascii="宋体" w:hAnsi="宋体" w:eastAsia="宋体" w:cs="宋体"/>
                <w:sz w:val="24"/>
                <w:szCs w:val="24"/>
              </w:rPr>
              <w:t>投标报价</w:t>
            </w:r>
          </w:p>
        </w:tc>
        <w:tc>
          <w:tcPr>
            <w:tcW w:w="3386" w:type="dxa"/>
            <w:noWrap w:val="0"/>
            <w:vAlign w:val="center"/>
          </w:tcPr>
          <w:p w14:paraId="2609F0D8">
            <w:pPr>
              <w:keepNext w:val="0"/>
              <w:keepLines w:val="0"/>
              <w:pageBreakBefore w:val="0"/>
              <w:widowControl w:val="0"/>
              <w:kinsoku/>
              <w:wordWrap w:val="0"/>
              <w:overflowPunct/>
              <w:topLinePunct w:val="0"/>
              <w:autoSpaceDE/>
              <w:autoSpaceDN/>
              <w:bidi w:val="0"/>
              <w:spacing w:after="50" w:line="440" w:lineRule="exact"/>
              <w:ind w:right="-10"/>
              <w:jc w:val="both"/>
              <w:textAlignment w:val="auto"/>
              <w:rPr>
                <w:rFonts w:hint="eastAsia" w:ascii="宋体" w:hAnsi="宋体" w:eastAsia="宋体" w:cs="宋体"/>
                <w:sz w:val="24"/>
                <w:szCs w:val="24"/>
              </w:rPr>
            </w:pPr>
            <w:r>
              <w:rPr>
                <w:rFonts w:hint="eastAsia" w:ascii="宋体" w:hAnsi="宋体" w:eastAsia="宋体" w:cs="宋体"/>
                <w:sz w:val="24"/>
                <w:szCs w:val="24"/>
              </w:rPr>
              <w:t>符合招标文件投标人须知正文第12条要求</w:t>
            </w:r>
          </w:p>
        </w:tc>
        <w:tc>
          <w:tcPr>
            <w:tcW w:w="2505" w:type="dxa"/>
            <w:noWrap w:val="0"/>
            <w:vAlign w:val="center"/>
          </w:tcPr>
          <w:p w14:paraId="64F966AC">
            <w:pPr>
              <w:keepNext w:val="0"/>
              <w:keepLines w:val="0"/>
              <w:pageBreakBefore w:val="0"/>
              <w:widowControl w:val="0"/>
              <w:kinsoku/>
              <w:wordWrap w:val="0"/>
              <w:overflowPunct/>
              <w:topLinePunct w:val="0"/>
              <w:autoSpaceDE/>
              <w:autoSpaceDN/>
              <w:bidi w:val="0"/>
              <w:adjustRightInd w:val="0"/>
              <w:snapToGrid w:val="0"/>
              <w:spacing w:line="440" w:lineRule="exact"/>
              <w:ind w:right="-10"/>
              <w:jc w:val="both"/>
              <w:textAlignment w:val="auto"/>
              <w:rPr>
                <w:rFonts w:hint="eastAsia" w:ascii="宋体" w:hAnsi="宋体" w:eastAsia="宋体" w:cs="宋体"/>
                <w:sz w:val="24"/>
                <w:szCs w:val="24"/>
              </w:rPr>
            </w:pPr>
            <w:r>
              <w:rPr>
                <w:rFonts w:hint="eastAsia" w:ascii="宋体" w:hAnsi="宋体" w:eastAsia="宋体" w:cs="宋体"/>
                <w:sz w:val="24"/>
                <w:szCs w:val="24"/>
              </w:rPr>
              <w:t>详见第六章投标文件格式五</w:t>
            </w:r>
          </w:p>
        </w:tc>
      </w:tr>
      <w:tr w14:paraId="22064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noWrap w:val="0"/>
            <w:vAlign w:val="center"/>
          </w:tcPr>
          <w:p w14:paraId="40F3E080">
            <w:pPr>
              <w:keepNext w:val="0"/>
              <w:keepLines w:val="0"/>
              <w:pageBreakBefore w:val="0"/>
              <w:widowControl w:val="0"/>
              <w:kinsoku/>
              <w:wordWrap w:val="0"/>
              <w:overflowPunct/>
              <w:topLinePunct w:val="0"/>
              <w:autoSpaceDE/>
              <w:autoSpaceDN/>
              <w:bidi w:val="0"/>
              <w:adjustRightInd w:val="0"/>
              <w:snapToGrid w:val="0"/>
              <w:spacing w:line="440" w:lineRule="exact"/>
              <w:ind w:right="-1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1859" w:type="dxa"/>
            <w:noWrap w:val="0"/>
            <w:vAlign w:val="center"/>
          </w:tcPr>
          <w:p w14:paraId="1D302CD0">
            <w:pPr>
              <w:keepNext w:val="0"/>
              <w:keepLines w:val="0"/>
              <w:pageBreakBefore w:val="0"/>
              <w:kinsoku/>
              <w:wordWrap w:val="0"/>
              <w:overflowPunct/>
              <w:topLinePunct w:val="0"/>
              <w:bidi w:val="0"/>
              <w:jc w:val="left"/>
              <w:textAlignment w:val="auto"/>
              <w:rPr>
                <w:rFonts w:hint="eastAsia" w:ascii="宋体" w:hAnsi="宋体" w:eastAsia="宋体" w:cs="宋体"/>
                <w:sz w:val="24"/>
                <w:szCs w:val="24"/>
              </w:rPr>
            </w:pPr>
            <w:r>
              <w:rPr>
                <w:rFonts w:hint="eastAsia" w:ascii="Arial" w:hAnsi="Arial" w:eastAsia="宋体" w:cs="Arial"/>
                <w:sz w:val="24"/>
                <w:lang w:val="en-US" w:eastAsia="zh-CN"/>
              </w:rPr>
              <w:t>招标文件获取情况</w:t>
            </w:r>
          </w:p>
        </w:tc>
        <w:tc>
          <w:tcPr>
            <w:tcW w:w="3386" w:type="dxa"/>
            <w:noWrap w:val="0"/>
            <w:vAlign w:val="center"/>
          </w:tcPr>
          <w:p w14:paraId="4A178128">
            <w:pPr>
              <w:keepNext w:val="0"/>
              <w:keepLines w:val="0"/>
              <w:pageBreakBefore w:val="0"/>
              <w:kinsoku/>
              <w:wordWrap w:val="0"/>
              <w:overflowPunct/>
              <w:topLinePunct w:val="0"/>
              <w:bidi w:val="0"/>
              <w:jc w:val="left"/>
              <w:textAlignment w:val="auto"/>
              <w:rPr>
                <w:rFonts w:hint="eastAsia" w:ascii="宋体" w:hAnsi="宋体" w:eastAsia="宋体" w:cs="宋体"/>
                <w:sz w:val="24"/>
                <w:szCs w:val="24"/>
              </w:rPr>
            </w:pPr>
            <w:r>
              <w:rPr>
                <w:rFonts w:hint="eastAsia" w:ascii="Arial" w:hAnsi="Arial" w:eastAsia="宋体" w:cs="Arial"/>
                <w:sz w:val="24"/>
                <w:lang w:val="en-US" w:eastAsia="zh-CN"/>
              </w:rPr>
              <w:t>按要求完成招标文件获取</w:t>
            </w:r>
          </w:p>
        </w:tc>
        <w:tc>
          <w:tcPr>
            <w:tcW w:w="2505" w:type="dxa"/>
            <w:noWrap w:val="0"/>
            <w:vAlign w:val="center"/>
          </w:tcPr>
          <w:p w14:paraId="28F0BC2E">
            <w:pPr>
              <w:keepNext w:val="0"/>
              <w:keepLines w:val="0"/>
              <w:pageBreakBefore w:val="0"/>
              <w:widowControl w:val="0"/>
              <w:kinsoku/>
              <w:wordWrap w:val="0"/>
              <w:overflowPunct/>
              <w:topLinePunct w:val="0"/>
              <w:autoSpaceDE/>
              <w:autoSpaceDN/>
              <w:bidi w:val="0"/>
              <w:adjustRightInd w:val="0"/>
              <w:snapToGrid w:val="0"/>
              <w:spacing w:line="440" w:lineRule="exact"/>
              <w:ind w:right="-10"/>
              <w:jc w:val="both"/>
              <w:textAlignment w:val="auto"/>
              <w:rPr>
                <w:rFonts w:hint="eastAsia" w:ascii="宋体" w:hAnsi="宋体" w:eastAsia="宋体" w:cs="宋体"/>
                <w:sz w:val="24"/>
                <w:szCs w:val="24"/>
              </w:rPr>
            </w:pPr>
          </w:p>
        </w:tc>
      </w:tr>
      <w:tr w14:paraId="5220F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noWrap w:val="0"/>
            <w:vAlign w:val="center"/>
          </w:tcPr>
          <w:p w14:paraId="0D68B3E5">
            <w:pPr>
              <w:keepNext w:val="0"/>
              <w:keepLines w:val="0"/>
              <w:pageBreakBefore w:val="0"/>
              <w:widowControl w:val="0"/>
              <w:kinsoku/>
              <w:wordWrap w:val="0"/>
              <w:overflowPunct/>
              <w:topLinePunct w:val="0"/>
              <w:autoSpaceDE/>
              <w:autoSpaceDN/>
              <w:bidi w:val="0"/>
              <w:spacing w:line="440" w:lineRule="exact"/>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1859" w:type="dxa"/>
            <w:noWrap w:val="0"/>
            <w:vAlign w:val="center"/>
          </w:tcPr>
          <w:p w14:paraId="23FE6359">
            <w:pPr>
              <w:keepNext w:val="0"/>
              <w:keepLines w:val="0"/>
              <w:pageBreakBefore w:val="0"/>
              <w:widowControl w:val="0"/>
              <w:kinsoku/>
              <w:wordWrap w:val="0"/>
              <w:overflowPunct/>
              <w:topLinePunct w:val="0"/>
              <w:autoSpaceDE/>
              <w:autoSpaceDN/>
              <w:bidi w:val="0"/>
              <w:spacing w:line="440" w:lineRule="exact"/>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投标文件制作机器码</w:t>
            </w:r>
          </w:p>
        </w:tc>
        <w:tc>
          <w:tcPr>
            <w:tcW w:w="3386" w:type="dxa"/>
            <w:noWrap w:val="0"/>
            <w:vAlign w:val="center"/>
          </w:tcPr>
          <w:p w14:paraId="728F490E">
            <w:pPr>
              <w:keepNext w:val="0"/>
              <w:keepLines w:val="0"/>
              <w:pageBreakBefore w:val="0"/>
              <w:widowControl w:val="0"/>
              <w:kinsoku/>
              <w:wordWrap w:val="0"/>
              <w:overflowPunct/>
              <w:topLinePunct w:val="0"/>
              <w:autoSpaceDE/>
              <w:autoSpaceDN/>
              <w:bidi w:val="0"/>
              <w:spacing w:line="440" w:lineRule="exact"/>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不同投标人的投标文件制作机器码不得相同</w:t>
            </w:r>
          </w:p>
        </w:tc>
        <w:tc>
          <w:tcPr>
            <w:tcW w:w="2505" w:type="dxa"/>
            <w:noWrap w:val="0"/>
            <w:vAlign w:val="center"/>
          </w:tcPr>
          <w:p w14:paraId="0C23C062">
            <w:pPr>
              <w:keepNext w:val="0"/>
              <w:keepLines w:val="0"/>
              <w:pageBreakBefore w:val="0"/>
              <w:widowControl w:val="0"/>
              <w:kinsoku/>
              <w:wordWrap w:val="0"/>
              <w:overflowPunct/>
              <w:topLinePunct w:val="0"/>
              <w:autoSpaceDE/>
              <w:autoSpaceDN/>
              <w:bidi w:val="0"/>
              <w:spacing w:line="440" w:lineRule="exact"/>
              <w:jc w:val="both"/>
              <w:textAlignment w:val="auto"/>
              <w:rPr>
                <w:rFonts w:hint="eastAsia" w:ascii="宋体" w:hAnsi="宋体" w:eastAsia="宋体" w:cs="宋体"/>
                <w:kern w:val="2"/>
                <w:sz w:val="24"/>
                <w:szCs w:val="24"/>
                <w:lang w:val="en-US" w:eastAsia="zh-CN" w:bidi="ar-SA"/>
              </w:rPr>
            </w:pPr>
          </w:p>
        </w:tc>
      </w:tr>
      <w:tr w14:paraId="22000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noWrap w:val="0"/>
            <w:vAlign w:val="center"/>
          </w:tcPr>
          <w:p w14:paraId="5FE90CC3">
            <w:pPr>
              <w:keepNext w:val="0"/>
              <w:keepLines w:val="0"/>
              <w:pageBreakBefore w:val="0"/>
              <w:widowControl w:val="0"/>
              <w:kinsoku/>
              <w:wordWrap w:val="0"/>
              <w:overflowPunct/>
              <w:topLinePunct w:val="0"/>
              <w:autoSpaceDE/>
              <w:autoSpaceDN/>
              <w:bidi w:val="0"/>
              <w:adjustRightInd w:val="0"/>
              <w:snapToGrid w:val="0"/>
              <w:spacing w:line="440" w:lineRule="exact"/>
              <w:ind w:right="-1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p>
        </w:tc>
        <w:tc>
          <w:tcPr>
            <w:tcW w:w="1859" w:type="dxa"/>
            <w:noWrap w:val="0"/>
            <w:vAlign w:val="center"/>
          </w:tcPr>
          <w:p w14:paraId="0750A923">
            <w:pPr>
              <w:keepNext w:val="0"/>
              <w:keepLines w:val="0"/>
              <w:pageBreakBefore w:val="0"/>
              <w:widowControl w:val="0"/>
              <w:kinsoku/>
              <w:wordWrap w:val="0"/>
              <w:overflowPunct/>
              <w:topLinePunct w:val="0"/>
              <w:autoSpaceDE/>
              <w:autoSpaceDN/>
              <w:bidi w:val="0"/>
              <w:spacing w:after="50" w:line="440" w:lineRule="exact"/>
              <w:ind w:right="-1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投标保证金</w:t>
            </w:r>
          </w:p>
        </w:tc>
        <w:tc>
          <w:tcPr>
            <w:tcW w:w="3386" w:type="dxa"/>
            <w:noWrap w:val="0"/>
            <w:vAlign w:val="center"/>
          </w:tcPr>
          <w:p w14:paraId="01A2BC48">
            <w:pPr>
              <w:keepNext w:val="0"/>
              <w:keepLines w:val="0"/>
              <w:pageBreakBefore w:val="0"/>
              <w:widowControl w:val="0"/>
              <w:kinsoku/>
              <w:wordWrap w:val="0"/>
              <w:overflowPunct/>
              <w:topLinePunct w:val="0"/>
              <w:autoSpaceDE/>
              <w:autoSpaceDN/>
              <w:bidi w:val="0"/>
              <w:spacing w:after="50" w:line="440" w:lineRule="exact"/>
              <w:ind w:right="-1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符合招标文件投标人须知正文第13条要求</w:t>
            </w:r>
          </w:p>
        </w:tc>
        <w:tc>
          <w:tcPr>
            <w:tcW w:w="2505" w:type="dxa"/>
            <w:noWrap w:val="0"/>
            <w:vAlign w:val="center"/>
          </w:tcPr>
          <w:p w14:paraId="2BD522FE">
            <w:pPr>
              <w:keepNext w:val="0"/>
              <w:keepLines w:val="0"/>
              <w:pageBreakBefore w:val="0"/>
              <w:widowControl w:val="0"/>
              <w:kinsoku/>
              <w:wordWrap w:val="0"/>
              <w:overflowPunct/>
              <w:topLinePunct w:val="0"/>
              <w:autoSpaceDE/>
              <w:autoSpaceDN/>
              <w:bidi w:val="0"/>
              <w:adjustRightInd w:val="0"/>
              <w:snapToGrid w:val="0"/>
              <w:spacing w:line="440" w:lineRule="exact"/>
              <w:ind w:right="-10"/>
              <w:jc w:val="both"/>
              <w:textAlignment w:val="auto"/>
              <w:rPr>
                <w:rFonts w:hint="eastAsia" w:ascii="宋体" w:hAnsi="宋体" w:eastAsia="宋体" w:cs="宋体"/>
                <w:color w:val="auto"/>
                <w:sz w:val="24"/>
                <w:szCs w:val="24"/>
                <w:highlight w:val="none"/>
                <w:lang w:eastAsia="zh-CN"/>
              </w:rPr>
            </w:pPr>
          </w:p>
        </w:tc>
      </w:tr>
      <w:tr w14:paraId="6F317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noWrap w:val="0"/>
            <w:vAlign w:val="center"/>
          </w:tcPr>
          <w:p w14:paraId="2C7B252A">
            <w:pPr>
              <w:keepNext w:val="0"/>
              <w:keepLines w:val="0"/>
              <w:pageBreakBefore w:val="0"/>
              <w:widowControl w:val="0"/>
              <w:kinsoku/>
              <w:wordWrap w:val="0"/>
              <w:overflowPunct/>
              <w:topLinePunct w:val="0"/>
              <w:autoSpaceDE/>
              <w:autoSpaceDN/>
              <w:bidi w:val="0"/>
              <w:adjustRightInd w:val="0"/>
              <w:snapToGrid w:val="0"/>
              <w:spacing w:line="440" w:lineRule="exact"/>
              <w:ind w:right="-1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1859" w:type="dxa"/>
            <w:noWrap w:val="0"/>
            <w:vAlign w:val="center"/>
          </w:tcPr>
          <w:p w14:paraId="0358A6B8">
            <w:pPr>
              <w:keepNext w:val="0"/>
              <w:keepLines w:val="0"/>
              <w:pageBreakBefore w:val="0"/>
              <w:widowControl w:val="0"/>
              <w:kinsoku/>
              <w:wordWrap w:val="0"/>
              <w:overflowPunct/>
              <w:topLinePunct w:val="0"/>
              <w:autoSpaceDE/>
              <w:autoSpaceDN/>
              <w:bidi w:val="0"/>
              <w:spacing w:after="50" w:line="440" w:lineRule="exact"/>
              <w:ind w:right="-1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符合性审查业绩</w:t>
            </w:r>
          </w:p>
        </w:tc>
        <w:tc>
          <w:tcPr>
            <w:tcW w:w="3386" w:type="dxa"/>
            <w:noWrap w:val="0"/>
            <w:vAlign w:val="center"/>
          </w:tcPr>
          <w:p w14:paraId="30324181">
            <w:pPr>
              <w:keepNext w:val="0"/>
              <w:keepLines w:val="0"/>
              <w:pageBreakBefore w:val="0"/>
              <w:widowControl w:val="0"/>
              <w:kinsoku/>
              <w:wordWrap w:val="0"/>
              <w:overflowPunct/>
              <w:topLinePunct w:val="0"/>
              <w:autoSpaceDE/>
              <w:autoSpaceDN/>
              <w:bidi w:val="0"/>
              <w:spacing w:after="50" w:line="440" w:lineRule="exact"/>
              <w:ind w:right="-1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符合招标文件符合性审查业绩要求</w:t>
            </w:r>
          </w:p>
        </w:tc>
        <w:tc>
          <w:tcPr>
            <w:tcW w:w="2505" w:type="dxa"/>
            <w:noWrap w:val="0"/>
            <w:vAlign w:val="center"/>
          </w:tcPr>
          <w:p w14:paraId="5B8F8035">
            <w:pPr>
              <w:keepNext w:val="0"/>
              <w:keepLines w:val="0"/>
              <w:pageBreakBefore w:val="0"/>
              <w:widowControl w:val="0"/>
              <w:kinsoku/>
              <w:wordWrap w:val="0"/>
              <w:overflowPunct/>
              <w:topLinePunct w:val="0"/>
              <w:autoSpaceDE/>
              <w:autoSpaceDN/>
              <w:bidi w:val="0"/>
              <w:adjustRightInd w:val="0"/>
              <w:snapToGrid w:val="0"/>
              <w:spacing w:line="440" w:lineRule="exact"/>
              <w:ind w:right="-1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详见第三章采购需求“采购需求前附表”</w:t>
            </w:r>
          </w:p>
        </w:tc>
      </w:tr>
      <w:tr w14:paraId="44F0B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noWrap w:val="0"/>
            <w:vAlign w:val="center"/>
          </w:tcPr>
          <w:p w14:paraId="66BF0F74">
            <w:pPr>
              <w:keepNext w:val="0"/>
              <w:keepLines w:val="0"/>
              <w:pageBreakBefore w:val="0"/>
              <w:widowControl w:val="0"/>
              <w:kinsoku/>
              <w:wordWrap w:val="0"/>
              <w:overflowPunct/>
              <w:topLinePunct w:val="0"/>
              <w:autoSpaceDE/>
              <w:autoSpaceDN/>
              <w:bidi w:val="0"/>
              <w:adjustRightInd w:val="0"/>
              <w:snapToGrid w:val="0"/>
              <w:spacing w:line="440" w:lineRule="exact"/>
              <w:ind w:right="-1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p>
        </w:tc>
        <w:tc>
          <w:tcPr>
            <w:tcW w:w="1859" w:type="dxa"/>
            <w:noWrap w:val="0"/>
            <w:vAlign w:val="center"/>
          </w:tcPr>
          <w:p w14:paraId="2CF1AD96">
            <w:pPr>
              <w:keepNext w:val="0"/>
              <w:keepLines w:val="0"/>
              <w:pageBreakBefore w:val="0"/>
              <w:widowControl w:val="0"/>
              <w:kinsoku/>
              <w:wordWrap w:val="0"/>
              <w:overflowPunct/>
              <w:topLinePunct w:val="0"/>
              <w:autoSpaceDE/>
              <w:autoSpaceDN/>
              <w:bidi w:val="0"/>
              <w:spacing w:after="50" w:line="440" w:lineRule="exact"/>
              <w:ind w:right="-1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商务响应情况</w:t>
            </w:r>
          </w:p>
        </w:tc>
        <w:tc>
          <w:tcPr>
            <w:tcW w:w="3386" w:type="dxa"/>
            <w:noWrap w:val="0"/>
            <w:vAlign w:val="center"/>
          </w:tcPr>
          <w:p w14:paraId="50D52A67">
            <w:pPr>
              <w:keepNext w:val="0"/>
              <w:keepLines w:val="0"/>
              <w:pageBreakBefore w:val="0"/>
              <w:widowControl w:val="0"/>
              <w:kinsoku/>
              <w:wordWrap w:val="0"/>
              <w:overflowPunct/>
              <w:topLinePunct w:val="0"/>
              <w:autoSpaceDE/>
              <w:autoSpaceDN/>
              <w:bidi w:val="0"/>
              <w:spacing w:after="50" w:line="440" w:lineRule="exact"/>
              <w:ind w:right="-1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符合招标文件采购需求中对付款方式、服务期限、服务地点的要求。</w:t>
            </w:r>
          </w:p>
        </w:tc>
        <w:tc>
          <w:tcPr>
            <w:tcW w:w="2505" w:type="dxa"/>
            <w:noWrap w:val="0"/>
            <w:vAlign w:val="center"/>
          </w:tcPr>
          <w:p w14:paraId="3EFBD686">
            <w:pPr>
              <w:keepNext w:val="0"/>
              <w:keepLines w:val="0"/>
              <w:pageBreakBefore w:val="0"/>
              <w:widowControl w:val="0"/>
              <w:kinsoku/>
              <w:wordWrap w:val="0"/>
              <w:overflowPunct/>
              <w:topLinePunct w:val="0"/>
              <w:autoSpaceDE/>
              <w:autoSpaceDN/>
              <w:bidi w:val="0"/>
              <w:adjustRightInd w:val="0"/>
              <w:snapToGrid w:val="0"/>
              <w:spacing w:line="440" w:lineRule="exact"/>
              <w:ind w:right="-1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详见第六章投标文件格式六（6.1商务响应表）</w:t>
            </w:r>
          </w:p>
        </w:tc>
      </w:tr>
      <w:tr w14:paraId="33856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noWrap w:val="0"/>
            <w:vAlign w:val="center"/>
          </w:tcPr>
          <w:p w14:paraId="7BE2BD51">
            <w:pPr>
              <w:keepNext w:val="0"/>
              <w:keepLines w:val="0"/>
              <w:pageBreakBefore w:val="0"/>
              <w:widowControl w:val="0"/>
              <w:kinsoku/>
              <w:wordWrap w:val="0"/>
              <w:overflowPunct/>
              <w:topLinePunct w:val="0"/>
              <w:autoSpaceDE/>
              <w:autoSpaceDN/>
              <w:bidi w:val="0"/>
              <w:adjustRightInd w:val="0"/>
              <w:snapToGrid w:val="0"/>
              <w:spacing w:line="440" w:lineRule="exact"/>
              <w:ind w:right="-10"/>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1859" w:type="dxa"/>
            <w:noWrap w:val="0"/>
            <w:vAlign w:val="center"/>
          </w:tcPr>
          <w:p w14:paraId="46668479">
            <w:pPr>
              <w:keepNext w:val="0"/>
              <w:keepLines w:val="0"/>
              <w:pageBreakBefore w:val="0"/>
              <w:widowControl w:val="0"/>
              <w:kinsoku/>
              <w:wordWrap w:val="0"/>
              <w:overflowPunct/>
              <w:topLinePunct w:val="0"/>
              <w:autoSpaceDE/>
              <w:autoSpaceDN/>
              <w:bidi w:val="0"/>
              <w:spacing w:after="50" w:line="440" w:lineRule="exact"/>
              <w:ind w:right="-10"/>
              <w:jc w:val="both"/>
              <w:textAlignment w:val="auto"/>
              <w:rPr>
                <w:rFonts w:hint="eastAsia" w:ascii="宋体" w:hAnsi="宋体" w:eastAsia="宋体" w:cs="宋体"/>
                <w:sz w:val="24"/>
                <w:szCs w:val="24"/>
              </w:rPr>
            </w:pPr>
            <w:r>
              <w:rPr>
                <w:rFonts w:hint="eastAsia" w:ascii="宋体" w:hAnsi="宋体" w:eastAsia="宋体" w:cs="宋体"/>
                <w:sz w:val="24"/>
                <w:szCs w:val="24"/>
              </w:rPr>
              <w:t>服务响应情况</w:t>
            </w:r>
          </w:p>
          <w:p w14:paraId="0460F820">
            <w:pPr>
              <w:keepNext w:val="0"/>
              <w:keepLines w:val="0"/>
              <w:pageBreakBefore w:val="0"/>
              <w:widowControl w:val="0"/>
              <w:kinsoku/>
              <w:wordWrap w:val="0"/>
              <w:overflowPunct/>
              <w:topLinePunct w:val="0"/>
              <w:autoSpaceDE/>
              <w:autoSpaceDN/>
              <w:bidi w:val="0"/>
              <w:spacing w:after="50" w:line="440" w:lineRule="exact"/>
              <w:ind w:right="-10"/>
              <w:jc w:val="both"/>
              <w:textAlignment w:val="auto"/>
              <w:rPr>
                <w:rFonts w:hint="eastAsia" w:ascii="宋体" w:hAnsi="宋体" w:eastAsia="宋体" w:cs="宋体"/>
                <w:sz w:val="24"/>
                <w:szCs w:val="24"/>
              </w:rPr>
            </w:pPr>
          </w:p>
        </w:tc>
        <w:tc>
          <w:tcPr>
            <w:tcW w:w="3386" w:type="dxa"/>
            <w:noWrap w:val="0"/>
            <w:vAlign w:val="center"/>
          </w:tcPr>
          <w:p w14:paraId="448C4D74">
            <w:pPr>
              <w:keepNext w:val="0"/>
              <w:keepLines w:val="0"/>
              <w:pageBreakBefore w:val="0"/>
              <w:widowControl w:val="0"/>
              <w:kinsoku/>
              <w:wordWrap w:val="0"/>
              <w:overflowPunct/>
              <w:topLinePunct w:val="0"/>
              <w:autoSpaceDE/>
              <w:autoSpaceDN/>
              <w:bidi w:val="0"/>
              <w:spacing w:after="50" w:line="440" w:lineRule="exact"/>
              <w:ind w:right="-1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不存在招标</w:t>
            </w:r>
            <w:r>
              <w:rPr>
                <w:rFonts w:hint="eastAsia" w:ascii="宋体" w:hAnsi="宋体" w:eastAsia="宋体" w:cs="宋体"/>
                <w:sz w:val="24"/>
                <w:szCs w:val="24"/>
              </w:rPr>
              <w:t>文件采购需求</w:t>
            </w:r>
            <w:r>
              <w:rPr>
                <w:rFonts w:hint="eastAsia" w:ascii="宋体" w:hAnsi="宋体" w:eastAsia="宋体" w:cs="宋体"/>
                <w:sz w:val="24"/>
                <w:szCs w:val="24"/>
                <w:lang w:val="en-US" w:eastAsia="zh-CN"/>
              </w:rPr>
              <w:t>中投标无效的情形</w:t>
            </w:r>
          </w:p>
        </w:tc>
        <w:tc>
          <w:tcPr>
            <w:tcW w:w="2505" w:type="dxa"/>
            <w:noWrap w:val="0"/>
            <w:vAlign w:val="center"/>
          </w:tcPr>
          <w:p w14:paraId="7C48487D">
            <w:pPr>
              <w:keepNext w:val="0"/>
              <w:keepLines w:val="0"/>
              <w:pageBreakBefore w:val="0"/>
              <w:widowControl w:val="0"/>
              <w:kinsoku/>
              <w:wordWrap w:val="0"/>
              <w:overflowPunct/>
              <w:topLinePunct w:val="0"/>
              <w:autoSpaceDE/>
              <w:autoSpaceDN/>
              <w:bidi w:val="0"/>
              <w:adjustRightInd w:val="0"/>
              <w:snapToGrid w:val="0"/>
              <w:spacing w:line="440" w:lineRule="exact"/>
              <w:ind w:right="-10"/>
              <w:jc w:val="both"/>
              <w:textAlignment w:val="auto"/>
              <w:rPr>
                <w:rFonts w:hint="eastAsia" w:ascii="宋体" w:hAnsi="宋体" w:eastAsia="宋体" w:cs="宋体"/>
                <w:sz w:val="24"/>
                <w:szCs w:val="24"/>
              </w:rPr>
            </w:pPr>
            <w:r>
              <w:rPr>
                <w:rFonts w:hint="eastAsia" w:ascii="宋体" w:hAnsi="宋体" w:eastAsia="宋体" w:cs="宋体"/>
                <w:sz w:val="24"/>
                <w:szCs w:val="24"/>
              </w:rPr>
              <w:t>详见第六章投标文件格式六（6.2服务响应表）</w:t>
            </w:r>
          </w:p>
        </w:tc>
      </w:tr>
      <w:tr w14:paraId="2B13E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noWrap w:val="0"/>
            <w:vAlign w:val="center"/>
          </w:tcPr>
          <w:p w14:paraId="552AEA48">
            <w:pPr>
              <w:keepNext w:val="0"/>
              <w:keepLines w:val="0"/>
              <w:pageBreakBefore w:val="0"/>
              <w:widowControl w:val="0"/>
              <w:kinsoku/>
              <w:wordWrap w:val="0"/>
              <w:overflowPunct/>
              <w:topLinePunct w:val="0"/>
              <w:autoSpaceDE/>
              <w:autoSpaceDN/>
              <w:bidi w:val="0"/>
              <w:adjustRightInd w:val="0"/>
              <w:snapToGrid w:val="0"/>
              <w:spacing w:line="440" w:lineRule="exact"/>
              <w:ind w:right="-10"/>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11</w:t>
            </w:r>
          </w:p>
        </w:tc>
        <w:tc>
          <w:tcPr>
            <w:tcW w:w="1859" w:type="dxa"/>
            <w:noWrap w:val="0"/>
            <w:vAlign w:val="center"/>
          </w:tcPr>
          <w:p w14:paraId="6033E1D3">
            <w:pPr>
              <w:keepNext w:val="0"/>
              <w:keepLines w:val="0"/>
              <w:pageBreakBefore w:val="0"/>
              <w:widowControl w:val="0"/>
              <w:kinsoku/>
              <w:wordWrap w:val="0"/>
              <w:overflowPunct/>
              <w:topLinePunct w:val="0"/>
              <w:autoSpaceDE/>
              <w:autoSpaceDN/>
              <w:bidi w:val="0"/>
              <w:spacing w:after="50" w:line="440" w:lineRule="exact"/>
              <w:ind w:right="-1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人员配备</w:t>
            </w:r>
          </w:p>
        </w:tc>
        <w:tc>
          <w:tcPr>
            <w:tcW w:w="3386" w:type="dxa"/>
            <w:noWrap w:val="0"/>
            <w:vAlign w:val="center"/>
          </w:tcPr>
          <w:p w14:paraId="59A0BD26">
            <w:pPr>
              <w:keepNext w:val="0"/>
              <w:keepLines w:val="0"/>
              <w:pageBreakBefore w:val="0"/>
              <w:widowControl w:val="0"/>
              <w:kinsoku/>
              <w:wordWrap w:val="0"/>
              <w:overflowPunct/>
              <w:topLinePunct w:val="0"/>
              <w:autoSpaceDE/>
              <w:autoSpaceDN/>
              <w:bidi w:val="0"/>
              <w:spacing w:after="50" w:line="440" w:lineRule="exact"/>
              <w:ind w:right="-1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符合招标文件采购需求中的实质性要求</w:t>
            </w:r>
          </w:p>
        </w:tc>
        <w:tc>
          <w:tcPr>
            <w:tcW w:w="2505" w:type="dxa"/>
            <w:noWrap w:val="0"/>
            <w:vAlign w:val="center"/>
          </w:tcPr>
          <w:p w14:paraId="7B4D59E9">
            <w:pPr>
              <w:keepNext w:val="0"/>
              <w:keepLines w:val="0"/>
              <w:pageBreakBefore w:val="0"/>
              <w:widowControl w:val="0"/>
              <w:kinsoku/>
              <w:wordWrap w:val="0"/>
              <w:overflowPunct/>
              <w:topLinePunct w:val="0"/>
              <w:autoSpaceDE/>
              <w:autoSpaceDN/>
              <w:bidi w:val="0"/>
              <w:adjustRightInd w:val="0"/>
              <w:snapToGrid w:val="0"/>
              <w:spacing w:line="440" w:lineRule="exact"/>
              <w:ind w:right="-1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详见第六章投标文件格式七</w:t>
            </w:r>
          </w:p>
        </w:tc>
      </w:tr>
      <w:tr w14:paraId="60DFD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noWrap w:val="0"/>
            <w:vAlign w:val="center"/>
          </w:tcPr>
          <w:p w14:paraId="33A88241">
            <w:pPr>
              <w:keepNext w:val="0"/>
              <w:keepLines w:val="0"/>
              <w:pageBreakBefore w:val="0"/>
              <w:widowControl w:val="0"/>
              <w:kinsoku/>
              <w:wordWrap w:val="0"/>
              <w:overflowPunct/>
              <w:topLinePunct w:val="0"/>
              <w:autoSpaceDE/>
              <w:autoSpaceDN/>
              <w:bidi w:val="0"/>
              <w:adjustRightInd w:val="0"/>
              <w:snapToGrid w:val="0"/>
              <w:spacing w:line="440" w:lineRule="exact"/>
              <w:ind w:right="-10"/>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12</w:t>
            </w:r>
          </w:p>
        </w:tc>
        <w:tc>
          <w:tcPr>
            <w:tcW w:w="1859" w:type="dxa"/>
            <w:noWrap w:val="0"/>
            <w:vAlign w:val="center"/>
          </w:tcPr>
          <w:p w14:paraId="6280BF67">
            <w:pPr>
              <w:keepNext w:val="0"/>
              <w:keepLines w:val="0"/>
              <w:pageBreakBefore w:val="0"/>
              <w:widowControl w:val="0"/>
              <w:kinsoku/>
              <w:wordWrap w:val="0"/>
              <w:overflowPunct/>
              <w:topLinePunct w:val="0"/>
              <w:autoSpaceDE/>
              <w:autoSpaceDN/>
              <w:bidi w:val="0"/>
              <w:spacing w:after="50" w:line="440" w:lineRule="exact"/>
              <w:ind w:right="-10"/>
              <w:jc w:val="both"/>
              <w:textAlignment w:val="auto"/>
              <w:rPr>
                <w:rFonts w:hint="eastAsia" w:ascii="宋体" w:hAnsi="宋体" w:eastAsia="宋体" w:cs="宋体"/>
                <w:sz w:val="24"/>
                <w:szCs w:val="24"/>
              </w:rPr>
            </w:pPr>
            <w:r>
              <w:rPr>
                <w:rFonts w:hint="eastAsia" w:ascii="宋体" w:hAnsi="宋体" w:eastAsia="宋体" w:cs="宋体"/>
                <w:sz w:val="24"/>
                <w:szCs w:val="24"/>
              </w:rPr>
              <w:t>其他实质性要求</w:t>
            </w:r>
          </w:p>
        </w:tc>
        <w:tc>
          <w:tcPr>
            <w:tcW w:w="3386" w:type="dxa"/>
            <w:noWrap w:val="0"/>
            <w:vAlign w:val="center"/>
          </w:tcPr>
          <w:p w14:paraId="4E42B464">
            <w:pPr>
              <w:keepNext w:val="0"/>
              <w:keepLines w:val="0"/>
              <w:pageBreakBefore w:val="0"/>
              <w:widowControl w:val="0"/>
              <w:kinsoku/>
              <w:wordWrap w:val="0"/>
              <w:overflowPunct/>
              <w:topLinePunct w:val="0"/>
              <w:autoSpaceDE/>
              <w:autoSpaceDN/>
              <w:bidi w:val="0"/>
              <w:spacing w:after="50" w:line="440" w:lineRule="exact"/>
              <w:ind w:right="-10"/>
              <w:jc w:val="both"/>
              <w:textAlignment w:val="auto"/>
              <w:rPr>
                <w:rFonts w:hint="eastAsia" w:ascii="宋体" w:hAnsi="宋体" w:eastAsia="宋体" w:cs="宋体"/>
                <w:sz w:val="24"/>
                <w:szCs w:val="24"/>
              </w:rPr>
            </w:pPr>
            <w:r>
              <w:rPr>
                <w:rFonts w:hint="eastAsia" w:ascii="宋体" w:hAnsi="宋体" w:eastAsia="宋体" w:cs="宋体"/>
                <w:sz w:val="24"/>
                <w:szCs w:val="24"/>
              </w:rPr>
              <w:t>符合法律、行政法规规定的其他条件或招标文件列明的其他实质性要求</w:t>
            </w:r>
          </w:p>
        </w:tc>
        <w:tc>
          <w:tcPr>
            <w:tcW w:w="2505" w:type="dxa"/>
            <w:noWrap w:val="0"/>
            <w:vAlign w:val="center"/>
          </w:tcPr>
          <w:p w14:paraId="2B2D8940">
            <w:pPr>
              <w:keepNext w:val="0"/>
              <w:keepLines w:val="0"/>
              <w:pageBreakBefore w:val="0"/>
              <w:widowControl w:val="0"/>
              <w:kinsoku/>
              <w:wordWrap w:val="0"/>
              <w:overflowPunct/>
              <w:topLinePunct w:val="0"/>
              <w:autoSpaceDE/>
              <w:autoSpaceDN/>
              <w:bidi w:val="0"/>
              <w:adjustRightInd w:val="0"/>
              <w:snapToGrid w:val="0"/>
              <w:spacing w:line="440" w:lineRule="exact"/>
              <w:ind w:right="-10"/>
              <w:jc w:val="both"/>
              <w:textAlignment w:val="auto"/>
              <w:rPr>
                <w:rFonts w:hint="eastAsia" w:ascii="宋体" w:hAnsi="宋体" w:eastAsia="宋体" w:cs="宋体"/>
                <w:sz w:val="24"/>
                <w:szCs w:val="24"/>
              </w:rPr>
            </w:pPr>
          </w:p>
        </w:tc>
      </w:tr>
    </w:tbl>
    <w:p w14:paraId="548BE6F2">
      <w:pPr>
        <w:pageBreakBefore w:val="0"/>
        <w:kinsoku/>
        <w:wordWrap w:val="0"/>
        <w:overflowPunct/>
        <w:topLinePunct w:val="0"/>
        <w:bidi w:val="0"/>
        <w:spacing w:line="360" w:lineRule="auto"/>
        <w:ind w:firstLine="435"/>
        <w:textAlignment w:val="auto"/>
        <w:rPr>
          <w:rFonts w:hint="eastAsia" w:ascii="宋体" w:hAnsi="宋体" w:eastAsia="宋体" w:cs="宋体"/>
          <w:b/>
          <w:bCs/>
          <w:sz w:val="24"/>
          <w:szCs w:val="24"/>
        </w:rPr>
      </w:pPr>
    </w:p>
    <w:p w14:paraId="40F41FE9">
      <w:pPr>
        <w:pageBreakBefore w:val="0"/>
        <w:kinsoku/>
        <w:wordWrap w:val="0"/>
        <w:overflowPunct/>
        <w:topLinePunct w:val="0"/>
        <w:bidi w:val="0"/>
        <w:spacing w:line="360" w:lineRule="auto"/>
        <w:ind w:firstLine="435"/>
        <w:textAlignment w:val="auto"/>
        <w:rPr>
          <w:rFonts w:hint="eastAsia" w:ascii="宋体" w:hAnsi="宋体" w:eastAsia="宋体" w:cs="宋体"/>
          <w:sz w:val="24"/>
          <w:szCs w:val="24"/>
        </w:rPr>
      </w:pPr>
      <w:r>
        <w:rPr>
          <w:rFonts w:hint="eastAsia" w:ascii="宋体" w:hAnsi="宋体" w:eastAsia="宋体" w:cs="宋体"/>
          <w:b/>
          <w:bCs/>
          <w:sz w:val="24"/>
          <w:szCs w:val="24"/>
        </w:rPr>
        <w:t>符合性审查指标通过标准：</w:t>
      </w:r>
      <w:r>
        <w:rPr>
          <w:rFonts w:hint="eastAsia" w:ascii="宋体" w:hAnsi="宋体" w:eastAsia="宋体" w:cs="宋体"/>
          <w:sz w:val="24"/>
          <w:szCs w:val="24"/>
        </w:rPr>
        <w:t>投标人必须通过符合性审查表中的全部评审指标。</w:t>
      </w:r>
    </w:p>
    <w:p w14:paraId="7EFA6049">
      <w:pPr>
        <w:pageBreakBefore w:val="0"/>
        <w:kinsoku/>
        <w:wordWrap w:val="0"/>
        <w:overflowPunct/>
        <w:topLinePunct w:val="0"/>
        <w:bidi w:val="0"/>
        <w:spacing w:line="360" w:lineRule="auto"/>
        <w:ind w:firstLine="435"/>
        <w:textAlignment w:val="auto"/>
        <w:rPr>
          <w:rFonts w:ascii="宋体" w:hAnsi="宋体" w:eastAsia="宋体"/>
          <w:sz w:val="24"/>
        </w:rPr>
      </w:pPr>
      <w:r>
        <w:rPr>
          <w:rFonts w:hint="eastAsia" w:ascii="宋体" w:hAnsi="宋体" w:eastAsia="宋体"/>
          <w:sz w:val="24"/>
        </w:rPr>
        <w:t>2.3详细审查</w:t>
      </w:r>
    </w:p>
    <w:p w14:paraId="7BFF0117">
      <w:pPr>
        <w:pageBreakBefore w:val="0"/>
        <w:kinsoku/>
        <w:wordWrap w:val="0"/>
        <w:overflowPunct/>
        <w:topLinePunct w:val="0"/>
        <w:bidi w:val="0"/>
        <w:spacing w:line="360" w:lineRule="auto"/>
        <w:ind w:firstLine="435"/>
        <w:textAlignment w:val="auto"/>
        <w:rPr>
          <w:rFonts w:ascii="宋体" w:hAnsi="宋体" w:eastAsia="宋体"/>
          <w:sz w:val="24"/>
        </w:rPr>
      </w:pPr>
      <w:r>
        <w:rPr>
          <w:rFonts w:hint="eastAsia" w:ascii="宋体" w:hAnsi="宋体" w:eastAsia="宋体"/>
          <w:sz w:val="24"/>
        </w:rPr>
        <w:t>2</w:t>
      </w:r>
      <w:r>
        <w:rPr>
          <w:rFonts w:ascii="宋体" w:hAnsi="宋体" w:eastAsia="宋体"/>
          <w:sz w:val="24"/>
        </w:rPr>
        <w:t>.3.1</w:t>
      </w:r>
      <w:r>
        <w:rPr>
          <w:rFonts w:hint="eastAsia" w:ascii="宋体" w:hAnsi="宋体" w:eastAsia="宋体"/>
          <w:sz w:val="24"/>
        </w:rPr>
        <w:t>评标委员会按照下表对投标文件进行详细审查和评分。</w:t>
      </w:r>
    </w:p>
    <w:p w14:paraId="64533198">
      <w:pPr>
        <w:pageBreakBefore w:val="0"/>
        <w:kinsoku/>
        <w:wordWrap w:val="0"/>
        <w:overflowPunct/>
        <w:topLinePunct w:val="0"/>
        <w:bidi w:val="0"/>
        <w:spacing w:line="360" w:lineRule="auto"/>
        <w:ind w:firstLine="435"/>
        <w:textAlignment w:val="auto"/>
        <w:rPr>
          <w:rFonts w:ascii="宋体" w:hAnsi="宋体" w:eastAsia="宋体"/>
          <w:sz w:val="24"/>
        </w:rPr>
      </w:pPr>
      <w:r>
        <w:rPr>
          <w:rFonts w:hint="eastAsia" w:ascii="宋体" w:hAnsi="宋体" w:eastAsia="宋体"/>
          <w:sz w:val="24"/>
        </w:rPr>
        <w:t>2</w:t>
      </w:r>
      <w:r>
        <w:rPr>
          <w:rFonts w:ascii="宋体" w:hAnsi="宋体" w:eastAsia="宋体"/>
          <w:sz w:val="24"/>
        </w:rPr>
        <w:t>.3.2</w:t>
      </w:r>
      <w:r>
        <w:rPr>
          <w:rFonts w:hint="eastAsia" w:ascii="宋体" w:hAnsi="宋体" w:eastAsia="宋体"/>
          <w:sz w:val="24"/>
        </w:rPr>
        <w:t>本项目综合评分满分为1</w:t>
      </w:r>
      <w:r>
        <w:rPr>
          <w:rFonts w:ascii="宋体" w:hAnsi="宋体" w:eastAsia="宋体"/>
          <w:sz w:val="24"/>
        </w:rPr>
        <w:t>00</w:t>
      </w:r>
      <w:r>
        <w:rPr>
          <w:rFonts w:hint="eastAsia" w:ascii="宋体" w:hAnsi="宋体" w:eastAsia="宋体"/>
          <w:sz w:val="24"/>
        </w:rPr>
        <w:t>分，其中：技术资信分值占总分值的权重为</w:t>
      </w:r>
      <w:r>
        <w:rPr>
          <w:rFonts w:hint="default" w:ascii="宋体" w:hAnsi="宋体" w:eastAsia="宋体"/>
          <w:sz w:val="24"/>
          <w:u w:val="single"/>
          <w:lang w:eastAsia="zh-CN"/>
        </w:rPr>
        <w:t>7</w:t>
      </w:r>
      <w:r>
        <w:rPr>
          <w:rFonts w:hint="eastAsia" w:ascii="宋体" w:hAnsi="宋体" w:eastAsia="宋体"/>
          <w:sz w:val="24"/>
          <w:u w:val="single"/>
          <w:lang w:val="en-US" w:eastAsia="zh-CN"/>
        </w:rPr>
        <w:t>0</w:t>
      </w:r>
      <w:r>
        <w:rPr>
          <w:rFonts w:ascii="宋体" w:hAnsi="宋体" w:eastAsia="宋体"/>
          <w:sz w:val="24"/>
        </w:rPr>
        <w:t>%，价格分值占总分值的权重为</w:t>
      </w:r>
      <w:r>
        <w:rPr>
          <w:rFonts w:hint="default" w:ascii="宋体" w:hAnsi="宋体" w:eastAsia="宋体"/>
          <w:sz w:val="24"/>
          <w:u w:val="single"/>
          <w:lang w:eastAsia="zh-CN"/>
        </w:rPr>
        <w:t>3</w:t>
      </w:r>
      <w:r>
        <w:rPr>
          <w:rFonts w:hint="eastAsia" w:ascii="宋体" w:hAnsi="宋体" w:eastAsia="宋体"/>
          <w:sz w:val="24"/>
          <w:u w:val="single"/>
          <w:lang w:val="en-US" w:eastAsia="zh-CN"/>
        </w:rPr>
        <w:t>0</w:t>
      </w:r>
      <w:r>
        <w:rPr>
          <w:rFonts w:ascii="宋体" w:hAnsi="宋体" w:eastAsia="宋体"/>
          <w:sz w:val="24"/>
        </w:rPr>
        <w:t>%。具体评分细则如下：</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3"/>
        <w:gridCol w:w="1320"/>
        <w:gridCol w:w="4155"/>
        <w:gridCol w:w="1423"/>
      </w:tblGrid>
      <w:tr w14:paraId="0FBEF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3" w:type="dxa"/>
            <w:noWrap w:val="0"/>
            <w:vAlign w:val="center"/>
          </w:tcPr>
          <w:p w14:paraId="5F8794E6">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类别</w:t>
            </w:r>
          </w:p>
        </w:tc>
        <w:tc>
          <w:tcPr>
            <w:tcW w:w="1320" w:type="dxa"/>
            <w:noWrap w:val="0"/>
            <w:vAlign w:val="center"/>
          </w:tcPr>
          <w:p w14:paraId="76CCF29B">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评分内容</w:t>
            </w:r>
          </w:p>
        </w:tc>
        <w:tc>
          <w:tcPr>
            <w:tcW w:w="4155" w:type="dxa"/>
            <w:noWrap w:val="0"/>
            <w:vAlign w:val="center"/>
          </w:tcPr>
          <w:p w14:paraId="32F18D64">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评分标准</w:t>
            </w:r>
          </w:p>
        </w:tc>
        <w:tc>
          <w:tcPr>
            <w:tcW w:w="1423" w:type="dxa"/>
            <w:noWrap w:val="0"/>
            <w:vAlign w:val="center"/>
          </w:tcPr>
          <w:p w14:paraId="1ABCD0E7">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分值范围</w:t>
            </w:r>
          </w:p>
        </w:tc>
      </w:tr>
      <w:tr w14:paraId="15E31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3" w:type="dxa"/>
            <w:vMerge w:val="restart"/>
            <w:noWrap w:val="0"/>
            <w:vAlign w:val="center"/>
          </w:tcPr>
          <w:p w14:paraId="210EAD94">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技术资信分(</w:t>
            </w:r>
            <w:r>
              <w:rPr>
                <w:rFonts w:hint="default"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分)</w:t>
            </w:r>
          </w:p>
        </w:tc>
        <w:tc>
          <w:tcPr>
            <w:tcW w:w="1320" w:type="dxa"/>
            <w:noWrap w:val="0"/>
            <w:vAlign w:val="center"/>
          </w:tcPr>
          <w:p w14:paraId="07E7D6AA">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服务方案</w:t>
            </w:r>
          </w:p>
        </w:tc>
        <w:tc>
          <w:tcPr>
            <w:tcW w:w="4155" w:type="dxa"/>
            <w:noWrap w:val="0"/>
            <w:vAlign w:val="center"/>
          </w:tcPr>
          <w:p w14:paraId="5554A21F">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根据投标人针对本项目制定的服务方案，由</w:t>
            </w:r>
            <w:r>
              <w:rPr>
                <w:rFonts w:hint="eastAsia" w:ascii="宋体" w:hAnsi="宋体" w:eastAsia="宋体" w:cs="宋体"/>
                <w:color w:val="auto"/>
                <w:sz w:val="24"/>
                <w:szCs w:val="24"/>
                <w:highlight w:val="none"/>
                <w:lang w:eastAsia="zh-CN"/>
              </w:rPr>
              <w:t>评标委员会</w:t>
            </w:r>
            <w:r>
              <w:rPr>
                <w:rFonts w:hint="eastAsia" w:ascii="宋体" w:hAnsi="宋体" w:eastAsia="宋体" w:cs="宋体"/>
                <w:color w:val="auto"/>
                <w:sz w:val="24"/>
                <w:szCs w:val="24"/>
                <w:highlight w:val="none"/>
              </w:rPr>
              <w:t>综合评分。要求具有明确的服务目标、流程，完善的物业服务思路和策略，工作思路切实可行，制定有针对本项目特点、重点、难点的服务方案，措施针对性强，具有可操作性等：</w:t>
            </w:r>
          </w:p>
          <w:p w14:paraId="03289BA1">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1、整体设想及策划科学合理，可操作性强，得 3分；整体设想及策划比较合理，具备一定的可操作性，得2分；整体设想及策划比较简单，有待进一步完善的，得 1 分；差或未提供的不得分。</w:t>
            </w:r>
          </w:p>
          <w:p w14:paraId="60D7E027">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2、服务机构、工作流程及工作计划完善合理，可行性及针对性强，得 3分；服务机构、工作流程及工作计划比较完善，可行性及针对性较强，得 2 分；服务机构、工作流程及工作计划比较简单，有待进一步完善的，得 1 分；差或未提供的不得分。                           </w:t>
            </w:r>
          </w:p>
          <w:p w14:paraId="2A193E3F">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3、内部管理架构、激励机制、监督机制、自我约束机制、信息反馈及处理机制详细，方法可行，得 3分；内部管理架构、激励机制、监督机制、自我约束机制、信息反馈及处理机制较详细，方法较可行，得 2分；管理方式比较简单，有待进一步完善的，得 1 分；差或未提供的不得分。</w:t>
            </w:r>
          </w:p>
        </w:tc>
        <w:tc>
          <w:tcPr>
            <w:tcW w:w="1423" w:type="dxa"/>
            <w:noWrap w:val="0"/>
            <w:vAlign w:val="center"/>
          </w:tcPr>
          <w:p w14:paraId="144E1ED2">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0-9分</w:t>
            </w:r>
          </w:p>
        </w:tc>
      </w:tr>
      <w:tr w14:paraId="3BAB2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3" w:type="dxa"/>
            <w:vMerge w:val="continue"/>
            <w:noWrap w:val="0"/>
            <w:vAlign w:val="center"/>
          </w:tcPr>
          <w:p w14:paraId="7066FCDE">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color w:val="auto"/>
                <w:sz w:val="24"/>
                <w:szCs w:val="24"/>
                <w:highlight w:val="none"/>
              </w:rPr>
            </w:pPr>
          </w:p>
        </w:tc>
        <w:tc>
          <w:tcPr>
            <w:tcW w:w="1320" w:type="dxa"/>
            <w:noWrap w:val="0"/>
            <w:vAlign w:val="center"/>
          </w:tcPr>
          <w:p w14:paraId="2A2DD066">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color w:val="auto"/>
                <w:sz w:val="24"/>
                <w:szCs w:val="24"/>
                <w:highlight w:val="none"/>
              </w:rPr>
            </w:pPr>
          </w:p>
          <w:p w14:paraId="2D15CE48">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color w:val="auto"/>
                <w:sz w:val="24"/>
                <w:szCs w:val="24"/>
                <w:highlight w:val="none"/>
              </w:rPr>
            </w:pPr>
          </w:p>
          <w:p w14:paraId="7EC002F9">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color w:val="auto"/>
                <w:sz w:val="24"/>
                <w:szCs w:val="24"/>
                <w:highlight w:val="none"/>
              </w:rPr>
            </w:pPr>
          </w:p>
          <w:p w14:paraId="4D744ECB">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color w:val="auto"/>
                <w:sz w:val="24"/>
                <w:szCs w:val="24"/>
                <w:highlight w:val="none"/>
              </w:rPr>
            </w:pPr>
          </w:p>
          <w:p w14:paraId="61231F5E">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color w:val="auto"/>
                <w:sz w:val="24"/>
                <w:szCs w:val="24"/>
                <w:highlight w:val="none"/>
              </w:rPr>
            </w:pPr>
          </w:p>
          <w:p w14:paraId="55B6E7FA">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color w:val="auto"/>
                <w:sz w:val="24"/>
                <w:szCs w:val="24"/>
                <w:highlight w:val="none"/>
              </w:rPr>
            </w:pPr>
          </w:p>
          <w:p w14:paraId="121D9355">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color w:val="auto"/>
                <w:sz w:val="24"/>
                <w:szCs w:val="24"/>
                <w:highlight w:val="none"/>
              </w:rPr>
            </w:pPr>
          </w:p>
          <w:p w14:paraId="426D9D27">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日常管理服务方案</w:t>
            </w:r>
          </w:p>
        </w:tc>
        <w:tc>
          <w:tcPr>
            <w:tcW w:w="4155" w:type="dxa"/>
            <w:noWrap w:val="0"/>
            <w:vAlign w:val="center"/>
          </w:tcPr>
          <w:p w14:paraId="74D872C0">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根据投标人提供下列日常管理服务方案进行综合评分：                   </w:t>
            </w:r>
          </w:p>
          <w:p w14:paraId="33AA63FC">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1、新老物业移交服务方案：方案详细完整，方法可行的得2分；方案较详细完整，方法较可行的得1分；不可行或未提供相应内容的不得分。</w:t>
            </w:r>
          </w:p>
          <w:p w14:paraId="20C5397E">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2、环境清洁保洁方案：方案详细完整，方法可行的得2分；方案较详细完整，方法较可行的得1分；不可行或未提供相应内容的不得分。</w:t>
            </w:r>
          </w:p>
          <w:p w14:paraId="40CB9572">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3、秩序维护管理方案：方案详细完整，方法可行的得2分；方案较详细完整，方法较可行的得1分；不可行或未提供相应内容的不得分。</w:t>
            </w:r>
          </w:p>
          <w:p w14:paraId="1784DBD1">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4、公共设施设备维护方案：方案详细完整，方法可行的得2分；方案较详细完整，方法较可行的得1分；不可行或未提供相应内容的不得分。</w:t>
            </w:r>
          </w:p>
          <w:p w14:paraId="74646885">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5、绿化养护服务方案：方案详细完整，方法可行的得2分；方案较详细完整，方法较可行的得1分；不可行或未提供相应内容的不得分。</w:t>
            </w:r>
          </w:p>
          <w:p w14:paraId="4DF1465F">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6、大型活动、重要会议等的服务方案：方案详细完整，方法可行的得2分；方案较详细完整，方法较可行的得1分；不可行或未提供相应内容的不得分。</w:t>
            </w:r>
          </w:p>
        </w:tc>
        <w:tc>
          <w:tcPr>
            <w:tcW w:w="1423" w:type="dxa"/>
            <w:noWrap w:val="0"/>
            <w:vAlign w:val="center"/>
          </w:tcPr>
          <w:p w14:paraId="6AE4309F">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0-12分</w:t>
            </w:r>
          </w:p>
        </w:tc>
      </w:tr>
      <w:tr w14:paraId="21441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3" w:type="dxa"/>
            <w:vMerge w:val="continue"/>
            <w:noWrap w:val="0"/>
            <w:vAlign w:val="center"/>
          </w:tcPr>
          <w:p w14:paraId="4CA9392A">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color w:val="auto"/>
                <w:sz w:val="24"/>
                <w:szCs w:val="24"/>
                <w:highlight w:val="none"/>
              </w:rPr>
            </w:pPr>
          </w:p>
        </w:tc>
        <w:tc>
          <w:tcPr>
            <w:tcW w:w="1320" w:type="dxa"/>
            <w:noWrap w:val="0"/>
            <w:vAlign w:val="center"/>
          </w:tcPr>
          <w:p w14:paraId="5C484E6F">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人员配备</w:t>
            </w:r>
          </w:p>
        </w:tc>
        <w:tc>
          <w:tcPr>
            <w:tcW w:w="4155" w:type="dxa"/>
            <w:noWrap w:val="0"/>
            <w:vAlign w:val="center"/>
          </w:tcPr>
          <w:p w14:paraId="62EAF337">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（一）项目经理（1人，满分</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分）</w:t>
            </w:r>
          </w:p>
          <w:p w14:paraId="1DE5C7CC">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项目经理为本项目专职驻场人员，本科及以上学历。满足以下条件可择优加分，各项可累计，本项最高得4分： </w:t>
            </w:r>
          </w:p>
          <w:p w14:paraId="769FA331">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yellow"/>
                <w:lang w:val="en-US" w:eastAsia="zh-CN"/>
              </w:rPr>
              <w:t>1、</w:t>
            </w:r>
            <w:r>
              <w:rPr>
                <w:rFonts w:hint="eastAsia" w:ascii="宋体" w:hAnsi="宋体" w:eastAsia="宋体" w:cs="宋体"/>
                <w:b w:val="0"/>
                <w:bCs w:val="0"/>
                <w:color w:val="auto"/>
                <w:sz w:val="24"/>
                <w:szCs w:val="24"/>
                <w:highlight w:val="none"/>
              </w:rPr>
              <w:t>具备</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年及以上</w:t>
            </w:r>
            <w:r>
              <w:rPr>
                <w:rFonts w:hint="eastAsia" w:ascii="宋体" w:hAnsi="宋体" w:eastAsia="宋体" w:cs="宋体"/>
                <w:b w:val="0"/>
                <w:bCs w:val="0"/>
                <w:color w:val="auto"/>
                <w:sz w:val="24"/>
                <w:szCs w:val="24"/>
                <w:highlight w:val="none"/>
                <w:lang w:val="en-US" w:eastAsia="zh-CN"/>
              </w:rPr>
              <w:t>类似楼宇（指公共建筑（写字楼、科研楼、教学楼、综合楼等）</w:t>
            </w:r>
            <w:r>
              <w:rPr>
                <w:rFonts w:hint="eastAsia" w:ascii="宋体" w:hAnsi="宋体" w:eastAsia="宋体" w:cs="宋体"/>
                <w:b w:val="0"/>
                <w:bCs w:val="0"/>
                <w:color w:val="auto"/>
                <w:sz w:val="24"/>
                <w:szCs w:val="24"/>
                <w:highlight w:val="none"/>
              </w:rPr>
              <w:t>物业</w:t>
            </w:r>
            <w:r>
              <w:rPr>
                <w:rFonts w:hint="eastAsia" w:ascii="宋体" w:hAnsi="宋体" w:eastAsia="宋体" w:cs="宋体"/>
                <w:b w:val="0"/>
                <w:bCs w:val="0"/>
                <w:color w:val="auto"/>
                <w:sz w:val="24"/>
                <w:szCs w:val="24"/>
                <w:highlight w:val="none"/>
                <w:lang w:val="en-US" w:eastAsia="zh-CN"/>
              </w:rPr>
              <w:t>服务</w:t>
            </w:r>
            <w:r>
              <w:rPr>
                <w:rFonts w:hint="eastAsia" w:ascii="宋体" w:hAnsi="宋体" w:eastAsia="宋体" w:cs="宋体"/>
                <w:b w:val="0"/>
                <w:bCs w:val="0"/>
                <w:color w:val="auto"/>
                <w:sz w:val="24"/>
                <w:szCs w:val="24"/>
                <w:highlight w:val="none"/>
              </w:rPr>
              <w:t>项目负责人全盘管理经验</w:t>
            </w:r>
            <w:r>
              <w:rPr>
                <w:rFonts w:hint="eastAsia" w:ascii="宋体" w:hAnsi="宋体" w:eastAsia="宋体" w:cs="宋体"/>
                <w:b w:val="0"/>
                <w:bCs w:val="0"/>
                <w:color w:val="auto"/>
                <w:sz w:val="24"/>
                <w:szCs w:val="24"/>
                <w:highlight w:val="none"/>
                <w:lang w:eastAsia="zh-CN"/>
              </w:rPr>
              <w:t>，得</w:t>
            </w:r>
            <w:r>
              <w:rPr>
                <w:rFonts w:hint="eastAsia" w:ascii="宋体" w:hAnsi="宋体" w:eastAsia="宋体" w:cs="宋体"/>
                <w:b w:val="0"/>
                <w:bCs w:val="0"/>
                <w:color w:val="auto"/>
                <w:sz w:val="24"/>
                <w:szCs w:val="24"/>
                <w:highlight w:val="none"/>
                <w:lang w:val="en-US" w:eastAsia="zh-CN"/>
              </w:rPr>
              <w:t>3分</w:t>
            </w:r>
            <w:r>
              <w:rPr>
                <w:rFonts w:hint="eastAsia" w:ascii="宋体" w:hAnsi="宋体" w:eastAsia="宋体" w:cs="宋体"/>
                <w:b w:val="0"/>
                <w:bCs w:val="0"/>
                <w:color w:val="auto"/>
                <w:sz w:val="24"/>
                <w:szCs w:val="24"/>
                <w:highlight w:val="none"/>
              </w:rPr>
              <w:t>；</w:t>
            </w:r>
          </w:p>
          <w:p w14:paraId="3B14BE67">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评审佐证材料要求</w:t>
            </w:r>
            <w:r>
              <w:rPr>
                <w:rFonts w:hint="eastAsia" w:ascii="宋体" w:hAnsi="宋体" w:eastAsia="宋体" w:cs="宋体"/>
                <w:b/>
                <w:bCs/>
                <w:color w:val="auto"/>
                <w:sz w:val="24"/>
                <w:szCs w:val="24"/>
                <w:highlight w:val="none"/>
                <w:lang w:eastAsia="zh-CN"/>
              </w:rPr>
              <w:t>：</w:t>
            </w:r>
          </w:p>
          <w:p w14:paraId="7927B16F">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1、劳动合同或过往从业单位或业主单位出具的岗位履职证明；需</w:t>
            </w:r>
            <w:r>
              <w:rPr>
                <w:rFonts w:hint="eastAsia" w:ascii="宋体" w:hAnsi="宋体" w:eastAsia="宋体" w:cs="宋体"/>
                <w:b/>
                <w:bCs/>
                <w:color w:val="auto"/>
                <w:sz w:val="24"/>
                <w:szCs w:val="24"/>
                <w:highlight w:val="none"/>
                <w:lang w:eastAsia="zh-CN"/>
              </w:rPr>
              <w:t>明确岗位为</w:t>
            </w:r>
            <w:r>
              <w:rPr>
                <w:rFonts w:hint="eastAsia" w:ascii="宋体" w:hAnsi="宋体" w:eastAsia="宋体" w:cs="宋体"/>
                <w:b/>
                <w:bCs/>
                <w:color w:val="auto"/>
                <w:sz w:val="24"/>
                <w:szCs w:val="24"/>
                <w:highlight w:val="none"/>
                <w:lang w:val="en-US" w:eastAsia="zh-CN"/>
              </w:rPr>
              <w:t>项目经理</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项目负责人</w:t>
            </w:r>
            <w:r>
              <w:rPr>
                <w:rFonts w:hint="eastAsia" w:ascii="宋体" w:hAnsi="宋体" w:eastAsia="宋体" w:cs="宋体"/>
                <w:b/>
                <w:bCs/>
                <w:color w:val="auto"/>
                <w:sz w:val="24"/>
                <w:szCs w:val="24"/>
                <w:highlight w:val="none"/>
                <w:lang w:eastAsia="zh-CN"/>
              </w:rPr>
              <w:t>类管理岗。</w:t>
            </w:r>
          </w:p>
          <w:p w14:paraId="50AD5837">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2、社保缴纳记录佐证从业年限。仅能证明劳动关系、无法证明岗位属性的，不予计分。</w:t>
            </w:r>
          </w:p>
          <w:p w14:paraId="4B16E429">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2、持有有效期内</w:t>
            </w:r>
            <w:r>
              <w:rPr>
                <w:rFonts w:hint="eastAsia" w:ascii="宋体" w:hAnsi="宋体" w:eastAsia="宋体" w:cs="宋体"/>
                <w:b w:val="0"/>
                <w:bCs w:val="0"/>
                <w:color w:val="auto"/>
                <w:sz w:val="24"/>
                <w:szCs w:val="24"/>
                <w:highlight w:val="none"/>
                <w:lang w:val="en-US" w:eastAsia="zh-CN"/>
              </w:rPr>
              <w:t>全国物业行业项目经理职业资格证书或全国物业管理企业经理证书</w:t>
            </w:r>
            <w:r>
              <w:rPr>
                <w:rFonts w:hint="eastAsia" w:ascii="宋体" w:hAnsi="宋体" w:eastAsia="宋体" w:cs="宋体"/>
                <w:b w:val="0"/>
                <w:bCs w:val="0"/>
                <w:color w:val="auto"/>
                <w:sz w:val="24"/>
                <w:szCs w:val="24"/>
                <w:highlight w:val="none"/>
              </w:rPr>
              <w:t>，得</w:t>
            </w: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分</w:t>
            </w:r>
            <w:r>
              <w:rPr>
                <w:rFonts w:hint="eastAsia" w:ascii="宋体" w:hAnsi="宋体" w:eastAsia="宋体" w:cs="宋体"/>
                <w:b w:val="0"/>
                <w:bCs w:val="0"/>
                <w:color w:val="auto"/>
                <w:sz w:val="24"/>
                <w:szCs w:val="24"/>
                <w:highlight w:val="none"/>
                <w:lang w:eastAsia="zh-CN"/>
              </w:rPr>
              <w:t>。</w:t>
            </w:r>
          </w:p>
          <w:p w14:paraId="21DEA94E">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评审佐证材料要求</w:t>
            </w:r>
            <w:r>
              <w:rPr>
                <w:rFonts w:hint="eastAsia" w:ascii="宋体" w:hAnsi="宋体" w:eastAsia="宋体" w:cs="宋体"/>
                <w:b/>
                <w:bCs/>
                <w:color w:val="auto"/>
                <w:sz w:val="24"/>
                <w:szCs w:val="24"/>
                <w:highlight w:val="none"/>
                <w:lang w:eastAsia="zh-CN"/>
              </w:rPr>
              <w:t>：</w:t>
            </w:r>
          </w:p>
          <w:p w14:paraId="31DBEEE3">
            <w:pPr>
              <w:keepNext w:val="0"/>
              <w:keepLines w:val="0"/>
              <w:pageBreakBefore w:val="0"/>
              <w:widowControl w:val="0"/>
              <w:numPr>
                <w:ilvl w:val="0"/>
                <w:numId w:val="3"/>
              </w:numPr>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提供本科及以上学历证书、各类资格证书扫描件，所有证书须在有效期内；</w:t>
            </w:r>
          </w:p>
          <w:p w14:paraId="1DDCB190">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人员须为投标单位自有在岗人员，提供近半年连续3个月社保证明（投标截止日往前推算），否则不予计分</w:t>
            </w:r>
            <w:r>
              <w:rPr>
                <w:rFonts w:hint="eastAsia" w:ascii="宋体" w:hAnsi="宋体" w:eastAsia="宋体" w:cs="宋体"/>
                <w:b/>
                <w:bCs/>
                <w:color w:val="auto"/>
                <w:sz w:val="24"/>
                <w:szCs w:val="24"/>
                <w:highlight w:val="none"/>
              </w:rPr>
              <w:t>；</w:t>
            </w:r>
          </w:p>
          <w:p w14:paraId="1CA36206">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、所有材料须清晰体现评审关键要素，材料不全、信息无法佐证的，对应单项不予计分。</w:t>
            </w:r>
          </w:p>
          <w:p w14:paraId="5D0DA90B">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（二）内勤（1人，满分</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lang w:eastAsia="zh-CN"/>
              </w:rPr>
              <w:t>分）</w:t>
            </w:r>
          </w:p>
          <w:p w14:paraId="3D255521">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拟派1名内勤人员需具备大专及以上学历</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（佐证材料：学历证书+学信网在线查验截图）</w:t>
            </w:r>
          </w:p>
          <w:p w14:paraId="03C657F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拟派内勤人员具有2年及以上物业内勤或行政文书相关工作经验，得</w:t>
            </w: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eastAsia="zh-CN"/>
              </w:rPr>
              <w:t>分</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bCs/>
                <w:color w:val="auto"/>
                <w:sz w:val="24"/>
                <w:szCs w:val="24"/>
                <w:highlight w:val="none"/>
              </w:rPr>
              <w:t>评审佐证材料要求</w:t>
            </w:r>
            <w:r>
              <w:rPr>
                <w:rFonts w:hint="eastAsia" w:ascii="宋体" w:hAnsi="宋体" w:eastAsia="宋体" w:cs="宋体"/>
                <w:b/>
                <w:bCs/>
                <w:color w:val="auto"/>
                <w:sz w:val="24"/>
                <w:szCs w:val="24"/>
                <w:highlight w:val="none"/>
                <w:lang w:eastAsia="zh-CN"/>
              </w:rPr>
              <w:t>：</w:t>
            </w:r>
          </w:p>
          <w:p w14:paraId="4F707131">
            <w:pPr>
              <w:keepNext w:val="0"/>
              <w:keepLines w:val="0"/>
              <w:pageBreakBefore w:val="0"/>
              <w:widowControl w:val="0"/>
              <w:numPr>
                <w:ilvl w:val="0"/>
                <w:numId w:val="4"/>
              </w:numPr>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劳动合同或</w:t>
            </w:r>
            <w:r>
              <w:rPr>
                <w:rFonts w:hint="eastAsia" w:ascii="宋体" w:hAnsi="宋体" w:eastAsia="宋体" w:cs="宋体"/>
                <w:b/>
                <w:bCs/>
                <w:color w:val="auto"/>
                <w:sz w:val="24"/>
                <w:szCs w:val="24"/>
                <w:highlight w:val="none"/>
              </w:rPr>
              <w:t>过往从业单位或业主单位出具</w:t>
            </w:r>
            <w:r>
              <w:rPr>
                <w:rFonts w:hint="eastAsia" w:ascii="宋体" w:hAnsi="宋体" w:eastAsia="宋体" w:cs="宋体"/>
                <w:b/>
                <w:bCs/>
                <w:color w:val="auto"/>
                <w:sz w:val="24"/>
                <w:szCs w:val="24"/>
                <w:highlight w:val="none"/>
                <w:lang w:eastAsia="zh-CN"/>
              </w:rPr>
              <w:t>的岗位履职证明；</w:t>
            </w:r>
          </w:p>
          <w:p w14:paraId="239BD0AD">
            <w:pPr>
              <w:keepNext w:val="0"/>
              <w:keepLines w:val="0"/>
              <w:pageBreakBefore w:val="0"/>
              <w:widowControl w:val="0"/>
              <w:numPr>
                <w:ilvl w:val="0"/>
                <w:numId w:val="4"/>
              </w:numPr>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社保缴纳记录佐证从业年限。仅能证明劳动关系、无法证明岗位属性的，不予计分。</w:t>
            </w:r>
          </w:p>
          <w:p w14:paraId="493CE0AD">
            <w:pPr>
              <w:keepNext w:val="0"/>
              <w:keepLines w:val="0"/>
              <w:pageBreakBefore w:val="0"/>
              <w:widowControl w:val="0"/>
              <w:numPr>
                <w:ilvl w:val="0"/>
                <w:numId w:val="4"/>
              </w:numPr>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人员须为投标单位自有在岗人员，提供近半年连续3个月社保证明（投标截止日往前推算），否则不予计分。</w:t>
            </w:r>
          </w:p>
          <w:p w14:paraId="52F0C0B1">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bCs/>
                <w:color w:val="auto"/>
                <w:sz w:val="24"/>
                <w:szCs w:val="24"/>
                <w:highlight w:val="none"/>
                <w:lang w:eastAsia="zh-CN"/>
              </w:rPr>
              <w:t>（三）工程维修人员（2人，满分6分）</w:t>
            </w:r>
          </w:p>
          <w:p w14:paraId="4C96CA51">
            <w:pPr>
              <w:keepNext w:val="0"/>
              <w:keepLines w:val="0"/>
              <w:pageBreakBefore w:val="0"/>
              <w:widowControl w:val="0"/>
              <w:kinsoku/>
              <w:wordWrap/>
              <w:overflowPunct/>
              <w:topLinePunct w:val="0"/>
              <w:autoSpaceDE/>
              <w:autoSpaceDN/>
              <w:bidi w:val="0"/>
              <w:adjustRightInd/>
              <w:snapToGrid/>
              <w:spacing w:line="360" w:lineRule="auto"/>
              <w:ind w:right="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拟派2名维修人员需具备建筑机电、给排水、电气工程相关专业大专及以上学历</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（佐证材料：学历证书+学信网在线查验截图）</w:t>
            </w:r>
          </w:p>
          <w:p w14:paraId="330C3A55">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1、拟派2名维修人员具备2年及以上物业楼宇设施设备维修实操经验。具备对应岗位维修实操能力，能够独立开展土建修补、给排水、零星维修等作业。2年以下不计分，本项满分4分；</w:t>
            </w:r>
          </w:p>
          <w:p w14:paraId="2191C049">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（佐证材料：① 劳动合同或过往从业单位或业主单位出具的岗位履职证明；② 社保缴纳记录佐证从业年限。仅能证明劳动关系、无法证明岗位属性的，不予计分。）</w:t>
            </w:r>
          </w:p>
          <w:p w14:paraId="2B817889">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2、拟派2名维修人员</w:t>
            </w:r>
            <w:r>
              <w:rPr>
                <w:rFonts w:hint="eastAsia" w:ascii="宋体" w:hAnsi="宋体" w:eastAsia="宋体" w:cs="宋体"/>
                <w:b w:val="0"/>
                <w:bCs w:val="0"/>
                <w:color w:val="auto"/>
                <w:sz w:val="24"/>
                <w:szCs w:val="24"/>
                <w:highlight w:val="none"/>
                <w:lang w:eastAsia="zh-CN"/>
              </w:rPr>
              <w:t>持有应急管理部门核发有效高压电工特种作业操作证，得</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eastAsia="zh-CN"/>
              </w:rPr>
              <w:t>分；</w:t>
            </w:r>
          </w:p>
          <w:p w14:paraId="1A5B35D3">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注：</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eastAsia="zh-CN"/>
              </w:rPr>
              <w:t>所有加分项仅作择优评审，不设置投标准入门槛；同一人员多项证书可按细则正常计分，不做重复扣减。</w:t>
            </w:r>
          </w:p>
          <w:p w14:paraId="58914F4E">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lang w:eastAsia="zh-CN"/>
              </w:rPr>
              <w:t>参评人员必须为投标单位自有在职人员，提供近半年连续3个月社保缴纳凭证（投标截止日往前推算），缺少社保材料本项全部不予计分。</w:t>
            </w:r>
          </w:p>
          <w:p w14:paraId="45AA9B82">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3.各类特种作业证书须在有效期内，</w:t>
            </w:r>
            <w:r>
              <w:rPr>
                <w:rFonts w:hint="eastAsia" w:ascii="宋体" w:hAnsi="宋体" w:eastAsia="宋体" w:cs="宋体"/>
                <w:b/>
                <w:bCs/>
                <w:color w:val="auto"/>
                <w:sz w:val="24"/>
                <w:szCs w:val="24"/>
                <w:highlight w:val="none"/>
                <w:lang w:val="en-US" w:eastAsia="zh-CN"/>
              </w:rPr>
              <w:t>提供证书扫描件并</w:t>
            </w:r>
            <w:r>
              <w:rPr>
                <w:rFonts w:hint="eastAsia" w:ascii="宋体" w:hAnsi="宋体" w:eastAsia="宋体" w:cs="宋体"/>
                <w:b/>
                <w:bCs/>
                <w:color w:val="auto"/>
                <w:sz w:val="24"/>
                <w:szCs w:val="24"/>
                <w:highlight w:val="none"/>
                <w:lang w:eastAsia="zh-CN"/>
              </w:rPr>
              <w:t>附带查询平台截图。</w:t>
            </w:r>
          </w:p>
          <w:p w14:paraId="67CBF4EC">
            <w:pPr>
              <w:pStyle w:val="17"/>
              <w:spacing w:line="240" w:lineRule="auto"/>
              <w:ind w:firstLine="0" w:firstLineChars="0"/>
              <w:jc w:val="both"/>
              <w:rPr>
                <w:rFonts w:hint="eastAsia" w:ascii="宋体" w:hAnsi="宋体" w:eastAsia="宋体" w:cs="宋体"/>
                <w:b w:val="0"/>
                <w:bCs w:val="0"/>
                <w:color w:val="auto"/>
                <w:sz w:val="24"/>
                <w:szCs w:val="24"/>
                <w:highlight w:val="none"/>
                <w:lang w:eastAsia="zh-CN"/>
              </w:rPr>
            </w:pPr>
            <w:r>
              <w:rPr>
                <w:rFonts w:hint="eastAsia" w:ascii="宋体" w:hAnsi="宋体" w:eastAsia="宋体" w:cs="宋体"/>
                <w:b/>
                <w:bCs/>
                <w:color w:val="auto"/>
                <w:sz w:val="24"/>
                <w:szCs w:val="24"/>
                <w:highlight w:val="none"/>
                <w:lang w:eastAsia="zh-CN"/>
              </w:rPr>
              <w:t>（四）</w:t>
            </w:r>
            <w:r>
              <w:rPr>
                <w:rFonts w:hint="eastAsia" w:ascii="宋体" w:hAnsi="宋体" w:eastAsia="宋体" w:cs="宋体"/>
                <w:b/>
                <w:bCs/>
                <w:color w:val="auto"/>
                <w:sz w:val="24"/>
                <w:szCs w:val="24"/>
                <w:highlight w:val="none"/>
                <w:lang w:val="en-US" w:eastAsia="zh-CN" w:bidi="ar-SA"/>
              </w:rPr>
              <w:t>秩序</w:t>
            </w:r>
            <w:r>
              <w:rPr>
                <w:rFonts w:hint="eastAsia" w:ascii="宋体" w:hAnsi="宋体" w:eastAsia="宋体" w:cs="宋体"/>
                <w:b/>
                <w:bCs/>
                <w:color w:val="auto"/>
                <w:kern w:val="2"/>
                <w:sz w:val="24"/>
                <w:szCs w:val="24"/>
                <w:highlight w:val="none"/>
                <w:lang w:val="en-US" w:eastAsia="zh-CN" w:bidi="ar-SA"/>
              </w:rPr>
              <w:t>班长</w:t>
            </w:r>
            <w:r>
              <w:rPr>
                <w:rFonts w:hint="eastAsia" w:ascii="宋体" w:hAnsi="宋体" w:eastAsia="宋体" w:cs="宋体"/>
                <w:b/>
                <w:bCs/>
                <w:color w:val="auto"/>
                <w:sz w:val="24"/>
                <w:szCs w:val="24"/>
                <w:highlight w:val="none"/>
                <w:lang w:eastAsia="zh-CN"/>
              </w:rPr>
              <w:t>（1人，满分</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lang w:eastAsia="zh-CN"/>
              </w:rPr>
              <w:t>分）</w:t>
            </w:r>
            <w:r>
              <w:rPr>
                <w:rFonts w:hint="eastAsia" w:ascii="宋体" w:hAnsi="宋体" w:eastAsia="宋体" w:cs="宋体"/>
                <w:b w:val="0"/>
                <w:bCs w:val="0"/>
                <w:color w:val="auto"/>
                <w:sz w:val="24"/>
                <w:szCs w:val="24"/>
                <w:highlight w:val="none"/>
                <w:lang w:eastAsia="zh-CN"/>
              </w:rPr>
              <w:t xml:space="preserve"> </w:t>
            </w:r>
          </w:p>
          <w:p w14:paraId="06D3187C">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满足以下条件可累计得分：</w:t>
            </w:r>
          </w:p>
          <w:p w14:paraId="0DCB1EF2">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1、拟派秩序班长具备</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eastAsia="zh-CN"/>
              </w:rPr>
              <w:t>年及以上物业秩序安保管理经验，得2分。</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eastAsia="zh-CN"/>
              </w:rPr>
              <w:t>年以下不计分；</w:t>
            </w:r>
          </w:p>
          <w:p w14:paraId="3AA9540F">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bCs/>
                <w:color w:val="auto"/>
                <w:sz w:val="24"/>
                <w:szCs w:val="24"/>
                <w:highlight w:val="none"/>
                <w:lang w:eastAsia="zh-CN"/>
              </w:rPr>
              <w:t>（佐证材料：</w:t>
            </w:r>
            <w:r>
              <w:rPr>
                <w:rFonts w:hint="eastAsia" w:ascii="宋体" w:hAnsi="宋体" w:eastAsia="宋体" w:cs="宋体"/>
                <w:b/>
                <w:bCs/>
                <w:color w:val="auto"/>
                <w:sz w:val="24"/>
                <w:szCs w:val="24"/>
                <w:highlight w:val="none"/>
                <w:lang w:val="en-US" w:eastAsia="zh-CN"/>
              </w:rPr>
              <w:t>① 劳动合同或过往从业单位或业主单位出具的岗位履职证明；需</w:t>
            </w:r>
            <w:r>
              <w:rPr>
                <w:rFonts w:hint="eastAsia" w:ascii="宋体" w:hAnsi="宋体" w:eastAsia="宋体" w:cs="宋体"/>
                <w:b/>
                <w:bCs/>
                <w:color w:val="auto"/>
                <w:sz w:val="24"/>
                <w:szCs w:val="24"/>
                <w:highlight w:val="none"/>
                <w:lang w:eastAsia="zh-CN"/>
              </w:rPr>
              <w:t>明确岗位为秩序班长/安保主管类管理岗。</w:t>
            </w:r>
            <w:r>
              <w:rPr>
                <w:rFonts w:hint="eastAsia" w:ascii="宋体" w:hAnsi="宋体" w:eastAsia="宋体" w:cs="宋体"/>
                <w:b/>
                <w:bCs/>
                <w:color w:val="auto"/>
                <w:sz w:val="24"/>
                <w:szCs w:val="24"/>
                <w:highlight w:val="none"/>
                <w:lang w:val="en-US" w:eastAsia="zh-CN"/>
              </w:rPr>
              <w:t>② 社保缴纳记录佐证从业年限。仅能证明劳动关系、无法证明岗位属性的，不予计分。</w:t>
            </w:r>
            <w:r>
              <w:rPr>
                <w:rFonts w:hint="eastAsia" w:ascii="宋体" w:hAnsi="宋体" w:eastAsia="宋体" w:cs="宋体"/>
                <w:b/>
                <w:bCs/>
                <w:color w:val="auto"/>
                <w:sz w:val="24"/>
                <w:szCs w:val="24"/>
                <w:highlight w:val="none"/>
                <w:lang w:eastAsia="zh-CN"/>
              </w:rPr>
              <w:t>）</w:t>
            </w:r>
          </w:p>
          <w:p w14:paraId="2A541761">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eastAsia="zh-CN"/>
              </w:rPr>
              <w:t>、持有应急管理部门、安全生产考核机构核发的安全管理类合格证书，得1分。</w:t>
            </w:r>
          </w:p>
          <w:p w14:paraId="32C61106">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注：</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eastAsia="zh-CN"/>
              </w:rPr>
              <w:t>所有条件仅作为评标加分项，不作为投标资格审查条件。</w:t>
            </w:r>
          </w:p>
          <w:p w14:paraId="58BE509B">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2.参评人员须为投标单位自有人员，提供近半年连续3个月社保凭证（投标截止日往前推算），无社保不予计分。</w:t>
            </w:r>
          </w:p>
          <w:p w14:paraId="377F7229">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lang w:val="en-US" w:eastAsia="zh-CN"/>
              </w:rPr>
              <w:t>提供证书扫描件，</w:t>
            </w:r>
            <w:r>
              <w:rPr>
                <w:rFonts w:hint="eastAsia" w:ascii="宋体" w:hAnsi="宋体" w:eastAsia="宋体" w:cs="宋体"/>
                <w:b/>
                <w:bCs/>
                <w:color w:val="auto"/>
                <w:sz w:val="24"/>
                <w:szCs w:val="24"/>
                <w:highlight w:val="none"/>
                <w:lang w:eastAsia="zh-CN"/>
              </w:rPr>
              <w:t>证书需在有效期内。</w:t>
            </w:r>
          </w:p>
          <w:p w14:paraId="3CF75E3F">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 xml:space="preserve">（五）其他人员（满分10分） </w:t>
            </w:r>
          </w:p>
          <w:p w14:paraId="06CF4870">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eastAsia="zh-CN"/>
              </w:rPr>
              <w:t>、保安队员（满分</w:t>
            </w: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eastAsia="zh-CN"/>
              </w:rPr>
              <w:t>分）</w:t>
            </w:r>
          </w:p>
          <w:p w14:paraId="6533289D">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拟派保安人员，上岗须持有公安部门核发有效保安员证；额外持有保安员四级（中级工）及以上职业技能等级证书。</w:t>
            </w:r>
            <w:r>
              <w:rPr>
                <w:rFonts w:hint="eastAsia" w:ascii="宋体" w:hAnsi="宋体" w:eastAsia="宋体" w:cs="宋体"/>
                <w:b w:val="0"/>
                <w:bCs w:val="0"/>
                <w:color w:val="auto"/>
                <w:sz w:val="24"/>
                <w:szCs w:val="24"/>
                <w:highlight w:val="none"/>
                <w:lang w:val="en-US" w:eastAsia="zh-CN"/>
              </w:rPr>
              <w:t>每</w:t>
            </w:r>
            <w:r>
              <w:rPr>
                <w:rFonts w:hint="eastAsia" w:ascii="宋体" w:hAnsi="宋体" w:eastAsia="宋体" w:cs="宋体"/>
                <w:b w:val="0"/>
                <w:bCs w:val="0"/>
                <w:color w:val="auto"/>
                <w:sz w:val="24"/>
                <w:szCs w:val="24"/>
                <w:highlight w:val="none"/>
                <w:lang w:eastAsia="zh-CN"/>
              </w:rPr>
              <w:t>提供1名持证人员</w:t>
            </w:r>
            <w:r>
              <w:rPr>
                <w:rFonts w:hint="eastAsia" w:ascii="宋体" w:hAnsi="宋体" w:eastAsia="宋体" w:cs="宋体"/>
                <w:b w:val="0"/>
                <w:bCs w:val="0"/>
                <w:color w:val="auto"/>
                <w:sz w:val="24"/>
                <w:szCs w:val="24"/>
                <w:highlight w:val="none"/>
                <w:lang w:val="en-US" w:eastAsia="zh-CN"/>
              </w:rPr>
              <w:t>得</w:t>
            </w:r>
            <w:r>
              <w:rPr>
                <w:rFonts w:hint="eastAsia" w:ascii="宋体" w:hAnsi="宋体" w:eastAsia="宋体" w:cs="宋体"/>
                <w:b w:val="0"/>
                <w:bCs w:val="0"/>
                <w:color w:val="auto"/>
                <w:sz w:val="24"/>
                <w:szCs w:val="24"/>
                <w:highlight w:val="none"/>
                <w:lang w:eastAsia="zh-CN"/>
              </w:rPr>
              <w:t>1分，本项累计最高得</w:t>
            </w: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eastAsia="zh-CN"/>
              </w:rPr>
              <w:t>分。</w:t>
            </w:r>
          </w:p>
          <w:p w14:paraId="405C1DF9">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2、消防中控员（满分4分）</w:t>
            </w:r>
          </w:p>
          <w:p w14:paraId="40ACE91C">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拟派消防中控员：持有有效消防设施操作员（监控操作方向）四级（中级）及以上职业技能等级证书（原建（构）筑物消防员有效旧证可认可）。每提供1名持证人员得1分，本项累计最高得4分。</w:t>
            </w:r>
          </w:p>
          <w:p w14:paraId="1F4DF206">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eastAsia="zh-CN"/>
              </w:rPr>
              <w:t>、保洁人员（满分</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eastAsia="zh-CN"/>
              </w:rPr>
              <w:t>分）</w:t>
            </w:r>
          </w:p>
          <w:p w14:paraId="79D3B4FA">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拟派保洁人员，持有有效的保洁员（四级/中级工）及以上职业技能等级证书优先。每提供1名持证人员得1分，本项累计最高得</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eastAsia="zh-CN"/>
              </w:rPr>
              <w:t>分。</w:t>
            </w:r>
          </w:p>
          <w:p w14:paraId="4B9566CE">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注：</w:t>
            </w:r>
          </w:p>
          <w:p w14:paraId="22D3BF97">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eastAsia="zh-CN"/>
              </w:rPr>
              <w:t>所有条件仅作为评标加分项，不作为投标资格审查条件。</w:t>
            </w:r>
          </w:p>
          <w:p w14:paraId="268D7D50">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lang w:eastAsia="zh-CN"/>
              </w:rPr>
              <w:t>投标文件须提供：全部资质证书扫描件、技能证书全国联网查询截图。所有证书须在有效期内、真实可查，无法核验、过期、材料不全不予计分。</w:t>
            </w:r>
          </w:p>
          <w:p w14:paraId="6109D4F3">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lang w:eastAsia="zh-CN"/>
              </w:rPr>
              <w:t>同一人员具备多项有效证书可累计计分。</w:t>
            </w:r>
          </w:p>
          <w:p w14:paraId="3002F6CD">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lang w:eastAsia="zh-CN"/>
              </w:rPr>
              <w:t>.参评人员须为投标单位自有人员，提供近半年连续3个月社保凭证（投标截止日往前推算），无社保不予计分。</w:t>
            </w:r>
          </w:p>
        </w:tc>
        <w:tc>
          <w:tcPr>
            <w:tcW w:w="1423" w:type="dxa"/>
            <w:noWrap w:val="0"/>
            <w:vAlign w:val="center"/>
          </w:tcPr>
          <w:p w14:paraId="406EC365">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0-28分</w:t>
            </w:r>
          </w:p>
        </w:tc>
      </w:tr>
      <w:tr w14:paraId="539BD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3" w:type="dxa"/>
            <w:vMerge w:val="continue"/>
            <w:noWrap w:val="0"/>
            <w:vAlign w:val="center"/>
          </w:tcPr>
          <w:p w14:paraId="2413566F">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color w:val="auto"/>
                <w:sz w:val="24"/>
                <w:szCs w:val="24"/>
                <w:highlight w:val="none"/>
              </w:rPr>
            </w:pPr>
          </w:p>
        </w:tc>
        <w:tc>
          <w:tcPr>
            <w:tcW w:w="1320" w:type="dxa"/>
            <w:noWrap w:val="0"/>
            <w:vAlign w:val="center"/>
          </w:tcPr>
          <w:p w14:paraId="77D96DBB">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应急处置</w:t>
            </w:r>
          </w:p>
          <w:p w14:paraId="0F9333A2">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预案</w:t>
            </w:r>
          </w:p>
        </w:tc>
        <w:tc>
          <w:tcPr>
            <w:tcW w:w="4155" w:type="dxa"/>
            <w:noWrap w:val="0"/>
            <w:vAlign w:val="center"/>
          </w:tcPr>
          <w:p w14:paraId="7049C3E4">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提供的应急预案进行综合评分。内容包含但不限于针对项目特点制定公共事件、水、电、电梯等设施设备及环境维护等各种突发事件应急处理预案；对人员聚集、防恐、消防、抗震、人防等五个专项应急方案，由</w:t>
            </w:r>
            <w:r>
              <w:rPr>
                <w:rFonts w:hint="eastAsia" w:ascii="宋体" w:hAnsi="宋体" w:eastAsia="宋体" w:cs="宋体"/>
                <w:color w:val="auto"/>
                <w:sz w:val="24"/>
                <w:szCs w:val="24"/>
                <w:highlight w:val="none"/>
                <w:lang w:eastAsia="zh-CN"/>
              </w:rPr>
              <w:t>评标委员会</w:t>
            </w:r>
            <w:r>
              <w:rPr>
                <w:rFonts w:hint="eastAsia" w:ascii="宋体" w:hAnsi="宋体" w:eastAsia="宋体" w:cs="宋体"/>
                <w:color w:val="auto"/>
                <w:sz w:val="24"/>
                <w:szCs w:val="24"/>
                <w:highlight w:val="none"/>
              </w:rPr>
              <w:t>综合评分：</w:t>
            </w:r>
          </w:p>
          <w:p w14:paraId="686D5C7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1、处置流程明确清晰、应对措施切实可行，自行配备的各类应急物资清单详细、配备齐全、价值高，得 </w:t>
            </w:r>
            <w:r>
              <w:rPr>
                <w:rFonts w:hint="default" w:ascii="宋体" w:hAnsi="宋体" w:eastAsia="宋体" w:cs="宋体"/>
                <w:color w:val="auto"/>
                <w:sz w:val="24"/>
                <w:szCs w:val="24"/>
                <w:highlight w:val="none"/>
              </w:rPr>
              <w:t>3</w:t>
            </w:r>
            <w:r>
              <w:rPr>
                <w:rFonts w:hint="eastAsia" w:ascii="宋体" w:hAnsi="宋体" w:eastAsia="宋体" w:cs="宋体"/>
                <w:color w:val="auto"/>
                <w:sz w:val="24"/>
                <w:szCs w:val="24"/>
                <w:highlight w:val="none"/>
              </w:rPr>
              <w:t>分；</w:t>
            </w:r>
          </w:p>
          <w:p w14:paraId="7CEC4CB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 xml:space="preserve">2、处置流程基本清晰、应对措施可行，自行配备的各类应急物资清单满足需求、基本齐全、价值较高的，得 </w:t>
            </w:r>
            <w:r>
              <w:rPr>
                <w:rFonts w:hint="default" w:ascii="宋体" w:hAnsi="宋体" w:eastAsia="宋体" w:cs="宋体"/>
                <w:color w:val="auto"/>
                <w:sz w:val="24"/>
                <w:szCs w:val="24"/>
                <w:highlight w:val="none"/>
              </w:rPr>
              <w:t>2</w:t>
            </w:r>
            <w:r>
              <w:rPr>
                <w:rFonts w:hint="eastAsia" w:ascii="宋体" w:hAnsi="宋体" w:eastAsia="宋体" w:cs="宋体"/>
                <w:color w:val="auto"/>
                <w:sz w:val="24"/>
                <w:szCs w:val="24"/>
                <w:highlight w:val="none"/>
              </w:rPr>
              <w:t xml:space="preserve"> 分</w:t>
            </w:r>
            <w:r>
              <w:rPr>
                <w:rFonts w:hint="eastAsia" w:ascii="宋体" w:hAnsi="宋体" w:eastAsia="宋体" w:cs="宋体"/>
                <w:color w:val="auto"/>
                <w:sz w:val="24"/>
                <w:szCs w:val="24"/>
                <w:highlight w:val="none"/>
                <w:lang w:eastAsia="zh-CN"/>
              </w:rPr>
              <w:t>；</w:t>
            </w:r>
          </w:p>
          <w:p w14:paraId="443CF9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3、处置流程不够清晰、应对措施不力，自行配备的各类应急物资清单数量较少、不够齐全、价值较低，得 1 分；</w:t>
            </w:r>
          </w:p>
          <w:p w14:paraId="368075F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4、差或未提供不得分。</w:t>
            </w:r>
          </w:p>
        </w:tc>
        <w:tc>
          <w:tcPr>
            <w:tcW w:w="1423" w:type="dxa"/>
            <w:noWrap w:val="0"/>
            <w:vAlign w:val="center"/>
          </w:tcPr>
          <w:p w14:paraId="6BDC24B0">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default" w:ascii="宋体" w:hAnsi="宋体" w:eastAsia="宋体" w:cs="宋体"/>
                <w:color w:val="auto"/>
                <w:sz w:val="24"/>
                <w:szCs w:val="24"/>
                <w:highlight w:val="none"/>
              </w:rPr>
              <w:t>3</w:t>
            </w:r>
            <w:r>
              <w:rPr>
                <w:rFonts w:hint="eastAsia" w:ascii="宋体" w:hAnsi="宋体" w:eastAsia="宋体" w:cs="宋体"/>
                <w:color w:val="auto"/>
                <w:sz w:val="24"/>
                <w:szCs w:val="24"/>
                <w:highlight w:val="none"/>
              </w:rPr>
              <w:t xml:space="preserve"> 分</w:t>
            </w:r>
          </w:p>
        </w:tc>
      </w:tr>
      <w:tr w14:paraId="1BAFD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3" w:type="dxa"/>
            <w:vMerge w:val="continue"/>
            <w:noWrap w:val="0"/>
            <w:vAlign w:val="center"/>
          </w:tcPr>
          <w:p w14:paraId="42A7C5D2">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color w:val="auto"/>
                <w:sz w:val="24"/>
                <w:szCs w:val="24"/>
                <w:highlight w:val="none"/>
              </w:rPr>
            </w:pPr>
          </w:p>
        </w:tc>
        <w:tc>
          <w:tcPr>
            <w:tcW w:w="1320" w:type="dxa"/>
            <w:noWrap w:val="0"/>
            <w:vAlign w:val="center"/>
          </w:tcPr>
          <w:p w14:paraId="3000CFDE">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消防安全</w:t>
            </w:r>
          </w:p>
          <w:p w14:paraId="7748831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000000"/>
                <w:sz w:val="24"/>
                <w:szCs w:val="24"/>
                <w:highlight w:val="none"/>
              </w:rPr>
              <w:t>管理方案</w:t>
            </w:r>
          </w:p>
        </w:tc>
        <w:tc>
          <w:tcPr>
            <w:tcW w:w="4155" w:type="dxa"/>
            <w:noWrap w:val="0"/>
            <w:vAlign w:val="center"/>
          </w:tcPr>
          <w:p w14:paraId="4304366D">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根据供应商提供的针对本项目的消防安全管理方案，包括消防管理计划、方法和目标进行综合评分：</w:t>
            </w:r>
          </w:p>
          <w:p w14:paraId="714595BF">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color w:val="000000"/>
                <w:sz w:val="24"/>
                <w:szCs w:val="24"/>
                <w:highlight w:val="none"/>
              </w:rPr>
              <w:t>消防安全管理方案全面详细，方法可行</w:t>
            </w:r>
            <w:r>
              <w:rPr>
                <w:rFonts w:hint="eastAsia" w:ascii="宋体" w:hAnsi="宋体" w:eastAsia="宋体" w:cs="宋体"/>
                <w:sz w:val="24"/>
                <w:szCs w:val="24"/>
                <w:highlight w:val="none"/>
              </w:rPr>
              <w:t xml:space="preserve">，服务内容针对性强，得 3 分； </w:t>
            </w:r>
          </w:p>
          <w:p w14:paraId="38396C15">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color w:val="000000"/>
                <w:sz w:val="24"/>
                <w:szCs w:val="24"/>
                <w:highlight w:val="none"/>
              </w:rPr>
              <w:t>消防安全管理方案较全面详细，方法基本可行</w:t>
            </w:r>
            <w:r>
              <w:rPr>
                <w:rFonts w:hint="eastAsia" w:ascii="宋体" w:hAnsi="宋体" w:eastAsia="宋体" w:cs="宋体"/>
                <w:sz w:val="24"/>
                <w:szCs w:val="24"/>
                <w:highlight w:val="none"/>
              </w:rPr>
              <w:t xml:space="preserve">，服务内容针对性较强，得 2 分； </w:t>
            </w:r>
          </w:p>
          <w:p w14:paraId="4F1250C5">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w:t>
            </w:r>
            <w:r>
              <w:rPr>
                <w:rFonts w:hint="eastAsia" w:ascii="宋体" w:hAnsi="宋体" w:eastAsia="宋体" w:cs="宋体"/>
                <w:color w:val="000000"/>
                <w:sz w:val="24"/>
                <w:szCs w:val="24"/>
                <w:highlight w:val="none"/>
              </w:rPr>
              <w:t>消防安全管理方案简单有待提升完善</w:t>
            </w:r>
            <w:r>
              <w:rPr>
                <w:rFonts w:hint="eastAsia" w:ascii="宋体" w:hAnsi="宋体" w:eastAsia="宋体" w:cs="宋体"/>
                <w:sz w:val="24"/>
                <w:szCs w:val="24"/>
                <w:highlight w:val="none"/>
              </w:rPr>
              <w:t xml:space="preserve">，得 1分； </w:t>
            </w:r>
          </w:p>
          <w:p w14:paraId="3264E674">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sz w:val="24"/>
                <w:szCs w:val="24"/>
                <w:highlight w:val="none"/>
              </w:rPr>
              <w:t>4、不可行或</w:t>
            </w:r>
            <w:r>
              <w:rPr>
                <w:rFonts w:hint="eastAsia" w:ascii="宋体" w:hAnsi="宋体" w:eastAsia="宋体" w:cs="宋体"/>
                <w:color w:val="000000"/>
                <w:sz w:val="24"/>
                <w:szCs w:val="24"/>
                <w:highlight w:val="none"/>
              </w:rPr>
              <w:t>未提供相应内容的不得分。</w:t>
            </w:r>
          </w:p>
        </w:tc>
        <w:tc>
          <w:tcPr>
            <w:tcW w:w="1423" w:type="dxa"/>
            <w:noWrap w:val="0"/>
            <w:vAlign w:val="center"/>
          </w:tcPr>
          <w:p w14:paraId="70FC5FF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000000"/>
                <w:sz w:val="24"/>
                <w:szCs w:val="24"/>
                <w:highlight w:val="none"/>
              </w:rPr>
              <w:t>0-3分</w:t>
            </w:r>
          </w:p>
        </w:tc>
      </w:tr>
      <w:tr w14:paraId="311F2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3" w:type="dxa"/>
            <w:vMerge w:val="continue"/>
            <w:noWrap w:val="0"/>
            <w:vAlign w:val="center"/>
          </w:tcPr>
          <w:p w14:paraId="685F443C">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color w:val="auto"/>
                <w:sz w:val="24"/>
                <w:szCs w:val="24"/>
                <w:highlight w:val="none"/>
              </w:rPr>
            </w:pPr>
          </w:p>
        </w:tc>
        <w:tc>
          <w:tcPr>
            <w:tcW w:w="1320" w:type="dxa"/>
            <w:noWrap w:val="0"/>
            <w:vAlign w:val="center"/>
          </w:tcPr>
          <w:p w14:paraId="6D5A988F">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履约评价</w:t>
            </w:r>
          </w:p>
        </w:tc>
        <w:tc>
          <w:tcPr>
            <w:tcW w:w="4155" w:type="dxa"/>
            <w:noWrap w:val="0"/>
            <w:vAlign w:val="center"/>
          </w:tcPr>
          <w:p w14:paraId="0DEA4C3A">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 2021 年 1 月 1 日以来（以合同签订时间为准），投标人每提供 1 份由服务委托方出具的、履约评价结论为良好及以上的物业服务项目履约评价证明，得 1 分。</w:t>
            </w:r>
          </w:p>
          <w:p w14:paraId="70021650">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同一项目的连续续签合同、跨年度合同、分年度合同对应的履约评价，仅按 1 份计分，不重复累加。本项最高得</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分。</w:t>
            </w:r>
          </w:p>
          <w:p w14:paraId="46608EC8">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w:t>
            </w:r>
          </w:p>
          <w:p w14:paraId="7A3EE915">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正在履约过程中、已履约完毕的项目出具的履约评价均予以认可。</w:t>
            </w:r>
          </w:p>
          <w:p w14:paraId="656472D1">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投标文件中须同时提供以下证明材料扫描件，否则该项不予计分：</w:t>
            </w:r>
          </w:p>
          <w:p w14:paraId="57D7183B">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（1）对应项目的合同关键页扫描件；</w:t>
            </w:r>
          </w:p>
          <w:p w14:paraId="1C94E161">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（2）服务委托方（采购单位 / 业主单位）出具的履约评价证明材料扫描件，评价结论须明确为良好及以上。</w:t>
            </w:r>
          </w:p>
        </w:tc>
        <w:tc>
          <w:tcPr>
            <w:tcW w:w="1423" w:type="dxa"/>
            <w:noWrap w:val="0"/>
            <w:vAlign w:val="center"/>
          </w:tcPr>
          <w:p w14:paraId="6D502018">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分</w:t>
            </w:r>
          </w:p>
        </w:tc>
      </w:tr>
      <w:tr w14:paraId="76D01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43" w:type="dxa"/>
            <w:vMerge w:val="continue"/>
            <w:noWrap w:val="0"/>
            <w:vAlign w:val="center"/>
          </w:tcPr>
          <w:p w14:paraId="33135635">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color w:val="auto"/>
                <w:sz w:val="24"/>
                <w:szCs w:val="24"/>
                <w:highlight w:val="none"/>
              </w:rPr>
            </w:pPr>
          </w:p>
        </w:tc>
        <w:tc>
          <w:tcPr>
            <w:tcW w:w="1320" w:type="dxa"/>
            <w:noWrap w:val="0"/>
            <w:vAlign w:val="center"/>
          </w:tcPr>
          <w:p w14:paraId="5AAADFB9">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管理体系</w:t>
            </w:r>
            <w:r>
              <w:rPr>
                <w:rFonts w:hint="eastAsia" w:ascii="宋体" w:hAnsi="宋体" w:eastAsia="宋体" w:cs="宋体"/>
                <w:b w:val="0"/>
                <w:bCs w:val="0"/>
                <w:color w:val="auto"/>
                <w:sz w:val="24"/>
                <w:szCs w:val="24"/>
                <w:highlight w:val="none"/>
                <w:lang w:eastAsia="zh-CN"/>
              </w:rPr>
              <w:t>与服务认证</w:t>
            </w:r>
          </w:p>
        </w:tc>
        <w:tc>
          <w:tcPr>
            <w:tcW w:w="4155" w:type="dxa"/>
            <w:noWrap w:val="0"/>
            <w:vAlign w:val="center"/>
          </w:tcPr>
          <w:p w14:paraId="59D63EEF">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投标人持有由国家认证认可监督管理委员会批准机构颁发、在有效期内，且认证范围包含物业管理或物业服务的认证证书：</w:t>
            </w:r>
          </w:p>
          <w:p w14:paraId="1947BCDB">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1.质量管理体系认证证书，得</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eastAsia="zh-CN"/>
              </w:rPr>
              <w:t>分；</w:t>
            </w:r>
          </w:p>
          <w:p w14:paraId="650C9673">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2.环境管理体系认证证书，得</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eastAsia="zh-CN"/>
              </w:rPr>
              <w:t>分；</w:t>
            </w:r>
          </w:p>
          <w:p w14:paraId="171165D1">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3.职业健康安全管理体系认证证书，得</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eastAsia="zh-CN"/>
              </w:rPr>
              <w:t>分。</w:t>
            </w:r>
          </w:p>
          <w:p w14:paraId="674C7B96">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bCs/>
                <w:color w:val="auto"/>
                <w:sz w:val="24"/>
                <w:szCs w:val="24"/>
                <w:highlight w:val="none"/>
                <w:lang w:eastAsia="zh-CN"/>
              </w:rPr>
              <w:t>本项最高</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lang w:eastAsia="zh-CN"/>
              </w:rPr>
              <w:t>分，按实际提供有效证书计分。</w:t>
            </w:r>
            <w:r>
              <w:rPr>
                <w:rFonts w:hint="eastAsia" w:ascii="宋体" w:hAnsi="宋体" w:eastAsia="宋体" w:cs="宋体"/>
                <w:b w:val="0"/>
                <w:bCs w:val="0"/>
                <w:color w:val="auto"/>
                <w:sz w:val="24"/>
                <w:szCs w:val="24"/>
                <w:highlight w:val="none"/>
                <w:lang w:eastAsia="zh-CN"/>
              </w:rPr>
              <w:t xml:space="preserve"> </w:t>
            </w:r>
          </w:p>
          <w:p w14:paraId="21342102">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eastAsia="zh-CN"/>
              </w:rPr>
              <w:t>注：（1）投标文件中提供证书扫描件，同时附全国认证认可信息公共服务平台（cx.cnca.cn）有效查询截图；证书不在有效期、认证范围不包含物业服务、无法官网核验的，不予计分。（2）各项证书独立计分，不要求全部具备。</w:t>
            </w:r>
          </w:p>
        </w:tc>
        <w:tc>
          <w:tcPr>
            <w:tcW w:w="1423" w:type="dxa"/>
            <w:noWrap w:val="0"/>
            <w:vAlign w:val="center"/>
          </w:tcPr>
          <w:p w14:paraId="7AA5B104">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分</w:t>
            </w:r>
          </w:p>
        </w:tc>
      </w:tr>
      <w:tr w14:paraId="73FEF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3" w:type="dxa"/>
            <w:vMerge w:val="continue"/>
            <w:noWrap w:val="0"/>
            <w:vAlign w:val="center"/>
          </w:tcPr>
          <w:p w14:paraId="63FDD8D9">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color w:val="auto"/>
                <w:sz w:val="24"/>
                <w:szCs w:val="24"/>
                <w:highlight w:val="none"/>
              </w:rPr>
            </w:pPr>
          </w:p>
        </w:tc>
        <w:tc>
          <w:tcPr>
            <w:tcW w:w="1320" w:type="dxa"/>
            <w:noWrap w:val="0"/>
            <w:vAlign w:val="center"/>
          </w:tcPr>
          <w:p w14:paraId="34C22F3C">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荣誉情况</w:t>
            </w:r>
          </w:p>
        </w:tc>
        <w:tc>
          <w:tcPr>
            <w:tcW w:w="4155" w:type="dxa"/>
            <w:noWrap w:val="0"/>
            <w:vAlign w:val="center"/>
          </w:tcPr>
          <w:p w14:paraId="102CFF02">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自2021年1月1日以来（以获奖时间为准），投标人获得各级政府行政主管部门颁发的写字楼/科研楼/教学楼/综合楼等物业服务类荣誉奖项，计分标准如下： </w:t>
            </w:r>
          </w:p>
          <w:p w14:paraId="7AECC00A">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地市级荣誉，每提供1项得2分；</w:t>
            </w:r>
          </w:p>
          <w:p w14:paraId="52440E8B">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省级荣誉，每提供1项得3分；</w:t>
            </w:r>
          </w:p>
          <w:p w14:paraId="3B7E4E78">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国家级荣誉，每提供1项得5分。</w:t>
            </w:r>
          </w:p>
          <w:p w14:paraId="3507238C">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本项按单个奖项最高级别计分，不重复累计，满分5分。</w:t>
            </w:r>
          </w:p>
          <w:p w14:paraId="59B838DD">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注：1</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颁奖单位须为各级政府、住建、城管、机关事务管理局等政府行政主管部门；行业协会、第三方机构颁发奖项不予认可。</w:t>
            </w:r>
          </w:p>
          <w:p w14:paraId="435FF07E">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投标文件中须提供获奖证书、官方批复文件、政府官网公示截图（三者其一即可）扫描件。</w:t>
            </w:r>
          </w:p>
          <w:p w14:paraId="749D828A">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所有材料须清晰体现投标人名称、获奖类别、获奖时间；信息不全的，须另附颁奖单位证明材料，未提供或材料不全不得分。</w:t>
            </w:r>
          </w:p>
          <w:p w14:paraId="493FA707">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同一项目、同批次取得的多项荣誉仅计最高分一次，不重复加分。</w:t>
            </w:r>
          </w:p>
        </w:tc>
        <w:tc>
          <w:tcPr>
            <w:tcW w:w="1423" w:type="dxa"/>
            <w:noWrap w:val="0"/>
            <w:vAlign w:val="center"/>
          </w:tcPr>
          <w:p w14:paraId="3D523B89">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0-5分</w:t>
            </w:r>
          </w:p>
        </w:tc>
      </w:tr>
      <w:tr w14:paraId="724CE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3" w:type="dxa"/>
            <w:noWrap w:val="0"/>
            <w:vAlign w:val="center"/>
          </w:tcPr>
          <w:p w14:paraId="70BFDA2A">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color w:val="auto"/>
                <w:sz w:val="24"/>
                <w:szCs w:val="24"/>
                <w:highlight w:val="none"/>
              </w:rPr>
            </w:pPr>
          </w:p>
          <w:p w14:paraId="21F5C0D2">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w:t>
            </w:r>
          </w:p>
          <w:p w14:paraId="1BA6CC6D">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default" w:ascii="宋体" w:hAnsi="宋体" w:eastAsia="宋体" w:cs="宋体"/>
                <w:color w:val="auto"/>
                <w:sz w:val="24"/>
                <w:szCs w:val="24"/>
                <w:highlight w:val="none"/>
                <w:lang w:eastAsia="zh-CN"/>
              </w:rPr>
              <w:t>30</w:t>
            </w:r>
            <w:r>
              <w:rPr>
                <w:rFonts w:hint="eastAsia" w:ascii="宋体" w:hAnsi="宋体" w:eastAsia="宋体" w:cs="宋体"/>
                <w:color w:val="auto"/>
                <w:sz w:val="24"/>
                <w:szCs w:val="24"/>
                <w:highlight w:val="none"/>
              </w:rPr>
              <w:t>分)</w:t>
            </w:r>
          </w:p>
        </w:tc>
        <w:tc>
          <w:tcPr>
            <w:tcW w:w="6898" w:type="dxa"/>
            <w:gridSpan w:val="3"/>
            <w:noWrap w:val="0"/>
            <w:vAlign w:val="center"/>
          </w:tcPr>
          <w:p w14:paraId="3A9CA592">
            <w:pPr>
              <w:widowControl/>
              <w:spacing w:line="360" w:lineRule="auto"/>
              <w:rPr>
                <w:rFonts w:ascii="宋体" w:hAnsi="宋体" w:eastAsia="宋体" w:cs="Times New Roman"/>
                <w:sz w:val="24"/>
                <w:highlight w:val="none"/>
              </w:rPr>
            </w:pPr>
            <w:r>
              <w:rPr>
                <w:rFonts w:hint="eastAsia" w:ascii="宋体" w:hAnsi="宋体" w:eastAsia="宋体" w:cs="Times New Roman"/>
                <w:sz w:val="24"/>
                <w:highlight w:val="none"/>
              </w:rPr>
              <w:t>价格分统一采用低价优先法，即满足招标文件要求且投标价格最低的投标报价为评标基准价，其价格分为满分</w:t>
            </w:r>
            <w:r>
              <w:rPr>
                <w:rFonts w:hint="default" w:ascii="宋体" w:hAnsi="宋体" w:eastAsia="宋体" w:cs="Times New Roman"/>
                <w:sz w:val="24"/>
                <w:highlight w:val="none"/>
                <w:u w:val="single"/>
                <w:lang w:eastAsia="zh-CN"/>
              </w:rPr>
              <w:t>3</w:t>
            </w:r>
            <w:r>
              <w:rPr>
                <w:rFonts w:ascii="宋体" w:hAnsi="宋体" w:eastAsia="宋体" w:cs="Times New Roman"/>
                <w:sz w:val="24"/>
                <w:highlight w:val="none"/>
                <w:u w:val="single"/>
              </w:rPr>
              <w:t>0</w:t>
            </w:r>
            <w:r>
              <w:rPr>
                <w:rFonts w:hint="eastAsia" w:ascii="宋体" w:hAnsi="宋体" w:eastAsia="宋体" w:cs="Times New Roman"/>
                <w:sz w:val="24"/>
                <w:highlight w:val="none"/>
              </w:rPr>
              <w:t>分。其他投标供应商的价格分统一按照下列公式计算：</w:t>
            </w:r>
          </w:p>
          <w:p w14:paraId="6194C4A4">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Times New Roman"/>
                <w:sz w:val="24"/>
                <w:highlight w:val="none"/>
              </w:rPr>
              <w:t>投标报价得分＝（评标基准价/投标报价）×</w:t>
            </w:r>
            <w:r>
              <w:rPr>
                <w:rFonts w:hint="default" w:ascii="宋体" w:hAnsi="宋体" w:eastAsia="宋体" w:cs="Times New Roman"/>
                <w:sz w:val="24"/>
                <w:highlight w:val="none"/>
                <w:u w:val="single"/>
                <w:lang w:eastAsia="zh-CN"/>
              </w:rPr>
              <w:t>3</w:t>
            </w:r>
            <w:r>
              <w:rPr>
                <w:rFonts w:ascii="宋体" w:hAnsi="宋体" w:eastAsia="宋体" w:cs="Times New Roman"/>
                <w:sz w:val="24"/>
                <w:highlight w:val="none"/>
                <w:u w:val="single"/>
              </w:rPr>
              <w:t>0</w:t>
            </w:r>
            <w:r>
              <w:rPr>
                <w:rFonts w:hint="eastAsia" w:ascii="宋体" w:hAnsi="宋体" w:eastAsia="宋体" w:cs="Times New Roman"/>
                <w:sz w:val="24"/>
                <w:highlight w:val="none"/>
              </w:rPr>
              <w:t>％×100</w:t>
            </w:r>
          </w:p>
        </w:tc>
      </w:tr>
    </w:tbl>
    <w:p w14:paraId="55B28D9F">
      <w:pPr>
        <w:pageBreakBefore w:val="0"/>
        <w:kinsoku/>
        <w:wordWrap w:val="0"/>
        <w:overflowPunct/>
        <w:topLinePunct w:val="0"/>
        <w:bidi w:val="0"/>
        <w:spacing w:line="360" w:lineRule="auto"/>
        <w:ind w:firstLine="435"/>
        <w:textAlignment w:val="auto"/>
        <w:rPr>
          <w:rFonts w:ascii="宋体" w:hAnsi="宋体" w:eastAsia="宋体"/>
          <w:sz w:val="24"/>
        </w:rPr>
      </w:pPr>
      <w:r>
        <w:rPr>
          <w:rFonts w:hint="eastAsia" w:ascii="宋体" w:hAnsi="宋体" w:eastAsia="宋体"/>
          <w:sz w:val="24"/>
        </w:rPr>
        <w:t>2</w:t>
      </w:r>
      <w:r>
        <w:rPr>
          <w:rFonts w:ascii="宋体" w:hAnsi="宋体" w:eastAsia="宋体"/>
          <w:sz w:val="24"/>
        </w:rPr>
        <w:t>.3.3</w:t>
      </w:r>
      <w:r>
        <w:rPr>
          <w:rFonts w:hint="eastAsia" w:ascii="宋体" w:hAnsi="宋体" w:eastAsia="宋体"/>
          <w:sz w:val="24"/>
        </w:rPr>
        <w:t>分值汇总</w:t>
      </w:r>
    </w:p>
    <w:p w14:paraId="539EF178">
      <w:pPr>
        <w:pageBreakBefore w:val="0"/>
        <w:kinsoku/>
        <w:wordWrap w:val="0"/>
        <w:overflowPunct/>
        <w:topLinePunct w:val="0"/>
        <w:bidi w:val="0"/>
        <w:spacing w:line="360" w:lineRule="auto"/>
        <w:ind w:firstLine="435"/>
        <w:textAlignment w:val="auto"/>
        <w:rPr>
          <w:rFonts w:hint="eastAsia" w:ascii="宋体" w:hAnsi="宋体" w:eastAsia="宋体"/>
          <w:sz w:val="24"/>
          <w:lang w:val="en-US" w:eastAsia="zh-CN"/>
        </w:rPr>
      </w:pPr>
      <w:r>
        <w:rPr>
          <w:rFonts w:hint="eastAsia" w:ascii="宋体" w:hAnsi="宋体" w:eastAsia="宋体"/>
          <w:sz w:val="24"/>
        </w:rPr>
        <w:t>（1）</w:t>
      </w:r>
      <w:r>
        <w:rPr>
          <w:rFonts w:hint="eastAsia" w:ascii="宋体" w:hAnsi="宋体" w:eastAsia="宋体"/>
          <w:sz w:val="24"/>
          <w:lang w:val="en-US" w:eastAsia="zh-CN"/>
        </w:rPr>
        <w:t>技术资信评分</w:t>
      </w:r>
    </w:p>
    <w:p w14:paraId="4F8162E2">
      <w:pPr>
        <w:pageBreakBefore w:val="0"/>
        <w:kinsoku/>
        <w:wordWrap w:val="0"/>
        <w:overflowPunct/>
        <w:topLinePunct w:val="0"/>
        <w:bidi w:val="0"/>
        <w:spacing w:line="360" w:lineRule="auto"/>
        <w:ind w:firstLine="435"/>
        <w:textAlignment w:val="auto"/>
        <w:rPr>
          <w:rFonts w:ascii="宋体" w:hAnsi="宋体" w:eastAsia="宋体"/>
          <w:sz w:val="24"/>
        </w:rPr>
      </w:pPr>
      <w:r>
        <w:rPr>
          <w:rFonts w:ascii="宋体" w:hAnsi="宋体" w:eastAsia="宋体"/>
          <w:sz w:val="24"/>
        </w:rPr>
        <w:t>评标委员会各成员应当独立对每个</w:t>
      </w:r>
      <w:r>
        <w:rPr>
          <w:rFonts w:hint="eastAsia" w:ascii="宋体" w:hAnsi="宋体" w:eastAsia="宋体"/>
          <w:sz w:val="24"/>
        </w:rPr>
        <w:t>有效</w:t>
      </w:r>
      <w:r>
        <w:rPr>
          <w:rFonts w:ascii="宋体" w:hAnsi="宋体" w:eastAsia="宋体"/>
          <w:sz w:val="24"/>
        </w:rPr>
        <w:t>投标人的投标文件进行评</w:t>
      </w:r>
      <w:r>
        <w:rPr>
          <w:rFonts w:hint="eastAsia" w:ascii="宋体" w:hAnsi="宋体" w:eastAsia="宋体"/>
          <w:sz w:val="24"/>
        </w:rPr>
        <w:t>分</w:t>
      </w:r>
      <w:r>
        <w:rPr>
          <w:rFonts w:ascii="宋体" w:hAnsi="宋体" w:eastAsia="宋体"/>
          <w:sz w:val="24"/>
        </w:rPr>
        <w:t>，并汇总每个投</w:t>
      </w:r>
      <w:r>
        <w:rPr>
          <w:rFonts w:hint="eastAsia" w:ascii="宋体" w:hAnsi="宋体" w:eastAsia="宋体"/>
          <w:sz w:val="24"/>
        </w:rPr>
        <w:t>标人的得分。取各位评委评分之平均值</w:t>
      </w:r>
      <w:r>
        <w:rPr>
          <w:rFonts w:hint="eastAsia" w:ascii="宋体" w:hAnsi="宋体" w:eastAsia="宋体"/>
          <w:sz w:val="24"/>
          <w:lang w:eastAsia="zh-CN"/>
        </w:rPr>
        <w:t>（</w:t>
      </w:r>
      <w:r>
        <w:rPr>
          <w:rFonts w:hint="eastAsia" w:ascii="宋体" w:hAnsi="宋体" w:eastAsia="宋体"/>
          <w:sz w:val="24"/>
        </w:rPr>
        <w:t>四舍五入保留至小数点后两位数</w:t>
      </w:r>
      <w:r>
        <w:rPr>
          <w:rFonts w:hint="eastAsia" w:ascii="宋体" w:hAnsi="宋体" w:eastAsia="宋体"/>
          <w:sz w:val="24"/>
          <w:lang w:eastAsia="zh-CN"/>
        </w:rPr>
        <w:t>）</w:t>
      </w:r>
      <w:r>
        <w:rPr>
          <w:rFonts w:hint="eastAsia" w:ascii="宋体" w:hAnsi="宋体" w:eastAsia="宋体"/>
          <w:sz w:val="24"/>
        </w:rPr>
        <w:t>，</w:t>
      </w:r>
      <w:r>
        <w:rPr>
          <w:rFonts w:ascii="宋体" w:hAnsi="宋体" w:eastAsia="宋体"/>
          <w:sz w:val="24"/>
        </w:rPr>
        <w:t>得到该投标</w:t>
      </w:r>
      <w:r>
        <w:rPr>
          <w:rFonts w:hint="eastAsia" w:ascii="宋体" w:hAnsi="宋体" w:eastAsia="宋体"/>
          <w:sz w:val="24"/>
        </w:rPr>
        <w:t>人</w:t>
      </w:r>
      <w:r>
        <w:rPr>
          <w:rFonts w:ascii="宋体" w:hAnsi="宋体" w:eastAsia="宋体"/>
          <w:sz w:val="24"/>
        </w:rPr>
        <w:t>的技术资信分</w:t>
      </w:r>
      <w:r>
        <w:rPr>
          <w:rFonts w:hint="eastAsia" w:ascii="宋体" w:hAnsi="宋体" w:eastAsia="宋体"/>
          <w:sz w:val="24"/>
        </w:rPr>
        <w:t>。</w:t>
      </w:r>
    </w:p>
    <w:p w14:paraId="0DDF3E78">
      <w:pPr>
        <w:pageBreakBefore w:val="0"/>
        <w:kinsoku/>
        <w:wordWrap w:val="0"/>
        <w:overflowPunct/>
        <w:topLinePunct w:val="0"/>
        <w:bidi w:val="0"/>
        <w:spacing w:line="360" w:lineRule="auto"/>
        <w:ind w:firstLine="435"/>
        <w:textAlignment w:val="auto"/>
        <w:rPr>
          <w:rFonts w:hint="eastAsia" w:ascii="宋体" w:hAnsi="宋体" w:eastAsia="宋体"/>
          <w:sz w:val="24"/>
          <w:lang w:val="en-US" w:eastAsia="zh-CN"/>
        </w:rPr>
      </w:pPr>
      <w:r>
        <w:rPr>
          <w:rFonts w:hint="eastAsia" w:ascii="宋体" w:hAnsi="宋体" w:eastAsia="宋体"/>
          <w:sz w:val="24"/>
        </w:rPr>
        <w:t>（2）</w:t>
      </w:r>
      <w:r>
        <w:rPr>
          <w:rFonts w:hint="eastAsia" w:ascii="宋体" w:hAnsi="宋体" w:eastAsia="宋体"/>
          <w:sz w:val="24"/>
          <w:lang w:val="en-US" w:eastAsia="zh-CN"/>
        </w:rPr>
        <w:t>综合总得分</w:t>
      </w:r>
    </w:p>
    <w:p w14:paraId="1045B85D">
      <w:r>
        <w:rPr>
          <w:rFonts w:ascii="宋体" w:hAnsi="宋体" w:eastAsia="宋体"/>
          <w:sz w:val="24"/>
        </w:rPr>
        <w:t>将投标</w:t>
      </w:r>
      <w:r>
        <w:rPr>
          <w:rFonts w:hint="eastAsia" w:ascii="宋体" w:hAnsi="宋体" w:eastAsia="宋体"/>
          <w:sz w:val="24"/>
        </w:rPr>
        <w:t>人</w:t>
      </w:r>
      <w:r>
        <w:rPr>
          <w:rFonts w:ascii="宋体" w:hAnsi="宋体" w:eastAsia="宋体"/>
          <w:sz w:val="24"/>
        </w:rPr>
        <w:t>的技术资信分加上根据上述标准计算出的价格分，即为该投标</w:t>
      </w:r>
      <w:r>
        <w:rPr>
          <w:rFonts w:hint="eastAsia" w:ascii="宋体" w:hAnsi="宋体" w:eastAsia="宋体"/>
          <w:sz w:val="24"/>
        </w:rPr>
        <w:t>人</w:t>
      </w:r>
      <w:r>
        <w:rPr>
          <w:rFonts w:ascii="宋体" w:hAnsi="宋体" w:eastAsia="宋体"/>
          <w:sz w:val="24"/>
        </w:rPr>
        <w:t>的综合总得分。</w:t>
      </w:r>
      <w:bookmarkStart w:id="13" w:name="_GoBack"/>
      <w:bookmarkEnd w:id="1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BADEA6"/>
    <w:multiLevelType w:val="singleLevel"/>
    <w:tmpl w:val="98BADEA6"/>
    <w:lvl w:ilvl="0" w:tentative="0">
      <w:start w:val="1"/>
      <w:numFmt w:val="decimal"/>
      <w:suff w:val="nothing"/>
      <w:lvlText w:val="%1、"/>
      <w:lvlJc w:val="left"/>
    </w:lvl>
  </w:abstractNum>
  <w:abstractNum w:abstractNumId="1">
    <w:nsid w:val="B165C22D"/>
    <w:multiLevelType w:val="singleLevel"/>
    <w:tmpl w:val="B165C22D"/>
    <w:lvl w:ilvl="0" w:tentative="0">
      <w:start w:val="2"/>
      <w:numFmt w:val="chineseCounting"/>
      <w:suff w:val="nothing"/>
      <w:lvlText w:val="%1、"/>
      <w:lvlJc w:val="left"/>
      <w:rPr>
        <w:rFonts w:hint="eastAsia"/>
      </w:rPr>
    </w:lvl>
  </w:abstractNum>
  <w:abstractNum w:abstractNumId="2">
    <w:nsid w:val="B6249BB6"/>
    <w:multiLevelType w:val="singleLevel"/>
    <w:tmpl w:val="B6249BB6"/>
    <w:lvl w:ilvl="0" w:tentative="0">
      <w:start w:val="1"/>
      <w:numFmt w:val="decimal"/>
      <w:suff w:val="nothing"/>
      <w:lvlText w:val="%1、"/>
      <w:lvlJc w:val="left"/>
    </w:lvl>
  </w:abstractNum>
  <w:abstractNum w:abstractNumId="3">
    <w:nsid w:val="4B386909"/>
    <w:multiLevelType w:val="singleLevel"/>
    <w:tmpl w:val="4B386909"/>
    <w:lvl w:ilvl="0" w:tentative="0">
      <w:start w:val="1"/>
      <w:numFmt w:val="decimal"/>
      <w:suff w:val="nothing"/>
      <w:lvlText w:val="%1、"/>
      <w:lvlJc w:val="left"/>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2D115B"/>
    <w:rsid w:val="552D11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szCs w:val="20"/>
      <w:lang w:val="en-US" w:eastAsia="zh-CN" w:bidi="ar-SA"/>
    </w:rPr>
  </w:style>
  <w:style w:type="paragraph" w:styleId="2">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12">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3">
    <w:name w:val="annotation text"/>
    <w:basedOn w:val="1"/>
    <w:qFormat/>
    <w:uiPriority w:val="0"/>
    <w:pPr>
      <w:jc w:val="left"/>
    </w:pPr>
    <w:rPr>
      <w:rFonts w:ascii="Arial" w:hAnsi="Arial" w:eastAsia="黑体" w:cs="Arial"/>
    </w:rPr>
  </w:style>
  <w:style w:type="paragraph" w:styleId="4">
    <w:name w:val="Body Text"/>
    <w:basedOn w:val="1"/>
    <w:qFormat/>
    <w:uiPriority w:val="0"/>
    <w:pPr>
      <w:spacing w:after="120"/>
    </w:pPr>
    <w:rPr>
      <w:rFonts w:ascii="@微软简标宋" w:hAnsi="@微软简标宋" w:eastAsia="@微软简标宋" w:cs="@微软简标宋"/>
      <w:szCs w:val="24"/>
      <w:lang w:val="zh-CN"/>
    </w:rPr>
  </w:style>
  <w:style w:type="paragraph" w:styleId="5">
    <w:name w:val="Body Text Indent"/>
    <w:basedOn w:val="1"/>
    <w:next w:val="6"/>
    <w:unhideWhenUsed/>
    <w:qFormat/>
    <w:uiPriority w:val="99"/>
    <w:pPr>
      <w:ind w:firstLine="645"/>
    </w:pPr>
    <w:rPr>
      <w:rFonts w:ascii="楷体_GB2312" w:eastAsia="楷体_GB2312"/>
      <w:sz w:val="32"/>
      <w:szCs w:val="20"/>
    </w:rPr>
  </w:style>
  <w:style w:type="paragraph" w:styleId="6">
    <w:name w:val="envelope return"/>
    <w:basedOn w:val="1"/>
    <w:qFormat/>
    <w:uiPriority w:val="99"/>
    <w:pPr>
      <w:snapToGrid w:val="0"/>
    </w:pPr>
    <w:rPr>
      <w:rFonts w:ascii="Arial" w:hAnsi="Arial" w:cs="Arial"/>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w:basedOn w:val="4"/>
    <w:unhideWhenUsed/>
    <w:qFormat/>
    <w:uiPriority w:val="99"/>
    <w:pPr>
      <w:ind w:firstLine="420" w:firstLineChars="100"/>
    </w:pPr>
  </w:style>
  <w:style w:type="paragraph" w:styleId="9">
    <w:name w:val="Body Text First Indent 2"/>
    <w:basedOn w:val="5"/>
    <w:unhideWhenUsed/>
    <w:qFormat/>
    <w:uiPriority w:val="99"/>
    <w:pPr>
      <w:ind w:left="420" w:firstLine="420" w:firstLineChars="200"/>
    </w:pPr>
    <w:rPr>
      <w:rFonts w:ascii="Times New Roman" w:cs="Times New Roman"/>
    </w:rPr>
  </w:style>
  <w:style w:type="table" w:styleId="11">
    <w:name w:val="Table Grid"/>
    <w:basedOn w:val="10"/>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3">
    <w:name w:val="D&amp;L"/>
    <w:basedOn w:val="7"/>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4">
    <w:name w:val="xl31"/>
    <w:basedOn w:val="1"/>
    <w:qFormat/>
    <w:uiPriority w:val="0"/>
    <w:pPr>
      <w:widowControl/>
      <w:spacing w:before="100" w:beforeAutospacing="1" w:after="100" w:afterAutospacing="1"/>
      <w:jc w:val="center"/>
    </w:pPr>
    <w:rPr>
      <w:b/>
      <w:bCs/>
      <w:kern w:val="0"/>
      <w:sz w:val="28"/>
      <w:szCs w:val="28"/>
    </w:rPr>
  </w:style>
  <w:style w:type="paragraph" w:customStyle="1" w:styleId="15">
    <w:name w:val="Table Text"/>
    <w:basedOn w:val="1"/>
    <w:semiHidden/>
    <w:qFormat/>
    <w:uiPriority w:val="0"/>
    <w:rPr>
      <w:rFonts w:ascii="宋体" w:hAnsi="宋体" w:eastAsia="宋体" w:cs="宋体"/>
      <w:sz w:val="24"/>
      <w:szCs w:val="24"/>
      <w:lang w:eastAsia="en-US"/>
    </w:rPr>
  </w:style>
  <w:style w:type="table" w:customStyle="1" w:styleId="16">
    <w:name w:val="Table Normal"/>
    <w:unhideWhenUsed/>
    <w:qFormat/>
    <w:uiPriority w:val="0"/>
    <w:tblPr>
      <w:tblCellMar>
        <w:top w:w="0" w:type="dxa"/>
        <w:left w:w="0" w:type="dxa"/>
        <w:bottom w:w="0" w:type="dxa"/>
        <w:right w:w="0" w:type="dxa"/>
      </w:tblCellMar>
    </w:tblPr>
  </w:style>
  <w:style w:type="paragraph" w:customStyle="1" w:styleId="17">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47</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2026-09-07T08:49:00Z</dcterms:created>
  <dc:creator>余昆</dc:creator>
  <cp:lastModifiedBy>余昆</cp:lastModifiedBy>
  <dcterms:modified xsi:type="dcterms:W3CDTF">2026-09-07T08:49:37Z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7970ADF9AD144119BFA703907F2F4EC4_11</vt:lpwstr>
  </property>
  <property fmtid="{D5CDD505-2E9C-101B-9397-08002B2CF9AE}" pid="4" name="KSOTemplateDocerSaveRecord">
    <vt:lpwstr>eyJoZGlkIjoiMjlkZDY0NTE3NWYzYjJlNzQ3ODhjYjY3OWJlMzE3YjAiLCJ1c2VySWQiOiI0MzExNTQ5NDUifQ==</vt:lpwstr>
  </property>
</Properties>
</file>