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E00B5">
      <w:pPr>
        <w:wordWrap w:val="0"/>
        <w:spacing w:line="360" w:lineRule="auto"/>
        <w:jc w:val="center"/>
        <w:outlineLvl w:val="1"/>
        <w:rPr>
          <w:rFonts w:hint="eastAsia" w:ascii="仿宋" w:hAnsi="仿宋" w:eastAsia="仿宋" w:cs="仿宋"/>
          <w:b/>
          <w:bCs/>
          <w:kern w:val="44"/>
          <w:sz w:val="44"/>
          <w:szCs w:val="44"/>
        </w:rPr>
      </w:pPr>
      <w:bookmarkStart w:id="0" w:name="_Toc17224"/>
      <w:r>
        <w:rPr>
          <w:rFonts w:hint="eastAsia" w:ascii="仿宋" w:hAnsi="仿宋" w:eastAsia="仿宋" w:cs="仿宋"/>
          <w:b/>
          <w:bCs/>
          <w:kern w:val="44"/>
          <w:sz w:val="44"/>
          <w:szCs w:val="44"/>
        </w:rPr>
        <w:t>第三章  采购需求</w:t>
      </w:r>
      <w:bookmarkEnd w:id="0"/>
    </w:p>
    <w:p w14:paraId="3E0DBA48">
      <w:pPr>
        <w:wordWrap w:val="0"/>
        <w:spacing w:line="360" w:lineRule="auto"/>
        <w:rPr>
          <w:rFonts w:hint="eastAsia" w:ascii="仿宋" w:hAnsi="仿宋" w:eastAsia="仿宋" w:cs="仿宋"/>
          <w:b/>
          <w:sz w:val="24"/>
          <w:szCs w:val="24"/>
        </w:rPr>
      </w:pPr>
      <w:r>
        <w:rPr>
          <w:rFonts w:hint="eastAsia" w:ascii="仿宋" w:hAnsi="仿宋" w:eastAsia="仿宋" w:cs="仿宋"/>
          <w:b/>
          <w:sz w:val="24"/>
          <w:szCs w:val="24"/>
        </w:rPr>
        <w:t>前注：</w:t>
      </w:r>
    </w:p>
    <w:p w14:paraId="71F4D316">
      <w:pPr>
        <w:wordWrap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1.本采购需求中提出的工程实施方案仅为参考，如无明确限制，参选人可以进行优化，提供满足比选人实际需要的更优（或者性能实质上不低于的）工程实施方案，且此方案须经</w:t>
      </w:r>
      <w:r>
        <w:rPr>
          <w:rFonts w:hint="eastAsia" w:ascii="仿宋" w:hAnsi="仿宋" w:eastAsia="仿宋" w:cs="仿宋"/>
          <w:sz w:val="24"/>
          <w:szCs w:val="24"/>
          <w:lang w:eastAsia="zh-CN"/>
        </w:rPr>
        <w:t>比选小组</w:t>
      </w:r>
      <w:r>
        <w:rPr>
          <w:rFonts w:hint="eastAsia" w:ascii="仿宋" w:hAnsi="仿宋" w:eastAsia="仿宋" w:cs="仿宋"/>
          <w:sz w:val="24"/>
          <w:szCs w:val="24"/>
        </w:rPr>
        <w:t>评审认可。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291"/>
        <w:gridCol w:w="6355"/>
      </w:tblGrid>
      <w:tr w14:paraId="60F0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4C305AC5">
            <w:pPr>
              <w:wordWrap w:val="0"/>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91" w:type="dxa"/>
            <w:noWrap w:val="0"/>
            <w:vAlign w:val="center"/>
          </w:tcPr>
          <w:p w14:paraId="3EAE0840">
            <w:pPr>
              <w:wordWrap w:val="0"/>
              <w:spacing w:line="360" w:lineRule="auto"/>
              <w:ind w:firstLine="435"/>
              <w:jc w:val="center"/>
              <w:rPr>
                <w:rFonts w:hint="eastAsia" w:ascii="仿宋" w:hAnsi="仿宋" w:eastAsia="仿宋" w:cs="仿宋"/>
                <w:b/>
                <w:sz w:val="24"/>
                <w:szCs w:val="24"/>
              </w:rPr>
            </w:pPr>
            <w:r>
              <w:rPr>
                <w:rFonts w:hint="eastAsia" w:ascii="仿宋" w:hAnsi="仿宋" w:eastAsia="仿宋" w:cs="仿宋"/>
                <w:b/>
                <w:sz w:val="24"/>
                <w:szCs w:val="24"/>
              </w:rPr>
              <w:t>内容</w:t>
            </w:r>
          </w:p>
        </w:tc>
        <w:tc>
          <w:tcPr>
            <w:tcW w:w="6355" w:type="dxa"/>
            <w:noWrap w:val="0"/>
            <w:vAlign w:val="center"/>
          </w:tcPr>
          <w:p w14:paraId="1C7D627D">
            <w:pPr>
              <w:wordWrap w:val="0"/>
              <w:spacing w:line="360" w:lineRule="auto"/>
              <w:ind w:firstLine="435"/>
              <w:jc w:val="center"/>
              <w:rPr>
                <w:rFonts w:hint="eastAsia" w:ascii="仿宋" w:hAnsi="仿宋" w:eastAsia="仿宋" w:cs="仿宋"/>
                <w:b/>
                <w:sz w:val="24"/>
                <w:szCs w:val="24"/>
              </w:rPr>
            </w:pPr>
            <w:r>
              <w:rPr>
                <w:rFonts w:hint="eastAsia" w:ascii="仿宋" w:hAnsi="仿宋" w:eastAsia="仿宋" w:cs="仿宋"/>
                <w:b/>
                <w:sz w:val="24"/>
                <w:szCs w:val="24"/>
              </w:rPr>
              <w:t>说明和要求</w:t>
            </w:r>
          </w:p>
        </w:tc>
      </w:tr>
      <w:tr w14:paraId="6041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676E9426">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1</w:t>
            </w:r>
          </w:p>
        </w:tc>
        <w:tc>
          <w:tcPr>
            <w:tcW w:w="1291" w:type="dxa"/>
            <w:noWrap w:val="0"/>
            <w:vAlign w:val="center"/>
          </w:tcPr>
          <w:p w14:paraId="2CC762A8">
            <w:pPr>
              <w:wordWrap w:val="0"/>
              <w:spacing w:line="360" w:lineRule="auto"/>
              <w:rPr>
                <w:rFonts w:hint="eastAsia" w:ascii="仿宋" w:hAnsi="仿宋" w:eastAsia="仿宋" w:cs="仿宋"/>
                <w:b/>
                <w:sz w:val="24"/>
                <w:szCs w:val="24"/>
              </w:rPr>
            </w:pPr>
            <w:r>
              <w:rPr>
                <w:rFonts w:hint="eastAsia" w:ascii="仿宋" w:hAnsi="仿宋" w:eastAsia="仿宋" w:cs="仿宋"/>
                <w:bCs/>
                <w:sz w:val="24"/>
                <w:szCs w:val="24"/>
              </w:rPr>
              <w:t>工程地点</w:t>
            </w:r>
          </w:p>
        </w:tc>
        <w:tc>
          <w:tcPr>
            <w:tcW w:w="6355" w:type="dxa"/>
            <w:noWrap w:val="0"/>
            <w:vAlign w:val="center"/>
          </w:tcPr>
          <w:p w14:paraId="1935FD44">
            <w:pPr>
              <w:wordWrap w:val="0"/>
              <w:spacing w:line="360" w:lineRule="auto"/>
              <w:rPr>
                <w:rFonts w:hint="eastAsia" w:ascii="仿宋" w:hAnsi="仿宋" w:eastAsia="仿宋" w:cs="仿宋"/>
                <w:bCs/>
                <w:sz w:val="24"/>
                <w:szCs w:val="24"/>
              </w:rPr>
            </w:pPr>
            <w:r>
              <w:rPr>
                <w:rFonts w:hint="eastAsia" w:ascii="仿宋" w:hAnsi="仿宋" w:eastAsia="仿宋" w:cs="仿宋"/>
                <w:bCs/>
                <w:sz w:val="24"/>
                <w:szCs w:val="24"/>
              </w:rPr>
              <w:t>安徽医科大学</w:t>
            </w:r>
            <w:r>
              <w:rPr>
                <w:rFonts w:hint="eastAsia" w:ascii="仿宋" w:hAnsi="仿宋" w:eastAsia="仿宋" w:cs="仿宋"/>
                <w:bCs/>
                <w:sz w:val="24"/>
                <w:szCs w:val="24"/>
                <w:lang w:eastAsia="zh-CN"/>
              </w:rPr>
              <w:t>铜陵路校区</w:t>
            </w:r>
            <w:r>
              <w:rPr>
                <w:rFonts w:hint="eastAsia" w:ascii="仿宋" w:hAnsi="仿宋" w:eastAsia="仿宋" w:cs="仿宋"/>
                <w:bCs/>
                <w:sz w:val="24"/>
                <w:szCs w:val="24"/>
              </w:rPr>
              <w:t>或比选人指定地点。</w:t>
            </w:r>
          </w:p>
        </w:tc>
      </w:tr>
      <w:tr w14:paraId="26D5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5DF7E0B5">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2</w:t>
            </w:r>
          </w:p>
        </w:tc>
        <w:tc>
          <w:tcPr>
            <w:tcW w:w="1291" w:type="dxa"/>
            <w:noWrap w:val="0"/>
            <w:vAlign w:val="center"/>
          </w:tcPr>
          <w:p w14:paraId="0B375755">
            <w:pPr>
              <w:wordWrap w:val="0"/>
              <w:spacing w:line="360" w:lineRule="auto"/>
              <w:rPr>
                <w:rFonts w:hint="eastAsia" w:ascii="仿宋" w:hAnsi="仿宋" w:eastAsia="仿宋" w:cs="仿宋"/>
                <w:b/>
                <w:sz w:val="24"/>
                <w:szCs w:val="24"/>
              </w:rPr>
            </w:pPr>
            <w:r>
              <w:rPr>
                <w:rFonts w:hint="eastAsia" w:ascii="仿宋" w:hAnsi="仿宋" w:eastAsia="仿宋" w:cs="仿宋"/>
                <w:bCs/>
                <w:sz w:val="24"/>
                <w:szCs w:val="24"/>
              </w:rPr>
              <w:t>计划工期</w:t>
            </w:r>
          </w:p>
        </w:tc>
        <w:tc>
          <w:tcPr>
            <w:tcW w:w="6355" w:type="dxa"/>
            <w:noWrap w:val="0"/>
            <w:vAlign w:val="center"/>
          </w:tcPr>
          <w:p w14:paraId="1D98DDEC">
            <w:pPr>
              <w:wordWrap w:val="0"/>
              <w:spacing w:line="360" w:lineRule="auto"/>
              <w:rPr>
                <w:rFonts w:hint="eastAsia" w:ascii="仿宋" w:hAnsi="仿宋" w:eastAsia="仿宋" w:cs="仿宋"/>
                <w:bCs/>
                <w:sz w:val="24"/>
                <w:szCs w:val="24"/>
              </w:rPr>
            </w:pPr>
            <w:r>
              <w:rPr>
                <w:rFonts w:hint="eastAsia" w:ascii="仿宋" w:hAnsi="仿宋" w:eastAsia="仿宋" w:cs="仿宋"/>
                <w:bCs/>
                <w:sz w:val="24"/>
                <w:szCs w:val="24"/>
                <w:lang w:eastAsia="zh-CN"/>
              </w:rPr>
              <w:t>自收到开工令（通知）之日起30日历日内完成所有施工内容</w:t>
            </w:r>
            <w:r>
              <w:rPr>
                <w:rFonts w:hint="eastAsia" w:ascii="仿宋" w:hAnsi="仿宋" w:eastAsia="仿宋" w:cs="仿宋"/>
                <w:bCs/>
                <w:sz w:val="24"/>
                <w:szCs w:val="24"/>
              </w:rPr>
              <w:t>。</w:t>
            </w:r>
          </w:p>
        </w:tc>
      </w:tr>
      <w:tr w14:paraId="1646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227AF88D">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3</w:t>
            </w:r>
          </w:p>
        </w:tc>
        <w:tc>
          <w:tcPr>
            <w:tcW w:w="1291" w:type="dxa"/>
            <w:noWrap w:val="0"/>
            <w:vAlign w:val="center"/>
          </w:tcPr>
          <w:p w14:paraId="018FE9FC">
            <w:pPr>
              <w:wordWrap w:val="0"/>
              <w:spacing w:line="360" w:lineRule="auto"/>
              <w:jc w:val="left"/>
              <w:rPr>
                <w:rFonts w:hint="eastAsia" w:ascii="仿宋" w:hAnsi="仿宋" w:eastAsia="仿宋" w:cs="仿宋"/>
                <w:b/>
                <w:sz w:val="24"/>
                <w:szCs w:val="24"/>
              </w:rPr>
            </w:pPr>
            <w:r>
              <w:rPr>
                <w:rFonts w:hint="eastAsia" w:ascii="仿宋" w:hAnsi="仿宋" w:eastAsia="仿宋" w:cs="仿宋"/>
                <w:bCs/>
                <w:sz w:val="24"/>
                <w:szCs w:val="24"/>
              </w:rPr>
              <w:t>工程质量</w:t>
            </w:r>
          </w:p>
        </w:tc>
        <w:tc>
          <w:tcPr>
            <w:tcW w:w="6355" w:type="dxa"/>
            <w:noWrap w:val="0"/>
            <w:vAlign w:val="center"/>
          </w:tcPr>
          <w:p w14:paraId="29C5589B">
            <w:pPr>
              <w:wordWrap w:val="0"/>
              <w:spacing w:line="360" w:lineRule="auto"/>
              <w:rPr>
                <w:rFonts w:hint="eastAsia" w:ascii="仿宋" w:hAnsi="仿宋" w:eastAsia="仿宋" w:cs="仿宋"/>
                <w:bCs/>
                <w:sz w:val="24"/>
                <w:szCs w:val="24"/>
              </w:rPr>
            </w:pPr>
            <w:r>
              <w:rPr>
                <w:rFonts w:hint="eastAsia" w:ascii="仿宋" w:hAnsi="仿宋" w:eastAsia="仿宋" w:cs="仿宋"/>
                <w:bCs/>
                <w:sz w:val="24"/>
                <w:szCs w:val="24"/>
              </w:rPr>
              <w:t>合格</w:t>
            </w:r>
          </w:p>
        </w:tc>
      </w:tr>
      <w:tr w14:paraId="087E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1CA99A4C">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4</w:t>
            </w:r>
          </w:p>
        </w:tc>
        <w:tc>
          <w:tcPr>
            <w:tcW w:w="1291" w:type="dxa"/>
            <w:noWrap w:val="0"/>
            <w:vAlign w:val="center"/>
          </w:tcPr>
          <w:p w14:paraId="790742A6">
            <w:pPr>
              <w:wordWrap w:val="0"/>
              <w:spacing w:line="360" w:lineRule="auto"/>
              <w:jc w:val="left"/>
              <w:rPr>
                <w:rFonts w:hint="eastAsia" w:ascii="仿宋" w:hAnsi="仿宋" w:eastAsia="仿宋" w:cs="仿宋"/>
                <w:b/>
                <w:sz w:val="24"/>
                <w:szCs w:val="24"/>
              </w:rPr>
            </w:pPr>
            <w:r>
              <w:rPr>
                <w:rFonts w:hint="eastAsia" w:ascii="仿宋" w:hAnsi="仿宋" w:eastAsia="仿宋" w:cs="仿宋"/>
                <w:bCs/>
                <w:sz w:val="24"/>
                <w:szCs w:val="24"/>
              </w:rPr>
              <w:t>付款方式</w:t>
            </w:r>
          </w:p>
        </w:tc>
        <w:tc>
          <w:tcPr>
            <w:tcW w:w="6355" w:type="dxa"/>
            <w:noWrap w:val="0"/>
            <w:vAlign w:val="center"/>
          </w:tcPr>
          <w:p w14:paraId="3EE83C56">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1.工程竣工验收合格后退还履约保证金，同时付至合同价的80%；</w:t>
            </w:r>
          </w:p>
          <w:p w14:paraId="165B4880">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2.经安徽医科大学</w:t>
            </w:r>
            <w:r>
              <w:rPr>
                <w:rFonts w:hint="eastAsia" w:ascii="仿宋" w:hAnsi="仿宋" w:eastAsia="仿宋" w:cs="仿宋"/>
                <w:sz w:val="24"/>
                <w:szCs w:val="24"/>
                <w:lang w:val="en-US" w:eastAsia="zh-CN"/>
              </w:rPr>
              <w:t>审计部门</w:t>
            </w:r>
            <w:r>
              <w:rPr>
                <w:rFonts w:hint="eastAsia" w:ascii="仿宋" w:hAnsi="仿宋" w:eastAsia="仿宋" w:cs="仿宋"/>
                <w:sz w:val="24"/>
                <w:szCs w:val="24"/>
              </w:rPr>
              <w:t>出具结算报告后支付至结算价的97％；</w:t>
            </w:r>
          </w:p>
          <w:p w14:paraId="3A665941">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3.余款作为质量保证金在缺陷责任期（24个月）满后一次性支付。</w:t>
            </w:r>
          </w:p>
        </w:tc>
      </w:tr>
      <w:tr w14:paraId="247D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3F0BFFBC">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1291" w:type="dxa"/>
            <w:noWrap w:val="0"/>
            <w:vAlign w:val="center"/>
          </w:tcPr>
          <w:p w14:paraId="2B42894D">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人员到岗及履约要求</w:t>
            </w:r>
          </w:p>
        </w:tc>
        <w:tc>
          <w:tcPr>
            <w:tcW w:w="6355" w:type="dxa"/>
            <w:noWrap w:val="0"/>
            <w:vAlign w:val="center"/>
          </w:tcPr>
          <w:p w14:paraId="2B7881B1">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1.参选人一旦中选，比选时所报的本项目的项目经理、施工现场技术负责人、各专业负责工程师及施工机械等在整个项目施工期内必须在位，否则比选人有权终止合同。由此造成的损失，中选人自行承担并赔偿可能给比选人造成的损失。</w:t>
            </w:r>
          </w:p>
          <w:p w14:paraId="41C967E9">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2.中选人不得擅自更换比选时所报项目经理及项目部主要管理人员。确需更换时，须报比选人同意，更换后人员不得低于中选人比选时所报人员资质和技术水平。比选人如认为有必要，可要求对上述人员中的部分人员作出更好的调整。</w:t>
            </w:r>
          </w:p>
          <w:p w14:paraId="4B1EB84A">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3.中选人未能按照承诺到岗尽职的，比选人有权视情况严重程度对其作出相应处理，给予警告并发出整改通知。如仍未及时整改，比选人有权责令其停工整改、直至终止合同，引进新的承包人。比选人有权停止支付工程款项，扣留任何未付的工程进度款项补偿建设单位的有关损失或工期延误的损失，并就此向承包人索赔。</w:t>
            </w:r>
          </w:p>
        </w:tc>
      </w:tr>
      <w:tr w14:paraId="4FE6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571E08A5">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1291" w:type="dxa"/>
            <w:noWrap w:val="0"/>
            <w:vAlign w:val="center"/>
          </w:tcPr>
          <w:p w14:paraId="389788D5">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材料要求</w:t>
            </w:r>
          </w:p>
        </w:tc>
        <w:tc>
          <w:tcPr>
            <w:tcW w:w="6355" w:type="dxa"/>
            <w:noWrap w:val="0"/>
            <w:vAlign w:val="center"/>
          </w:tcPr>
          <w:p w14:paraId="3E016B13">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1.中选人自行采购的材料应满足设计和规范要求的质量等级，并须按有关技术规范要求对材料质量进行检验。中选人选定的材料供应厂家和价格须经比选人和监理单位认可。如比选人和监理单位对某种或某些材料的质量有异议，有权提出停止使用的要求，中选人必须服从该要求。若该材料经权威检验部门鉴定确有质量问题，由此而发生的一切费用由中选人自负。因中选人自行采购的材料质量引起的工程质量问题由中选人承担所造成的一切损失。</w:t>
            </w:r>
          </w:p>
          <w:p w14:paraId="51F2FD05">
            <w:pPr>
              <w:pStyle w:val="7"/>
              <w:widowControl w:val="0"/>
              <w:wordWrap w:val="0"/>
              <w:spacing w:before="0" w:beforeAutospacing="0" w:after="0" w:afterAutospacing="0" w:line="360" w:lineRule="auto"/>
              <w:jc w:val="both"/>
              <w:rPr>
                <w:rFonts w:hint="eastAsia" w:ascii="仿宋" w:hAnsi="仿宋" w:eastAsia="仿宋" w:cs="仿宋"/>
                <w:b/>
                <w:bCs/>
                <w:kern w:val="2"/>
                <w:sz w:val="24"/>
                <w:szCs w:val="24"/>
              </w:rPr>
            </w:pPr>
            <w:r>
              <w:rPr>
                <w:rFonts w:hint="eastAsia" w:ascii="仿宋" w:hAnsi="仿宋" w:eastAsia="仿宋" w:cs="仿宋"/>
                <w:b/>
                <w:bCs/>
                <w:kern w:val="2"/>
                <w:sz w:val="24"/>
                <w:szCs w:val="24"/>
              </w:rPr>
              <w:t>2.如本项目比选人对工程质量有特殊需求的，对主要设备及材料提供不少于三个的参考品牌，对于比选人参考品牌的材料，参选人可选用参考品牌或不低于参考品牌质量标准的其它品牌；采用其它品牌的应在参选文件中提供相关技术参数证明材料供</w:t>
            </w:r>
            <w:r>
              <w:rPr>
                <w:rFonts w:hint="eastAsia" w:ascii="仿宋" w:hAnsi="仿宋" w:eastAsia="仿宋" w:cs="仿宋"/>
                <w:b/>
                <w:bCs/>
                <w:kern w:val="2"/>
                <w:sz w:val="24"/>
                <w:szCs w:val="24"/>
                <w:lang w:eastAsia="zh-CN"/>
              </w:rPr>
              <w:t>比选小组</w:t>
            </w:r>
            <w:r>
              <w:rPr>
                <w:rFonts w:hint="eastAsia" w:ascii="仿宋" w:hAnsi="仿宋" w:eastAsia="仿宋" w:cs="仿宋"/>
                <w:b/>
                <w:bCs/>
                <w:kern w:val="2"/>
                <w:sz w:val="24"/>
                <w:szCs w:val="24"/>
              </w:rPr>
              <w:t>评审，未提供相关技术参数证明材料或经</w:t>
            </w:r>
            <w:r>
              <w:rPr>
                <w:rFonts w:hint="eastAsia" w:ascii="仿宋" w:hAnsi="仿宋" w:eastAsia="仿宋" w:cs="仿宋"/>
                <w:b/>
                <w:bCs/>
                <w:kern w:val="2"/>
                <w:sz w:val="24"/>
                <w:szCs w:val="24"/>
                <w:lang w:eastAsia="zh-CN"/>
              </w:rPr>
              <w:t>比选小组</w:t>
            </w:r>
            <w:r>
              <w:rPr>
                <w:rFonts w:hint="eastAsia" w:ascii="仿宋" w:hAnsi="仿宋" w:eastAsia="仿宋" w:cs="仿宋"/>
                <w:b/>
                <w:bCs/>
                <w:kern w:val="2"/>
                <w:sz w:val="24"/>
                <w:szCs w:val="24"/>
              </w:rPr>
              <w:t>评审未通过的，中选后只能从比选人参考品牌中进行选择，价格不予调整。</w:t>
            </w:r>
          </w:p>
          <w:p w14:paraId="1C594FCF">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3.对于比选人参考品牌的材料，参选人如认为参考品牌有限定性、唯一性、明显不在同一档次等级的或者其他异议的，应在本项目询问截止时间前以书面方式提交给比选人或代理机构。</w:t>
            </w:r>
          </w:p>
        </w:tc>
      </w:tr>
      <w:tr w14:paraId="7F73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69BEA192">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1291" w:type="dxa"/>
            <w:noWrap w:val="0"/>
            <w:vAlign w:val="center"/>
          </w:tcPr>
          <w:p w14:paraId="35DCD59E">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工程施工重点难点</w:t>
            </w:r>
          </w:p>
        </w:tc>
        <w:tc>
          <w:tcPr>
            <w:tcW w:w="6355" w:type="dxa"/>
            <w:noWrap w:val="0"/>
            <w:vAlign w:val="center"/>
          </w:tcPr>
          <w:p w14:paraId="75E9198B">
            <w:pPr>
              <w:pStyle w:val="2"/>
              <w:rPr>
                <w:rFonts w:hint="eastAsia" w:ascii="仿宋" w:hAnsi="仿宋" w:eastAsia="仿宋" w:cs="仿宋"/>
                <w:kern w:val="0"/>
                <w:sz w:val="24"/>
                <w:szCs w:val="24"/>
              </w:rPr>
            </w:pPr>
            <w:r>
              <w:rPr>
                <w:rFonts w:hint="eastAsia" w:ascii="仿宋" w:hAnsi="仿宋" w:eastAsia="仿宋" w:cs="仿宋"/>
                <w:kern w:val="0"/>
                <w:sz w:val="24"/>
                <w:szCs w:val="24"/>
              </w:rPr>
              <w:t>无</w:t>
            </w:r>
          </w:p>
        </w:tc>
      </w:tr>
      <w:tr w14:paraId="0C98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2C03E81A">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1291" w:type="dxa"/>
            <w:noWrap w:val="0"/>
            <w:vAlign w:val="center"/>
          </w:tcPr>
          <w:p w14:paraId="35CBFC84">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报价须知</w:t>
            </w:r>
          </w:p>
        </w:tc>
        <w:tc>
          <w:tcPr>
            <w:tcW w:w="6355" w:type="dxa"/>
            <w:noWrap w:val="0"/>
            <w:vAlign w:val="center"/>
          </w:tcPr>
          <w:p w14:paraId="26F5B605">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sz w:val="24"/>
                <w:szCs w:val="24"/>
              </w:rPr>
              <w:t>参选人最后报价均不得高于比选文件（公告）列明的项目预算、最高投标限价（控制价），否则其参选文件将被认定为响应无效</w:t>
            </w:r>
            <w:r>
              <w:rPr>
                <w:rFonts w:hint="eastAsia" w:ascii="仿宋" w:hAnsi="仿宋" w:eastAsia="仿宋" w:cs="仿宋"/>
                <w:b w:val="0"/>
                <w:bCs w:val="0"/>
                <w:kern w:val="2"/>
                <w:sz w:val="24"/>
                <w:szCs w:val="24"/>
              </w:rPr>
              <w:t>。</w:t>
            </w:r>
          </w:p>
        </w:tc>
      </w:tr>
      <w:tr w14:paraId="5C90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707012F7">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1291" w:type="dxa"/>
            <w:noWrap w:val="0"/>
            <w:vAlign w:val="center"/>
          </w:tcPr>
          <w:p w14:paraId="250A78DB">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重要说明</w:t>
            </w:r>
          </w:p>
        </w:tc>
        <w:tc>
          <w:tcPr>
            <w:tcW w:w="6355" w:type="dxa"/>
            <w:noWrap w:val="0"/>
            <w:vAlign w:val="center"/>
          </w:tcPr>
          <w:p w14:paraId="094F5B4D">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1.本项目的比选文件、工程量清单、最高投标限价（控制价）、澄清、修改、补充等相关资料均通过</w:t>
            </w:r>
            <w:r>
              <w:rPr>
                <w:rFonts w:hint="eastAsia" w:ascii="仿宋" w:hAnsi="仿宋" w:eastAsia="仿宋" w:cs="仿宋"/>
                <w:b w:val="0"/>
                <w:bCs w:val="0"/>
                <w:sz w:val="24"/>
                <w:szCs w:val="24"/>
              </w:rPr>
              <w:t>安招采平台</w:t>
            </w:r>
            <w:r>
              <w:rPr>
                <w:rFonts w:hint="eastAsia" w:ascii="仿宋" w:hAnsi="仿宋" w:eastAsia="仿宋" w:cs="仿宋"/>
                <w:b w:val="0"/>
                <w:bCs w:val="0"/>
                <w:kern w:val="2"/>
                <w:sz w:val="24"/>
                <w:szCs w:val="24"/>
              </w:rPr>
              <w:t>发布，请参选人自行从网上下载，参选人应当及时查看有无相关澄清、修改、补充等内容。</w:t>
            </w:r>
          </w:p>
          <w:p w14:paraId="6590ED0A">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2.在工程项目比选过程中，参选人最后报价与公布的最高投标限价（控制价）或项目概算相比降幅过小，或参选人最后报价明显缺乏竞争性的，</w:t>
            </w:r>
            <w:r>
              <w:rPr>
                <w:rFonts w:hint="eastAsia" w:ascii="仿宋" w:hAnsi="仿宋" w:eastAsia="仿宋" w:cs="仿宋"/>
                <w:b w:val="0"/>
                <w:bCs w:val="0"/>
                <w:kern w:val="2"/>
                <w:sz w:val="24"/>
                <w:szCs w:val="24"/>
                <w:lang w:eastAsia="zh-CN"/>
              </w:rPr>
              <w:t>比选小组</w:t>
            </w:r>
            <w:r>
              <w:rPr>
                <w:rFonts w:hint="eastAsia" w:ascii="仿宋" w:hAnsi="仿宋" w:eastAsia="仿宋" w:cs="仿宋"/>
                <w:b w:val="0"/>
                <w:bCs w:val="0"/>
                <w:kern w:val="2"/>
                <w:sz w:val="24"/>
                <w:szCs w:val="24"/>
              </w:rPr>
              <w:t>可以否决其报价。</w:t>
            </w:r>
          </w:p>
          <w:p w14:paraId="35A605D8">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3.承包人在工程实施过程中用工行为，必须严格执行国家及地方政府的有关规定，依法签订劳动合同，并按规定及时足额支付工资。</w:t>
            </w:r>
          </w:p>
          <w:p w14:paraId="2C97C1BA">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4.承包人在建设工程扬尘污染防治措施和费用管理上，必须严格执行《合肥市建设工程扬尘污染防治暂行规定》合建〔2015〕33号文规定。本工程最高投标限价（控制价）已按《关于关于贯彻执行2018版安徽省建设工程计价依据的通知》（合造价[2018]13号）的规定计取，参选人报价中已包含比选文件公布的施工扬尘污染防治措施费用，参选人中选后办理相关专户设立等事宜。</w:t>
            </w:r>
          </w:p>
        </w:tc>
      </w:tr>
      <w:tr w14:paraId="126C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25077E45">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1291" w:type="dxa"/>
            <w:noWrap w:val="0"/>
            <w:vAlign w:val="center"/>
          </w:tcPr>
          <w:p w14:paraId="2219B101">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缺陷责任期</w:t>
            </w:r>
          </w:p>
        </w:tc>
        <w:tc>
          <w:tcPr>
            <w:tcW w:w="6355" w:type="dxa"/>
            <w:noWrap w:val="0"/>
            <w:vAlign w:val="center"/>
          </w:tcPr>
          <w:p w14:paraId="656C21E4">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sz w:val="24"/>
                <w:szCs w:val="24"/>
              </w:rPr>
              <w:t>本项目缺陷责任期为2年，缺陷责任期自竣工验收合格日起算。缺陷责任期内，乙方需在2日内到场免费维修</w:t>
            </w:r>
          </w:p>
        </w:tc>
      </w:tr>
    </w:tbl>
    <w:p w14:paraId="2D989A57">
      <w:pPr>
        <w:pStyle w:val="4"/>
        <w:wordWrap w:val="0"/>
        <w:spacing w:line="360" w:lineRule="auto"/>
        <w:ind w:firstLine="240"/>
        <w:rPr>
          <w:rFonts w:hint="eastAsia" w:ascii="仿宋" w:hAnsi="仿宋" w:eastAsia="仿宋" w:cs="仿宋"/>
          <w:sz w:val="24"/>
        </w:rPr>
      </w:pPr>
    </w:p>
    <w:p w14:paraId="2EB81C25">
      <w:pPr>
        <w:spacing w:line="360" w:lineRule="auto"/>
        <w:ind w:firstLine="482" w:firstLineChars="200"/>
        <w:jc w:val="left"/>
        <w:outlineLvl w:val="2"/>
        <w:rPr>
          <w:rFonts w:hint="eastAsia" w:ascii="仿宋" w:hAnsi="仿宋" w:eastAsia="仿宋" w:cs="仿宋"/>
          <w:b/>
          <w:sz w:val="24"/>
          <w:szCs w:val="24"/>
        </w:rPr>
      </w:pPr>
      <w:r>
        <w:rPr>
          <w:rFonts w:hint="eastAsia" w:ascii="仿宋" w:hAnsi="仿宋" w:eastAsia="仿宋" w:cs="仿宋"/>
          <w:b/>
          <w:sz w:val="24"/>
          <w:szCs w:val="24"/>
        </w:rPr>
        <w:br w:type="page"/>
      </w:r>
      <w:r>
        <w:rPr>
          <w:rFonts w:hint="eastAsia" w:ascii="仿宋" w:hAnsi="仿宋" w:eastAsia="仿宋" w:cs="仿宋"/>
          <w:b/>
          <w:sz w:val="24"/>
          <w:szCs w:val="24"/>
        </w:rPr>
        <w:t>一、项目概况</w:t>
      </w:r>
    </w:p>
    <w:p w14:paraId="21C55B78">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 本项目</w:t>
      </w:r>
      <w:r>
        <w:rPr>
          <w:rFonts w:hint="eastAsia" w:ascii="仿宋" w:hAnsi="仿宋" w:eastAsia="仿宋" w:cs="仿宋"/>
          <w:sz w:val="24"/>
          <w:szCs w:val="24"/>
          <w:lang w:val="en-US" w:eastAsia="zh-CN"/>
        </w:rPr>
        <w:t>主要</w:t>
      </w:r>
      <w:r>
        <w:rPr>
          <w:rFonts w:hint="eastAsia" w:ascii="仿宋" w:hAnsi="仿宋" w:eastAsia="仿宋" w:cs="仿宋"/>
          <w:sz w:val="24"/>
          <w:szCs w:val="24"/>
        </w:rPr>
        <w:t>为</w:t>
      </w:r>
      <w:r>
        <w:rPr>
          <w:rFonts w:hint="eastAsia" w:ascii="仿宋" w:hAnsi="仿宋" w:eastAsia="仿宋" w:cs="仿宋"/>
          <w:sz w:val="24"/>
          <w:szCs w:val="24"/>
          <w:lang w:eastAsia="zh-CN"/>
        </w:rPr>
        <w:t>安徽医科大学铜陵路校区教学楼及配电房消防维修改造工程（二次）</w:t>
      </w:r>
      <w:r>
        <w:rPr>
          <w:rFonts w:hint="eastAsia" w:ascii="仿宋" w:hAnsi="仿宋" w:eastAsia="仿宋" w:cs="仿宋"/>
          <w:sz w:val="24"/>
          <w:szCs w:val="24"/>
        </w:rPr>
        <w:t>，具体详见工程量清单、比选文件。</w:t>
      </w:r>
    </w:p>
    <w:p w14:paraId="17E09451">
      <w:pPr>
        <w:spacing w:line="360" w:lineRule="auto"/>
        <w:ind w:firstLine="482" w:firstLineChars="200"/>
        <w:jc w:val="left"/>
        <w:outlineLvl w:val="2"/>
        <w:rPr>
          <w:rFonts w:hint="eastAsia" w:ascii="仿宋" w:hAnsi="仿宋" w:eastAsia="仿宋" w:cs="仿宋"/>
          <w:b/>
          <w:sz w:val="24"/>
          <w:szCs w:val="24"/>
        </w:rPr>
      </w:pPr>
      <w:r>
        <w:rPr>
          <w:rFonts w:hint="eastAsia" w:ascii="仿宋" w:hAnsi="仿宋" w:eastAsia="仿宋" w:cs="仿宋"/>
          <w:b/>
          <w:sz w:val="24"/>
          <w:szCs w:val="24"/>
        </w:rPr>
        <w:t xml:space="preserve">二、施工要求 </w:t>
      </w:r>
    </w:p>
    <w:p w14:paraId="6ACA023F">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1.参选人应结合工程实际并综合考虑各种风险因素（如开工时间的不确定性），谨慎报价。施工过程中，参选人须主动解决可能遇到的一切难点问题，此项费用由参选人自行考虑，含在报价中，成交后不予调整。</w:t>
      </w:r>
    </w:p>
    <w:p w14:paraId="275BC599">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2.参选人可先到工地踏勘以充分了解工地位置、地形、地貌、道路、周边配套、现场条件及任何其他足以影响报价的情况，任何因忽视或误解工地情况而导致的索赔申请将不被批准。</w:t>
      </w:r>
    </w:p>
    <w:p w14:paraId="21936667">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3.参选人应充分了解施工场地的现状，熟悉工程内容，正确估计施工的难易程度和必须投入技术力量，根据工程实际情况、施工内容和本单位实力，结合市场行情确定本项目工程费用。</w:t>
      </w:r>
    </w:p>
    <w:p w14:paraId="4A7AA8EF">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4.参选人的价格应是施工期内，施工单位按比选文件及合同规定的范围所提供的全部服务所需的全部费用及应缴纳的一切税费，包括施工人员额外工作报酬及附加工作报酬。比选人不为成交人提供办公场地，其他一切办公、交通、住宿及生活等相关费用由</w:t>
      </w:r>
      <w:r>
        <w:rPr>
          <w:rFonts w:hint="eastAsia" w:ascii="仿宋" w:hAnsi="仿宋" w:eastAsia="仿宋" w:cs="仿宋"/>
          <w:sz w:val="24"/>
          <w:szCs w:val="24"/>
          <w:lang w:val="en-US" w:eastAsia="zh-CN"/>
        </w:rPr>
        <w:t>中选</w:t>
      </w:r>
      <w:r>
        <w:rPr>
          <w:rFonts w:hint="eastAsia" w:ascii="仿宋" w:hAnsi="仿宋" w:eastAsia="仿宋" w:cs="仿宋"/>
          <w:sz w:val="24"/>
          <w:szCs w:val="24"/>
        </w:rPr>
        <w:t>人自理。</w:t>
      </w:r>
    </w:p>
    <w:p w14:paraId="541F6610">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5.中选人须按比选人要求开具有效发票。</w:t>
      </w:r>
    </w:p>
    <w:p w14:paraId="5313C395">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6.工程质量、安全必须符合国家及地方现行相关法律、法规、技术规范及管理规定。</w:t>
      </w:r>
    </w:p>
    <w:p w14:paraId="78D3BBAC">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施工单位负责施工范围内的一切安全责任，务必做好各项安全维护、防护措施，确保施工安全、道路安全，行人安全、车辆安全等。需考虑周边住户安全通行、生活作息等要求，需施行符合建设单位要求的专项施工方案。</w:t>
      </w:r>
    </w:p>
    <w:p w14:paraId="25D51484">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8.施工单位需严格遵守校园管理规定，施工时要注意加强管理，文明施工。</w:t>
      </w:r>
    </w:p>
    <w:p w14:paraId="51A2A022">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三、响应报价要求</w:t>
      </w:r>
    </w:p>
    <w:p w14:paraId="4CADB628">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本项目采用工程量清单综合单价计价方式，请参选人认真阅读比选文件的报价规定和合同主要条款中关于充分考虑本工程合同价款包含风险范围内的所有内容。同时施工合同履行过程中，除比选文件约定外，一律不允许调整合同中的综合单价。</w:t>
      </w:r>
    </w:p>
    <w:p w14:paraId="13DDA5EF">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2.参选人应仔细阅读采购文件及附件资料，了解拟采购项目的全部工程内容。参选人的响应报价，应是在满足采购文件规定工期、质量要求下，完成采购项目范围的全部工作的报价。</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3</w:t>
      </w:r>
      <w:r>
        <w:rPr>
          <w:rFonts w:hint="eastAsia" w:ascii="仿宋" w:hAnsi="仿宋" w:eastAsia="仿宋" w:cs="仿宋"/>
          <w:sz w:val="24"/>
          <w:szCs w:val="24"/>
        </w:rPr>
        <w:t>.</w:t>
      </w:r>
      <w:r>
        <w:rPr>
          <w:rFonts w:hint="eastAsia" w:ascii="仿宋" w:hAnsi="仿宋" w:eastAsia="仿宋" w:cs="仿宋"/>
          <w:sz w:val="24"/>
          <w:szCs w:val="24"/>
          <w:lang w:val="en-US" w:eastAsia="zh-CN"/>
        </w:rPr>
        <w:t>比选</w:t>
      </w:r>
      <w:r>
        <w:rPr>
          <w:rFonts w:hint="eastAsia" w:ascii="仿宋" w:hAnsi="仿宋" w:eastAsia="仿宋" w:cs="仿宋"/>
          <w:sz w:val="24"/>
          <w:szCs w:val="24"/>
        </w:rPr>
        <w:t>前任何单位和个人均不得擅自修改</w:t>
      </w:r>
      <w:r>
        <w:rPr>
          <w:rFonts w:hint="eastAsia" w:ascii="仿宋" w:hAnsi="仿宋" w:eastAsia="仿宋" w:cs="仿宋"/>
          <w:sz w:val="24"/>
          <w:szCs w:val="24"/>
          <w:lang w:val="en-US" w:eastAsia="zh-CN"/>
        </w:rPr>
        <w:t>比选</w:t>
      </w:r>
      <w:r>
        <w:rPr>
          <w:rFonts w:hint="eastAsia" w:ascii="仿宋" w:hAnsi="仿宋" w:eastAsia="仿宋" w:cs="仿宋"/>
          <w:sz w:val="24"/>
          <w:szCs w:val="24"/>
        </w:rPr>
        <w:t>工程量清单内容。</w:t>
      </w:r>
    </w:p>
    <w:p w14:paraId="39622301">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.本工程</w:t>
      </w:r>
      <w:r>
        <w:rPr>
          <w:rFonts w:hint="eastAsia" w:ascii="仿宋" w:hAnsi="仿宋" w:eastAsia="仿宋" w:cs="仿宋"/>
          <w:b/>
          <w:bCs/>
          <w:sz w:val="24"/>
          <w:szCs w:val="24"/>
        </w:rPr>
        <w:t>（如有）</w:t>
      </w:r>
      <w:r>
        <w:rPr>
          <w:rFonts w:hint="eastAsia" w:ascii="仿宋" w:hAnsi="仿宋" w:eastAsia="仿宋" w:cs="仿宋"/>
          <w:sz w:val="24"/>
          <w:szCs w:val="24"/>
        </w:rPr>
        <w:t>预留金详见清单控制价，</w:t>
      </w:r>
      <w:r>
        <w:rPr>
          <w:rFonts w:hint="eastAsia" w:ascii="仿宋" w:hAnsi="仿宋" w:eastAsia="仿宋" w:cs="仿宋"/>
          <w:sz w:val="24"/>
          <w:szCs w:val="24"/>
          <w:lang w:val="en-US" w:eastAsia="zh-CN"/>
        </w:rPr>
        <w:t>参选人</w:t>
      </w:r>
      <w:r>
        <w:rPr>
          <w:rFonts w:hint="eastAsia" w:ascii="仿宋" w:hAnsi="仿宋" w:eastAsia="仿宋" w:cs="仿宋"/>
          <w:sz w:val="24"/>
          <w:szCs w:val="24"/>
        </w:rPr>
        <w:t>必须将该费用单列在</w:t>
      </w:r>
      <w:r>
        <w:rPr>
          <w:rFonts w:hint="eastAsia" w:ascii="仿宋" w:hAnsi="仿宋" w:eastAsia="仿宋" w:cs="仿宋"/>
          <w:sz w:val="24"/>
          <w:szCs w:val="24"/>
          <w:lang w:val="en-US" w:eastAsia="zh-CN"/>
        </w:rPr>
        <w:t>参选</w:t>
      </w:r>
      <w:r>
        <w:rPr>
          <w:rFonts w:hint="eastAsia" w:ascii="仿宋" w:hAnsi="仿宋" w:eastAsia="仿宋" w:cs="仿宋"/>
          <w:sz w:val="24"/>
          <w:szCs w:val="24"/>
        </w:rPr>
        <w:t>报价中，不计规费但计入税金。</w:t>
      </w:r>
    </w:p>
    <w:p w14:paraId="14B05A96">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.建设工程不可竞争费构成及计费标准按《关于调整合肥市建设工程不可竞争费构成及计费标准的通知》（合造价〔2021〕5号）执行，本工程最高投标限价（</w:t>
      </w:r>
      <w:r>
        <w:rPr>
          <w:rFonts w:hint="eastAsia" w:ascii="仿宋" w:hAnsi="仿宋" w:eastAsia="仿宋" w:cs="仿宋"/>
          <w:sz w:val="24"/>
          <w:szCs w:val="24"/>
          <w:lang w:val="en-US" w:eastAsia="zh-CN"/>
        </w:rPr>
        <w:t>比选</w:t>
      </w:r>
      <w:r>
        <w:rPr>
          <w:rFonts w:hint="eastAsia" w:ascii="仿宋" w:hAnsi="仿宋" w:eastAsia="仿宋" w:cs="仿宋"/>
          <w:sz w:val="24"/>
          <w:szCs w:val="24"/>
        </w:rPr>
        <w:t>控制价）已按规定的措施项目、费率和单价列出</w:t>
      </w:r>
      <w:r>
        <w:rPr>
          <w:rFonts w:hint="eastAsia" w:ascii="仿宋" w:hAnsi="仿宋" w:eastAsia="仿宋" w:cs="仿宋"/>
          <w:sz w:val="24"/>
          <w:szCs w:val="24"/>
          <w:lang w:val="en-US" w:eastAsia="zh-CN"/>
        </w:rPr>
        <w:t>比选</w:t>
      </w:r>
      <w:r>
        <w:rPr>
          <w:rFonts w:hint="eastAsia" w:ascii="仿宋" w:hAnsi="仿宋" w:eastAsia="仿宋" w:cs="仿宋"/>
          <w:sz w:val="24"/>
          <w:szCs w:val="24"/>
        </w:rPr>
        <w:t>工程施工扬尘污染防治费用和建筑工人实名制管理费用清单，</w:t>
      </w:r>
      <w:r>
        <w:rPr>
          <w:rFonts w:hint="eastAsia" w:ascii="仿宋" w:hAnsi="仿宋" w:eastAsia="仿宋" w:cs="仿宋"/>
          <w:sz w:val="24"/>
          <w:szCs w:val="24"/>
          <w:lang w:val="en-US" w:eastAsia="zh-CN"/>
        </w:rPr>
        <w:t>参选人</w:t>
      </w:r>
      <w:r>
        <w:rPr>
          <w:rFonts w:hint="eastAsia" w:ascii="仿宋" w:hAnsi="仿宋" w:eastAsia="仿宋" w:cs="仿宋"/>
          <w:sz w:val="24"/>
          <w:szCs w:val="24"/>
        </w:rPr>
        <w:t>报价中</w:t>
      </w:r>
      <w:r>
        <w:rPr>
          <w:rFonts w:hint="eastAsia" w:ascii="仿宋" w:hAnsi="仿宋" w:eastAsia="仿宋" w:cs="仿宋"/>
          <w:sz w:val="24"/>
          <w:szCs w:val="24"/>
          <w:lang w:val="en-US" w:eastAsia="zh-CN"/>
        </w:rPr>
        <w:t>须</w:t>
      </w:r>
      <w:r>
        <w:rPr>
          <w:rFonts w:hint="eastAsia" w:ascii="仿宋" w:hAnsi="仿宋" w:eastAsia="仿宋" w:cs="仿宋"/>
          <w:sz w:val="24"/>
          <w:szCs w:val="24"/>
        </w:rPr>
        <w:t>包含</w:t>
      </w:r>
      <w:r>
        <w:rPr>
          <w:rFonts w:hint="eastAsia" w:ascii="仿宋" w:hAnsi="仿宋" w:eastAsia="仿宋" w:cs="仿宋"/>
          <w:sz w:val="24"/>
          <w:szCs w:val="24"/>
          <w:lang w:val="en-US" w:eastAsia="zh-CN"/>
        </w:rPr>
        <w:t>比选</w:t>
      </w:r>
      <w:r>
        <w:rPr>
          <w:rFonts w:hint="eastAsia" w:ascii="仿宋" w:hAnsi="仿宋" w:eastAsia="仿宋" w:cs="仿宋"/>
          <w:sz w:val="24"/>
          <w:szCs w:val="24"/>
        </w:rPr>
        <w:t>文件公布的施工扬尘污染防治费用和建筑工人实名制管理费用。</w:t>
      </w:r>
    </w:p>
    <w:p w14:paraId="0B7A792F">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.对</w:t>
      </w:r>
      <w:r>
        <w:rPr>
          <w:rFonts w:hint="eastAsia" w:ascii="仿宋" w:hAnsi="仿宋" w:eastAsia="仿宋" w:cs="仿宋"/>
          <w:sz w:val="24"/>
          <w:szCs w:val="24"/>
          <w:lang w:val="en-US" w:eastAsia="zh-CN"/>
        </w:rPr>
        <w:t>比选</w:t>
      </w:r>
      <w:r>
        <w:rPr>
          <w:rFonts w:hint="eastAsia" w:ascii="仿宋" w:hAnsi="仿宋" w:eastAsia="仿宋" w:cs="仿宋"/>
          <w:sz w:val="24"/>
          <w:szCs w:val="24"/>
        </w:rPr>
        <w:t>报价中分部分项工程综合单价、主要材料价格、人工费（含工日数量及工日单价）、机械费以及规费等未按照工程量清单计价规范要求计价的，可作为无效</w:t>
      </w:r>
      <w:r>
        <w:rPr>
          <w:rFonts w:hint="eastAsia" w:ascii="仿宋" w:hAnsi="仿宋" w:eastAsia="仿宋" w:cs="仿宋"/>
          <w:sz w:val="24"/>
          <w:szCs w:val="24"/>
          <w:lang w:val="en-US" w:eastAsia="zh-CN"/>
        </w:rPr>
        <w:t>响应</w:t>
      </w:r>
      <w:r>
        <w:rPr>
          <w:rFonts w:hint="eastAsia" w:ascii="仿宋" w:hAnsi="仿宋" w:eastAsia="仿宋" w:cs="仿宋"/>
          <w:sz w:val="24"/>
          <w:szCs w:val="24"/>
        </w:rPr>
        <w:t>。（如：</w:t>
      </w:r>
      <w:r>
        <w:rPr>
          <w:rFonts w:hint="eastAsia" w:ascii="仿宋" w:hAnsi="仿宋" w:eastAsia="仿宋" w:cs="仿宋"/>
          <w:sz w:val="24"/>
          <w:szCs w:val="24"/>
          <w:lang w:val="en-US" w:eastAsia="zh-CN"/>
        </w:rPr>
        <w:t>比选</w:t>
      </w:r>
      <w:r>
        <w:rPr>
          <w:rFonts w:hint="eastAsia" w:ascii="仿宋" w:hAnsi="仿宋" w:eastAsia="仿宋" w:cs="仿宋"/>
          <w:sz w:val="24"/>
          <w:szCs w:val="24"/>
        </w:rPr>
        <w:t>报价中分部分项清单综合单价低于主材价格等情况，做作为无效响应）。</w:t>
      </w:r>
    </w:p>
    <w:p w14:paraId="55C101B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w:t>
      </w:r>
      <w:r>
        <w:rPr>
          <w:rFonts w:hint="eastAsia" w:ascii="仿宋" w:hAnsi="仿宋" w:eastAsia="仿宋" w:cs="仿宋"/>
          <w:sz w:val="24"/>
          <w:szCs w:val="24"/>
          <w:lang w:val="en-US" w:eastAsia="zh-CN"/>
        </w:rPr>
        <w:t>中选人</w:t>
      </w:r>
      <w:r>
        <w:rPr>
          <w:rFonts w:hint="eastAsia" w:ascii="仿宋" w:hAnsi="仿宋" w:eastAsia="仿宋" w:cs="仿宋"/>
          <w:sz w:val="24"/>
          <w:szCs w:val="24"/>
        </w:rPr>
        <w:t>须根据</w:t>
      </w:r>
      <w:r>
        <w:rPr>
          <w:rFonts w:hint="eastAsia" w:ascii="仿宋" w:hAnsi="仿宋" w:eastAsia="仿宋" w:cs="仿宋"/>
          <w:sz w:val="24"/>
          <w:szCs w:val="24"/>
          <w:lang w:val="en-US" w:eastAsia="zh-CN"/>
        </w:rPr>
        <w:t>比选人</w:t>
      </w:r>
      <w:r>
        <w:rPr>
          <w:rFonts w:hint="eastAsia" w:ascii="仿宋" w:hAnsi="仿宋" w:eastAsia="仿宋" w:cs="仿宋"/>
          <w:sz w:val="24"/>
          <w:szCs w:val="24"/>
        </w:rPr>
        <w:t>要求和施工图纸进行施工，如有疑问，须在</w:t>
      </w:r>
      <w:r>
        <w:rPr>
          <w:rFonts w:hint="eastAsia" w:ascii="仿宋" w:hAnsi="仿宋" w:eastAsia="仿宋" w:cs="仿宋"/>
          <w:sz w:val="24"/>
          <w:szCs w:val="24"/>
          <w:lang w:val="en-US" w:eastAsia="zh-CN"/>
        </w:rPr>
        <w:t>中选</w:t>
      </w:r>
      <w:r>
        <w:rPr>
          <w:rFonts w:hint="eastAsia" w:ascii="仿宋" w:hAnsi="仿宋" w:eastAsia="仿宋" w:cs="仿宋"/>
          <w:sz w:val="24"/>
          <w:szCs w:val="24"/>
        </w:rPr>
        <w:t>后3日内与</w:t>
      </w:r>
      <w:r>
        <w:rPr>
          <w:rFonts w:hint="eastAsia" w:ascii="仿宋" w:hAnsi="仿宋" w:eastAsia="仿宋" w:cs="仿宋"/>
          <w:sz w:val="24"/>
          <w:szCs w:val="24"/>
          <w:lang w:val="en-US" w:eastAsia="zh-CN"/>
        </w:rPr>
        <w:t>比选</w:t>
      </w:r>
      <w:r>
        <w:rPr>
          <w:rFonts w:hint="eastAsia" w:ascii="仿宋" w:hAnsi="仿宋" w:eastAsia="仿宋" w:cs="仿宋"/>
          <w:sz w:val="24"/>
          <w:szCs w:val="24"/>
        </w:rPr>
        <w:t>人沟通确认。</w:t>
      </w:r>
      <w:r>
        <w:rPr>
          <w:rFonts w:hint="eastAsia" w:ascii="仿宋" w:hAnsi="仿宋" w:eastAsia="仿宋" w:cs="仿宋"/>
          <w:sz w:val="24"/>
          <w:szCs w:val="24"/>
          <w:lang w:val="en-US" w:eastAsia="zh-CN"/>
        </w:rPr>
        <w:t>中选人</w:t>
      </w:r>
      <w:r>
        <w:rPr>
          <w:rFonts w:hint="eastAsia" w:ascii="仿宋" w:hAnsi="仿宋" w:eastAsia="仿宋" w:cs="仿宋"/>
          <w:sz w:val="24"/>
          <w:szCs w:val="24"/>
        </w:rPr>
        <w:t>必须注意现场已有建筑及设备保护，如有损坏</w:t>
      </w:r>
      <w:r>
        <w:rPr>
          <w:rFonts w:hint="eastAsia" w:ascii="仿宋" w:hAnsi="仿宋" w:eastAsia="仿宋" w:cs="仿宋"/>
          <w:sz w:val="24"/>
          <w:szCs w:val="24"/>
          <w:lang w:val="en-US" w:eastAsia="zh-CN"/>
        </w:rPr>
        <w:t>中选人</w:t>
      </w:r>
      <w:r>
        <w:rPr>
          <w:rFonts w:hint="eastAsia" w:ascii="仿宋" w:hAnsi="仿宋" w:eastAsia="仿宋" w:cs="仿宋"/>
          <w:sz w:val="24"/>
          <w:szCs w:val="24"/>
        </w:rPr>
        <w:t>须在竣工验收前自行维修恢复至原状，后期不再另行计算，并保证在规定工期内完成本项工程。</w:t>
      </w:r>
    </w:p>
    <w:p w14:paraId="0CB1BAE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val="en-US" w:eastAsia="zh-CN"/>
        </w:rPr>
        <w:t>比选</w:t>
      </w:r>
      <w:r>
        <w:rPr>
          <w:rFonts w:hint="eastAsia" w:ascii="仿宋" w:hAnsi="仿宋" w:eastAsia="仿宋" w:cs="仿宋"/>
          <w:sz w:val="24"/>
          <w:szCs w:val="24"/>
        </w:rPr>
        <w:t>报价应考虑临时设施的拆除、及其拆除后建筑垃圾外运等费用，做到工程竣工时“工完、料尽、场地清”。</w:t>
      </w:r>
      <w:r>
        <w:rPr>
          <w:rFonts w:hint="eastAsia" w:ascii="仿宋" w:hAnsi="仿宋" w:eastAsia="仿宋" w:cs="仿宋"/>
          <w:sz w:val="24"/>
          <w:szCs w:val="24"/>
          <w:lang w:val="en-US" w:eastAsia="zh-CN"/>
        </w:rPr>
        <w:t>参选人</w:t>
      </w:r>
      <w:r>
        <w:rPr>
          <w:rFonts w:hint="eastAsia" w:ascii="仿宋" w:hAnsi="仿宋" w:eastAsia="仿宋" w:cs="仿宋"/>
          <w:sz w:val="24"/>
          <w:szCs w:val="24"/>
        </w:rPr>
        <w:t>应认真详细勘察现场，因场地限制，不具备材料堆场、搭设加工区、搭设办公区、搭设生活区的，</w:t>
      </w:r>
      <w:r>
        <w:rPr>
          <w:rFonts w:hint="eastAsia" w:ascii="仿宋" w:hAnsi="仿宋" w:eastAsia="仿宋" w:cs="仿宋"/>
          <w:sz w:val="24"/>
          <w:szCs w:val="24"/>
          <w:lang w:val="en-US" w:eastAsia="zh-CN"/>
        </w:rPr>
        <w:t>参选人</w:t>
      </w:r>
      <w:r>
        <w:rPr>
          <w:rFonts w:hint="eastAsia" w:ascii="仿宋" w:hAnsi="仿宋" w:eastAsia="仿宋" w:cs="仿宋"/>
          <w:sz w:val="24"/>
          <w:szCs w:val="24"/>
        </w:rPr>
        <w:t>在</w:t>
      </w:r>
      <w:r>
        <w:rPr>
          <w:rFonts w:hint="eastAsia" w:ascii="仿宋" w:hAnsi="仿宋" w:eastAsia="仿宋" w:cs="仿宋"/>
          <w:sz w:val="24"/>
          <w:szCs w:val="24"/>
          <w:lang w:val="en-US" w:eastAsia="zh-CN"/>
        </w:rPr>
        <w:t>比选</w:t>
      </w:r>
      <w:r>
        <w:rPr>
          <w:rFonts w:hint="eastAsia" w:ascii="仿宋" w:hAnsi="仿宋" w:eastAsia="仿宋" w:cs="仿宋"/>
          <w:sz w:val="24"/>
          <w:szCs w:val="24"/>
        </w:rPr>
        <w:t>报价中充分考虑，</w:t>
      </w:r>
      <w:r>
        <w:rPr>
          <w:rFonts w:hint="eastAsia" w:ascii="仿宋" w:hAnsi="仿宋" w:eastAsia="仿宋" w:cs="仿宋"/>
          <w:sz w:val="24"/>
          <w:szCs w:val="24"/>
          <w:lang w:val="en-US" w:eastAsia="zh-CN"/>
        </w:rPr>
        <w:t>中选</w:t>
      </w:r>
      <w:r>
        <w:rPr>
          <w:rFonts w:hint="eastAsia" w:ascii="仿宋" w:hAnsi="仿宋" w:eastAsia="仿宋" w:cs="仿宋"/>
          <w:sz w:val="24"/>
          <w:szCs w:val="24"/>
        </w:rPr>
        <w:t>以后不再调整。</w:t>
      </w:r>
    </w:p>
    <w:p w14:paraId="724772AB">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.本项目若由</w:t>
      </w:r>
      <w:r>
        <w:rPr>
          <w:rFonts w:hint="eastAsia" w:ascii="仿宋" w:hAnsi="仿宋" w:eastAsia="仿宋" w:cs="仿宋"/>
          <w:sz w:val="24"/>
          <w:szCs w:val="24"/>
          <w:lang w:val="en-US" w:eastAsia="zh-CN"/>
        </w:rPr>
        <w:t>中选人</w:t>
      </w:r>
      <w:r>
        <w:rPr>
          <w:rFonts w:hint="eastAsia" w:ascii="仿宋" w:hAnsi="仿宋" w:eastAsia="仿宋" w:cs="仿宋"/>
          <w:sz w:val="24"/>
          <w:szCs w:val="24"/>
        </w:rPr>
        <w:t>自身原因导致工程延期，每延期目标工期1天，</w:t>
      </w:r>
      <w:r>
        <w:rPr>
          <w:rFonts w:hint="eastAsia" w:ascii="仿宋" w:hAnsi="仿宋" w:eastAsia="仿宋" w:cs="仿宋"/>
          <w:sz w:val="24"/>
          <w:szCs w:val="24"/>
          <w:lang w:val="en-US" w:eastAsia="zh-CN"/>
        </w:rPr>
        <w:t>比选人</w:t>
      </w:r>
      <w:r>
        <w:rPr>
          <w:rFonts w:hint="eastAsia" w:ascii="仿宋" w:hAnsi="仿宋" w:eastAsia="仿宋" w:cs="仿宋"/>
          <w:sz w:val="24"/>
          <w:szCs w:val="24"/>
        </w:rPr>
        <w:t>有权按照2000元/天在工程款结算审计时或履约保证金中扣除，并承担由此导致</w:t>
      </w:r>
      <w:r>
        <w:rPr>
          <w:rFonts w:hint="eastAsia" w:ascii="仿宋" w:hAnsi="仿宋" w:eastAsia="仿宋" w:cs="仿宋"/>
          <w:sz w:val="24"/>
          <w:szCs w:val="24"/>
          <w:lang w:val="en-US" w:eastAsia="zh-CN"/>
        </w:rPr>
        <w:t>的相关</w:t>
      </w:r>
      <w:r>
        <w:rPr>
          <w:rFonts w:hint="eastAsia" w:ascii="仿宋" w:hAnsi="仿宋" w:eastAsia="仿宋" w:cs="仿宋"/>
          <w:sz w:val="24"/>
          <w:szCs w:val="24"/>
        </w:rPr>
        <w:t>费用。</w:t>
      </w:r>
    </w:p>
    <w:p w14:paraId="671E0224">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四、其他要求</w:t>
      </w:r>
    </w:p>
    <w:p w14:paraId="6C4F6961">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1.参选人在编制工程进度计划时须充分考虑劳动力、材料物资、机械设备等资源投入和夜间加班计划，保证工期目标的实现，并做好相应的安全及文明施工保障措施。</w:t>
      </w:r>
    </w:p>
    <w:p w14:paraId="4041AC8F">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2.中选人在施工时须严格做好成品保护工作。</w:t>
      </w:r>
    </w:p>
    <w:p w14:paraId="2B26004A">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中选人需根据施工现场编制专项施工方案，满足比选人相关管理要求，在材料、人员进出场、施工作业时间、周边环境保护等方面需严格按照比选人要求进行，参选人需充分考虑由此产生产生的一切费用，均包含在</w:t>
      </w:r>
      <w:r>
        <w:rPr>
          <w:rFonts w:hint="eastAsia" w:ascii="仿宋" w:hAnsi="仿宋" w:eastAsia="仿宋" w:cs="仿宋"/>
          <w:sz w:val="24"/>
          <w:szCs w:val="24"/>
          <w:lang w:val="en-US" w:eastAsia="zh-CN"/>
        </w:rPr>
        <w:t>参选</w:t>
      </w:r>
      <w:r>
        <w:rPr>
          <w:rFonts w:hint="eastAsia" w:ascii="仿宋" w:hAnsi="仿宋" w:eastAsia="仿宋" w:cs="仿宋"/>
          <w:sz w:val="24"/>
          <w:szCs w:val="24"/>
        </w:rPr>
        <w:t>报价中，中选后不予调整。</w:t>
      </w:r>
    </w:p>
    <w:p w14:paraId="591F245C">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.该项目严禁转包分包。</w:t>
      </w:r>
    </w:p>
    <w:p w14:paraId="7047F2C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.具体情况见工程量清单。</w:t>
      </w:r>
    </w:p>
    <w:p w14:paraId="3C72A266">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五、工程量清单控制价及图纸（另附）</w:t>
      </w:r>
    </w:p>
    <w:p w14:paraId="6F3D2DE3">
      <w:pPr>
        <w:wordWrap w:val="0"/>
        <w:spacing w:line="360" w:lineRule="auto"/>
        <w:jc w:val="center"/>
        <w:outlineLvl w:val="1"/>
        <w:rPr>
          <w:rFonts w:hint="eastAsia" w:ascii="仿宋" w:hAnsi="仿宋" w:eastAsia="仿宋" w:cs="仿宋"/>
          <w:b/>
          <w:bCs/>
          <w:kern w:val="44"/>
          <w:sz w:val="44"/>
          <w:szCs w:val="44"/>
        </w:rPr>
      </w:pPr>
      <w:bookmarkStart w:id="1" w:name="_Toc451"/>
      <w:r>
        <w:rPr>
          <w:rFonts w:hint="eastAsia" w:ascii="仿宋" w:hAnsi="仿宋" w:eastAsia="仿宋" w:cs="仿宋"/>
          <w:b/>
          <w:bCs/>
          <w:kern w:val="44"/>
          <w:sz w:val="44"/>
          <w:szCs w:val="44"/>
        </w:rPr>
        <w:br w:type="page"/>
      </w:r>
      <w:r>
        <w:rPr>
          <w:rFonts w:hint="eastAsia" w:ascii="仿宋" w:hAnsi="仿宋" w:eastAsia="仿宋" w:cs="仿宋"/>
          <w:b/>
          <w:bCs/>
          <w:kern w:val="44"/>
          <w:sz w:val="44"/>
          <w:szCs w:val="44"/>
        </w:rPr>
        <w:t xml:space="preserve">第四章  </w:t>
      </w:r>
      <w:bookmarkStart w:id="2" w:name="_GoBack"/>
      <w:r>
        <w:rPr>
          <w:rFonts w:hint="eastAsia" w:ascii="仿宋" w:hAnsi="仿宋" w:eastAsia="仿宋" w:cs="仿宋"/>
          <w:b/>
          <w:bCs/>
          <w:kern w:val="44"/>
          <w:sz w:val="44"/>
          <w:szCs w:val="44"/>
        </w:rPr>
        <w:t>评审方法</w:t>
      </w:r>
      <w:bookmarkEnd w:id="2"/>
      <w:r>
        <w:rPr>
          <w:rFonts w:hint="eastAsia" w:ascii="仿宋" w:hAnsi="仿宋" w:eastAsia="仿宋" w:cs="仿宋"/>
          <w:b/>
          <w:bCs/>
          <w:kern w:val="44"/>
          <w:sz w:val="44"/>
          <w:szCs w:val="44"/>
        </w:rPr>
        <w:t>和标准</w:t>
      </w:r>
      <w:bookmarkEnd w:id="1"/>
    </w:p>
    <w:p w14:paraId="382EFBC4">
      <w:pPr>
        <w:wordWrap w:val="0"/>
        <w:spacing w:line="360" w:lineRule="auto"/>
        <w:ind w:firstLine="437"/>
        <w:outlineLvl w:val="2"/>
        <w:rPr>
          <w:rFonts w:hint="eastAsia" w:ascii="仿宋" w:hAnsi="仿宋" w:eastAsia="仿宋" w:cs="仿宋"/>
          <w:b/>
          <w:sz w:val="24"/>
          <w:szCs w:val="24"/>
        </w:rPr>
      </w:pPr>
      <w:r>
        <w:rPr>
          <w:rFonts w:hint="eastAsia" w:ascii="仿宋" w:hAnsi="仿宋" w:eastAsia="仿宋" w:cs="仿宋"/>
          <w:b/>
          <w:sz w:val="24"/>
          <w:szCs w:val="24"/>
        </w:rPr>
        <w:t>一、总则</w:t>
      </w:r>
    </w:p>
    <w:p w14:paraId="64149120">
      <w:pPr>
        <w:wordWrap w:val="0"/>
        <w:spacing w:line="360" w:lineRule="auto"/>
        <w:ind w:firstLine="435"/>
        <w:rPr>
          <w:rFonts w:hint="eastAsia" w:ascii="仿宋" w:hAnsi="仿宋" w:eastAsia="仿宋" w:cs="仿宋"/>
          <w:sz w:val="24"/>
          <w:szCs w:val="24"/>
        </w:rPr>
      </w:pPr>
      <w:r>
        <w:rPr>
          <w:rFonts w:hint="eastAsia" w:ascii="仿宋" w:hAnsi="仿宋" w:eastAsia="仿宋" w:cs="仿宋"/>
          <w:sz w:val="24"/>
          <w:szCs w:val="24"/>
        </w:rPr>
        <w:t>本项目将按照比选文件第二章 参选人须知的相关要求及本章的规定评审。</w:t>
      </w:r>
    </w:p>
    <w:p w14:paraId="5EA94B4C">
      <w:pPr>
        <w:wordWrap w:val="0"/>
        <w:spacing w:line="360" w:lineRule="auto"/>
        <w:ind w:firstLine="437"/>
        <w:outlineLvl w:val="2"/>
        <w:rPr>
          <w:rFonts w:hint="eastAsia" w:ascii="仿宋" w:hAnsi="仿宋" w:eastAsia="仿宋" w:cs="仿宋"/>
          <w:b/>
          <w:sz w:val="24"/>
          <w:szCs w:val="24"/>
        </w:rPr>
      </w:pPr>
      <w:r>
        <w:rPr>
          <w:rFonts w:hint="eastAsia" w:ascii="仿宋" w:hAnsi="仿宋" w:eastAsia="仿宋" w:cs="仿宋"/>
          <w:b/>
          <w:sz w:val="24"/>
          <w:szCs w:val="24"/>
        </w:rPr>
        <w:t>二、评审方法</w:t>
      </w:r>
    </w:p>
    <w:p w14:paraId="58920A69">
      <w:pPr>
        <w:wordWrap w:val="0"/>
        <w:spacing w:line="360" w:lineRule="auto"/>
        <w:ind w:firstLine="435"/>
        <w:rPr>
          <w:rFonts w:hint="eastAsia" w:ascii="仿宋" w:hAnsi="仿宋" w:eastAsia="仿宋" w:cs="仿宋"/>
          <w:sz w:val="24"/>
          <w:szCs w:val="24"/>
        </w:rPr>
      </w:pPr>
      <w:r>
        <w:rPr>
          <w:rFonts w:hint="eastAsia" w:ascii="仿宋" w:hAnsi="仿宋" w:eastAsia="仿宋" w:cs="仿宋"/>
          <w:sz w:val="24"/>
          <w:szCs w:val="24"/>
        </w:rPr>
        <w:t>2.1初审</w:t>
      </w:r>
    </w:p>
    <w:p w14:paraId="3E91DDFB">
      <w:pPr>
        <w:wordWrap w:val="0"/>
        <w:spacing w:line="360" w:lineRule="auto"/>
        <w:ind w:firstLine="435"/>
        <w:jc w:val="left"/>
        <w:rPr>
          <w:rFonts w:hint="eastAsia" w:ascii="仿宋" w:hAnsi="仿宋" w:eastAsia="仿宋" w:cs="仿宋"/>
          <w:sz w:val="24"/>
          <w:szCs w:val="24"/>
        </w:rPr>
      </w:pPr>
      <w:r>
        <w:rPr>
          <w:rFonts w:hint="eastAsia" w:ascii="仿宋" w:hAnsi="仿宋" w:eastAsia="仿宋" w:cs="仿宋"/>
          <w:sz w:val="24"/>
          <w:szCs w:val="24"/>
          <w:lang w:eastAsia="zh-CN"/>
        </w:rPr>
        <w:t>比选小组</w:t>
      </w:r>
      <w:r>
        <w:rPr>
          <w:rFonts w:hint="eastAsia" w:ascii="仿宋" w:hAnsi="仿宋" w:eastAsia="仿宋" w:cs="仿宋"/>
          <w:sz w:val="24"/>
          <w:szCs w:val="24"/>
        </w:rPr>
        <w:t>对参选人的参选文件进行初审，以确定其是否满足比选文件的实质性要求。初审表如下：</w:t>
      </w:r>
    </w:p>
    <w:tbl>
      <w:tblPr>
        <w:tblStyle w:val="5"/>
        <w:tblW w:w="9037" w:type="dxa"/>
        <w:jc w:val="center"/>
        <w:tblLayout w:type="fixed"/>
        <w:tblCellMar>
          <w:top w:w="0" w:type="dxa"/>
          <w:left w:w="108" w:type="dxa"/>
          <w:bottom w:w="0" w:type="dxa"/>
          <w:right w:w="108" w:type="dxa"/>
        </w:tblCellMar>
      </w:tblPr>
      <w:tblGrid>
        <w:gridCol w:w="946"/>
        <w:gridCol w:w="2304"/>
        <w:gridCol w:w="5787"/>
      </w:tblGrid>
      <w:tr w14:paraId="028BE86F">
        <w:tblPrEx>
          <w:tblCellMar>
            <w:top w:w="0" w:type="dxa"/>
            <w:left w:w="108" w:type="dxa"/>
            <w:bottom w:w="0" w:type="dxa"/>
            <w:right w:w="108" w:type="dxa"/>
          </w:tblCellMar>
        </w:tblPrEx>
        <w:trPr>
          <w:trHeight w:val="627" w:hRule="atLeast"/>
          <w:jc w:val="center"/>
        </w:trPr>
        <w:tc>
          <w:tcPr>
            <w:tcW w:w="9037" w:type="dxa"/>
            <w:gridSpan w:val="3"/>
            <w:tcBorders>
              <w:top w:val="single" w:color="auto" w:sz="6" w:space="0"/>
              <w:left w:val="single" w:color="auto" w:sz="6" w:space="0"/>
              <w:bottom w:val="single" w:color="auto" w:sz="6" w:space="0"/>
              <w:right w:val="single" w:color="auto" w:sz="6" w:space="0"/>
            </w:tcBorders>
            <w:noWrap w:val="0"/>
            <w:vAlign w:val="center"/>
          </w:tcPr>
          <w:p w14:paraId="618EBE51">
            <w:pPr>
              <w:wordWrap w:val="0"/>
              <w:spacing w:line="360" w:lineRule="auto"/>
              <w:ind w:firstLine="435"/>
              <w:jc w:val="center"/>
              <w:rPr>
                <w:rFonts w:hint="eastAsia" w:ascii="仿宋" w:hAnsi="仿宋" w:eastAsia="仿宋" w:cs="仿宋"/>
                <w:b/>
                <w:sz w:val="24"/>
                <w:szCs w:val="24"/>
              </w:rPr>
            </w:pPr>
            <w:r>
              <w:rPr>
                <w:rFonts w:hint="eastAsia" w:ascii="仿宋" w:hAnsi="仿宋" w:eastAsia="仿宋" w:cs="仿宋"/>
                <w:b/>
                <w:sz w:val="24"/>
                <w:szCs w:val="24"/>
                <w:lang w:eastAsia="zh-CN"/>
              </w:rPr>
              <w:t>安徽医科大学铜陵路校区教学楼及配电房消防维修改造工程（二次）</w:t>
            </w:r>
            <w:r>
              <w:rPr>
                <w:rFonts w:hint="eastAsia" w:ascii="仿宋" w:hAnsi="仿宋" w:eastAsia="仿宋" w:cs="仿宋"/>
                <w:b/>
                <w:sz w:val="24"/>
                <w:szCs w:val="24"/>
              </w:rPr>
              <w:t>初审表</w:t>
            </w:r>
          </w:p>
        </w:tc>
      </w:tr>
      <w:tr w14:paraId="175805E5">
        <w:tblPrEx>
          <w:tblCellMar>
            <w:top w:w="0" w:type="dxa"/>
            <w:left w:w="108" w:type="dxa"/>
            <w:bottom w:w="0" w:type="dxa"/>
            <w:right w:w="108" w:type="dxa"/>
          </w:tblCellMar>
        </w:tblPrEx>
        <w:trPr>
          <w:trHeight w:val="627"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31A35D1C">
            <w:pPr>
              <w:wordWrap w:val="0"/>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520973AD">
            <w:pPr>
              <w:wordWrap w:val="0"/>
              <w:spacing w:line="360" w:lineRule="auto"/>
              <w:ind w:firstLine="435"/>
              <w:rPr>
                <w:rFonts w:hint="eastAsia" w:ascii="仿宋" w:hAnsi="仿宋" w:eastAsia="仿宋" w:cs="仿宋"/>
                <w:b/>
                <w:sz w:val="24"/>
                <w:szCs w:val="24"/>
              </w:rPr>
            </w:pPr>
            <w:r>
              <w:rPr>
                <w:rFonts w:hint="eastAsia" w:ascii="仿宋" w:hAnsi="仿宋" w:eastAsia="仿宋" w:cs="仿宋"/>
                <w:b/>
                <w:sz w:val="24"/>
                <w:szCs w:val="24"/>
              </w:rPr>
              <w:t>项目内容</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4B0E26DD">
            <w:pPr>
              <w:wordWrap w:val="0"/>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合格条件</w:t>
            </w:r>
          </w:p>
        </w:tc>
      </w:tr>
      <w:tr w14:paraId="548433DB">
        <w:tblPrEx>
          <w:tblCellMar>
            <w:top w:w="0" w:type="dxa"/>
            <w:left w:w="108" w:type="dxa"/>
            <w:bottom w:w="0" w:type="dxa"/>
            <w:right w:w="108" w:type="dxa"/>
          </w:tblCellMar>
        </w:tblPrEx>
        <w:trPr>
          <w:trHeight w:val="1133"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2304EB21">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08478F39">
            <w:pPr>
              <w:wordWrap w:val="0"/>
              <w:spacing w:after="50" w:line="360" w:lineRule="auto"/>
              <w:ind w:right="-10"/>
              <w:jc w:val="center"/>
              <w:rPr>
                <w:rFonts w:hint="eastAsia" w:ascii="仿宋" w:hAnsi="仿宋" w:eastAsia="仿宋" w:cs="仿宋"/>
                <w:sz w:val="24"/>
                <w:szCs w:val="24"/>
              </w:rPr>
            </w:pPr>
            <w:r>
              <w:rPr>
                <w:rFonts w:hint="eastAsia" w:ascii="仿宋" w:hAnsi="仿宋" w:eastAsia="仿宋" w:cs="仿宋"/>
                <w:sz w:val="24"/>
                <w:szCs w:val="24"/>
              </w:rPr>
              <w:t>营业执照</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4EDBDBB3">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提供有效的参选人营业执照（或事业单位法人登记证书）扫描件，应完整的体现出营业执照（或事业单位法人登记证书）的全部内容。联合体比选的联合体各方均须提供。</w:t>
            </w:r>
          </w:p>
        </w:tc>
      </w:tr>
      <w:tr w14:paraId="7B8D1CEC">
        <w:tblPrEx>
          <w:tblCellMar>
            <w:top w:w="0" w:type="dxa"/>
            <w:left w:w="108" w:type="dxa"/>
            <w:bottom w:w="0" w:type="dxa"/>
            <w:right w:w="108" w:type="dxa"/>
          </w:tblCellMar>
        </w:tblPrEx>
        <w:trPr>
          <w:trHeight w:val="1133"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55ED111D">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7483F1C2">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资质证书</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51DB067D">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提供满足参选人资格中本项目的特定资格要求的资质证书扫描件。</w:t>
            </w:r>
          </w:p>
        </w:tc>
      </w:tr>
      <w:tr w14:paraId="3CEADEAF">
        <w:tblPrEx>
          <w:tblCellMar>
            <w:top w:w="0" w:type="dxa"/>
            <w:left w:w="108" w:type="dxa"/>
            <w:bottom w:w="0" w:type="dxa"/>
            <w:right w:w="108" w:type="dxa"/>
          </w:tblCellMar>
        </w:tblPrEx>
        <w:trPr>
          <w:trHeight w:val="686"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14E5FF7F">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61DE1E33">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安全生产许可证</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784782D5">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提供有效的安全生产许可证扫描件。</w:t>
            </w:r>
          </w:p>
        </w:tc>
      </w:tr>
      <w:tr w14:paraId="6CA61BA4">
        <w:tblPrEx>
          <w:tblCellMar>
            <w:top w:w="0" w:type="dxa"/>
            <w:left w:w="108" w:type="dxa"/>
            <w:bottom w:w="0" w:type="dxa"/>
            <w:right w:w="108" w:type="dxa"/>
          </w:tblCellMar>
        </w:tblPrEx>
        <w:trPr>
          <w:trHeight w:val="1223"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14776E14">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44E49CB2">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项目经理</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1CF3F65D">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1.提供符合资质要求的注册建造师证书和有效的安全生产考核合格证（B证），</w:t>
            </w:r>
            <w:r>
              <w:rPr>
                <w:rFonts w:hint="eastAsia" w:ascii="仿宋" w:hAnsi="仿宋" w:eastAsia="仿宋" w:cs="仿宋"/>
                <w:sz w:val="24"/>
                <w:szCs w:val="24"/>
                <w:lang w:val="en-US" w:eastAsia="zh-CN"/>
              </w:rPr>
              <w:t>并且目前未在其他项目上任职或虽在其他项目上任职但本项目中选后合同签订前能够从其他项目变更至本项目并全面履约，</w:t>
            </w:r>
            <w:r>
              <w:rPr>
                <w:rFonts w:hint="eastAsia" w:ascii="仿宋" w:hAnsi="仿宋" w:eastAsia="仿宋" w:cs="仿宋"/>
                <w:sz w:val="24"/>
                <w:szCs w:val="24"/>
              </w:rPr>
              <w:t>同时提供</w:t>
            </w:r>
            <w:r>
              <w:rPr>
                <w:rFonts w:hint="eastAsia" w:ascii="仿宋" w:hAnsi="仿宋" w:eastAsia="仿宋" w:cs="仿宋"/>
                <w:sz w:val="24"/>
                <w:szCs w:val="24"/>
                <w:lang w:val="en-US" w:eastAsia="zh-CN"/>
              </w:rPr>
              <w:t>参选人</w:t>
            </w:r>
            <w:r>
              <w:rPr>
                <w:rFonts w:hint="eastAsia" w:ascii="仿宋" w:hAnsi="仿宋" w:eastAsia="仿宋" w:cs="仿宋"/>
                <w:sz w:val="24"/>
                <w:szCs w:val="24"/>
              </w:rPr>
              <w:t>所属社保机构出具的拟任项目经理</w:t>
            </w:r>
            <w:r>
              <w:rPr>
                <w:rFonts w:hint="eastAsia" w:ascii="仿宋" w:hAnsi="仿宋" w:eastAsia="仿宋" w:cs="仿宋"/>
                <w:sz w:val="24"/>
                <w:szCs w:val="24"/>
                <w:lang w:val="en-US" w:eastAsia="zh-CN"/>
              </w:rPr>
              <w:t>2026年1月以来</w:t>
            </w:r>
            <w:r>
              <w:rPr>
                <w:rFonts w:hint="eastAsia" w:ascii="仿宋" w:hAnsi="仿宋" w:eastAsia="仿宋" w:cs="仿宋"/>
                <w:sz w:val="24"/>
                <w:szCs w:val="24"/>
              </w:rPr>
              <w:t>任意一个月</w:t>
            </w:r>
            <w:r>
              <w:rPr>
                <w:rFonts w:hint="eastAsia" w:ascii="仿宋" w:hAnsi="仿宋" w:eastAsia="仿宋" w:cs="仿宋"/>
                <w:sz w:val="24"/>
                <w:szCs w:val="24"/>
                <w:lang w:val="en-US" w:eastAsia="zh-CN"/>
              </w:rPr>
              <w:t>的</w:t>
            </w:r>
            <w:r>
              <w:rPr>
                <w:rFonts w:hint="eastAsia" w:ascii="仿宋" w:hAnsi="仿宋" w:eastAsia="仿宋" w:cs="仿宋"/>
                <w:sz w:val="24"/>
                <w:szCs w:val="24"/>
              </w:rPr>
              <w:t>社保证明材料（至少含养老保险、医疗保险、工伤保险、失业保险中任意一项即可）。</w:t>
            </w:r>
          </w:p>
          <w:p w14:paraId="39AD870E">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2.提供项目经理承诺，格式后附。</w:t>
            </w:r>
          </w:p>
        </w:tc>
      </w:tr>
      <w:tr w14:paraId="342DB5E6">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4" w:space="0"/>
              <w:right w:val="single" w:color="auto" w:sz="6" w:space="0"/>
            </w:tcBorders>
            <w:noWrap w:val="0"/>
            <w:vAlign w:val="center"/>
          </w:tcPr>
          <w:p w14:paraId="6412BBF7">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2304" w:type="dxa"/>
            <w:tcBorders>
              <w:top w:val="single" w:color="auto" w:sz="6" w:space="0"/>
              <w:left w:val="single" w:color="auto" w:sz="6" w:space="0"/>
              <w:bottom w:val="single" w:color="auto" w:sz="4" w:space="0"/>
              <w:right w:val="single" w:color="auto" w:sz="6" w:space="0"/>
            </w:tcBorders>
            <w:noWrap w:val="0"/>
            <w:vAlign w:val="center"/>
          </w:tcPr>
          <w:p w14:paraId="7742E380">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承诺函</w:t>
            </w:r>
          </w:p>
        </w:tc>
        <w:tc>
          <w:tcPr>
            <w:tcW w:w="5787" w:type="dxa"/>
            <w:tcBorders>
              <w:top w:val="single" w:color="auto" w:sz="6" w:space="0"/>
              <w:left w:val="single" w:color="auto" w:sz="6" w:space="0"/>
              <w:bottom w:val="single" w:color="auto" w:sz="4" w:space="0"/>
              <w:right w:val="single" w:color="auto" w:sz="6" w:space="0"/>
            </w:tcBorders>
            <w:noWrap w:val="0"/>
            <w:vAlign w:val="center"/>
          </w:tcPr>
          <w:p w14:paraId="5CCCD54D">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符合比选文件要求。</w:t>
            </w:r>
          </w:p>
        </w:tc>
      </w:tr>
      <w:tr w14:paraId="2340EDDF">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4" w:space="0"/>
              <w:right w:val="single" w:color="auto" w:sz="6" w:space="0"/>
            </w:tcBorders>
            <w:noWrap w:val="0"/>
            <w:vAlign w:val="center"/>
          </w:tcPr>
          <w:p w14:paraId="7BCFD558">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2304" w:type="dxa"/>
            <w:tcBorders>
              <w:top w:val="single" w:color="auto" w:sz="6" w:space="0"/>
              <w:left w:val="single" w:color="auto" w:sz="6" w:space="0"/>
              <w:bottom w:val="single" w:color="auto" w:sz="4" w:space="0"/>
              <w:right w:val="single" w:color="auto" w:sz="6" w:space="0"/>
            </w:tcBorders>
            <w:noWrap w:val="0"/>
            <w:vAlign w:val="center"/>
          </w:tcPr>
          <w:p w14:paraId="430C4C10">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比选文件获取情况</w:t>
            </w:r>
          </w:p>
        </w:tc>
        <w:tc>
          <w:tcPr>
            <w:tcW w:w="5787" w:type="dxa"/>
            <w:tcBorders>
              <w:top w:val="single" w:color="auto" w:sz="6" w:space="0"/>
              <w:left w:val="single" w:color="auto" w:sz="6" w:space="0"/>
              <w:bottom w:val="single" w:color="auto" w:sz="4" w:space="0"/>
              <w:right w:val="single" w:color="auto" w:sz="6" w:space="0"/>
            </w:tcBorders>
            <w:noWrap w:val="0"/>
            <w:vAlign w:val="center"/>
          </w:tcPr>
          <w:p w14:paraId="45C9EC93">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按比选文件要求完成比选文件获取</w:t>
            </w:r>
          </w:p>
        </w:tc>
      </w:tr>
      <w:tr w14:paraId="7823C917">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4" w:space="0"/>
              <w:right w:val="single" w:color="auto" w:sz="6" w:space="0"/>
            </w:tcBorders>
            <w:noWrap w:val="0"/>
            <w:vAlign w:val="center"/>
          </w:tcPr>
          <w:p w14:paraId="6B8AC1E5">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2304" w:type="dxa"/>
            <w:tcBorders>
              <w:top w:val="single" w:color="auto" w:sz="6" w:space="0"/>
              <w:left w:val="single" w:color="auto" w:sz="6" w:space="0"/>
              <w:bottom w:val="single" w:color="auto" w:sz="4" w:space="0"/>
              <w:right w:val="single" w:color="auto" w:sz="6" w:space="0"/>
            </w:tcBorders>
            <w:noWrap w:val="0"/>
            <w:vAlign w:val="center"/>
          </w:tcPr>
          <w:p w14:paraId="556C636D">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参选文件制作机器码</w:t>
            </w:r>
          </w:p>
        </w:tc>
        <w:tc>
          <w:tcPr>
            <w:tcW w:w="5787" w:type="dxa"/>
            <w:tcBorders>
              <w:top w:val="single" w:color="auto" w:sz="6" w:space="0"/>
              <w:left w:val="single" w:color="auto" w:sz="6" w:space="0"/>
              <w:bottom w:val="single" w:color="auto" w:sz="4" w:space="0"/>
              <w:right w:val="single" w:color="auto" w:sz="6" w:space="0"/>
            </w:tcBorders>
            <w:noWrap w:val="0"/>
            <w:vAlign w:val="center"/>
          </w:tcPr>
          <w:p w14:paraId="416C3124">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不同参选人的参选文件制作机器码不得相同</w:t>
            </w:r>
          </w:p>
        </w:tc>
      </w:tr>
      <w:tr w14:paraId="1E982797">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4" w:space="0"/>
              <w:right w:val="single" w:color="auto" w:sz="6" w:space="0"/>
            </w:tcBorders>
            <w:noWrap w:val="0"/>
            <w:vAlign w:val="center"/>
          </w:tcPr>
          <w:p w14:paraId="473E4245">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2304" w:type="dxa"/>
            <w:tcBorders>
              <w:top w:val="single" w:color="auto" w:sz="6" w:space="0"/>
              <w:left w:val="single" w:color="auto" w:sz="6" w:space="0"/>
              <w:bottom w:val="single" w:color="auto" w:sz="4" w:space="0"/>
              <w:right w:val="single" w:color="auto" w:sz="6" w:space="0"/>
            </w:tcBorders>
            <w:noWrap w:val="0"/>
            <w:vAlign w:val="center"/>
          </w:tcPr>
          <w:p w14:paraId="3AE5DBE4">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比选保证金</w:t>
            </w:r>
          </w:p>
        </w:tc>
        <w:tc>
          <w:tcPr>
            <w:tcW w:w="5787" w:type="dxa"/>
            <w:tcBorders>
              <w:top w:val="single" w:color="auto" w:sz="6" w:space="0"/>
              <w:left w:val="single" w:color="auto" w:sz="6" w:space="0"/>
              <w:bottom w:val="single" w:color="auto" w:sz="4" w:space="0"/>
              <w:right w:val="single" w:color="auto" w:sz="6" w:space="0"/>
            </w:tcBorders>
            <w:noWrap w:val="0"/>
            <w:vAlign w:val="center"/>
          </w:tcPr>
          <w:p w14:paraId="275450A3">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符合比选文件要求。</w:t>
            </w:r>
          </w:p>
        </w:tc>
      </w:tr>
      <w:tr w14:paraId="6457D4B6">
        <w:tblPrEx>
          <w:tblCellMar>
            <w:top w:w="0" w:type="dxa"/>
            <w:left w:w="108" w:type="dxa"/>
            <w:bottom w:w="0" w:type="dxa"/>
            <w:right w:w="108" w:type="dxa"/>
          </w:tblCellMar>
        </w:tblPrEx>
        <w:trPr>
          <w:trHeight w:val="648" w:hRule="atLeast"/>
          <w:jc w:val="center"/>
        </w:trPr>
        <w:tc>
          <w:tcPr>
            <w:tcW w:w="946" w:type="dxa"/>
            <w:tcBorders>
              <w:top w:val="single" w:color="auto" w:sz="4" w:space="0"/>
              <w:left w:val="single" w:color="auto" w:sz="6" w:space="0"/>
              <w:bottom w:val="single" w:color="auto" w:sz="4" w:space="0"/>
              <w:right w:val="single" w:color="auto" w:sz="6" w:space="0"/>
            </w:tcBorders>
            <w:noWrap w:val="0"/>
            <w:vAlign w:val="center"/>
          </w:tcPr>
          <w:p w14:paraId="175796E3">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2304" w:type="dxa"/>
            <w:tcBorders>
              <w:top w:val="single" w:color="auto" w:sz="4" w:space="0"/>
              <w:left w:val="single" w:color="auto" w:sz="6" w:space="0"/>
              <w:bottom w:val="single" w:color="auto" w:sz="4" w:space="0"/>
              <w:right w:val="single" w:color="auto" w:sz="6" w:space="0"/>
            </w:tcBorders>
            <w:noWrap w:val="0"/>
            <w:vAlign w:val="center"/>
          </w:tcPr>
          <w:p w14:paraId="65E59A9B">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授权书</w:t>
            </w:r>
          </w:p>
        </w:tc>
        <w:tc>
          <w:tcPr>
            <w:tcW w:w="5787" w:type="dxa"/>
            <w:tcBorders>
              <w:top w:val="single" w:color="auto" w:sz="4" w:space="0"/>
              <w:left w:val="single" w:color="auto" w:sz="6" w:space="0"/>
              <w:bottom w:val="single" w:color="auto" w:sz="4" w:space="0"/>
              <w:right w:val="single" w:color="auto" w:sz="6" w:space="0"/>
            </w:tcBorders>
            <w:noWrap w:val="0"/>
            <w:vAlign w:val="center"/>
          </w:tcPr>
          <w:p w14:paraId="1BD27164">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符合比选文件要求。</w:t>
            </w:r>
          </w:p>
        </w:tc>
      </w:tr>
      <w:tr w14:paraId="721C0CF8">
        <w:tblPrEx>
          <w:tblCellMar>
            <w:top w:w="0" w:type="dxa"/>
            <w:left w:w="108" w:type="dxa"/>
            <w:bottom w:w="0" w:type="dxa"/>
            <w:right w:w="108" w:type="dxa"/>
          </w:tblCellMar>
        </w:tblPrEx>
        <w:trPr>
          <w:trHeight w:val="648" w:hRule="atLeast"/>
          <w:jc w:val="center"/>
        </w:trPr>
        <w:tc>
          <w:tcPr>
            <w:tcW w:w="946" w:type="dxa"/>
            <w:tcBorders>
              <w:top w:val="single" w:color="auto" w:sz="4" w:space="0"/>
              <w:left w:val="single" w:color="auto" w:sz="6" w:space="0"/>
              <w:bottom w:val="single" w:color="auto" w:sz="6" w:space="0"/>
              <w:right w:val="single" w:color="auto" w:sz="6" w:space="0"/>
            </w:tcBorders>
            <w:noWrap w:val="0"/>
            <w:vAlign w:val="center"/>
          </w:tcPr>
          <w:p w14:paraId="539716B5">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2304" w:type="dxa"/>
            <w:tcBorders>
              <w:top w:val="single" w:color="auto" w:sz="4" w:space="0"/>
              <w:left w:val="single" w:color="auto" w:sz="6" w:space="0"/>
              <w:bottom w:val="single" w:color="auto" w:sz="6" w:space="0"/>
              <w:right w:val="single" w:color="auto" w:sz="6" w:space="0"/>
            </w:tcBorders>
            <w:noWrap w:val="0"/>
            <w:vAlign w:val="center"/>
          </w:tcPr>
          <w:p w14:paraId="040FB0B4">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比选响应函</w:t>
            </w:r>
          </w:p>
        </w:tc>
        <w:tc>
          <w:tcPr>
            <w:tcW w:w="5787" w:type="dxa"/>
            <w:tcBorders>
              <w:top w:val="single" w:color="auto" w:sz="4" w:space="0"/>
              <w:left w:val="single" w:color="auto" w:sz="6" w:space="0"/>
              <w:bottom w:val="single" w:color="auto" w:sz="6" w:space="0"/>
              <w:right w:val="single" w:color="auto" w:sz="6" w:space="0"/>
            </w:tcBorders>
            <w:noWrap w:val="0"/>
            <w:vAlign w:val="center"/>
          </w:tcPr>
          <w:p w14:paraId="19E01066">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符合比选文件要求。</w:t>
            </w:r>
          </w:p>
        </w:tc>
      </w:tr>
      <w:tr w14:paraId="118A4B00">
        <w:tblPrEx>
          <w:tblCellMar>
            <w:top w:w="0" w:type="dxa"/>
            <w:left w:w="108" w:type="dxa"/>
            <w:bottom w:w="0" w:type="dxa"/>
            <w:right w:w="108" w:type="dxa"/>
          </w:tblCellMar>
        </w:tblPrEx>
        <w:trPr>
          <w:trHeight w:val="648" w:hRule="atLeast"/>
          <w:jc w:val="center"/>
        </w:trPr>
        <w:tc>
          <w:tcPr>
            <w:tcW w:w="946" w:type="dxa"/>
            <w:tcBorders>
              <w:top w:val="single" w:color="auto" w:sz="4" w:space="0"/>
              <w:left w:val="single" w:color="auto" w:sz="6" w:space="0"/>
              <w:bottom w:val="single" w:color="auto" w:sz="6" w:space="0"/>
              <w:right w:val="single" w:color="auto" w:sz="6" w:space="0"/>
            </w:tcBorders>
            <w:noWrap w:val="0"/>
            <w:vAlign w:val="center"/>
          </w:tcPr>
          <w:p w14:paraId="451B33C0">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11</w:t>
            </w:r>
          </w:p>
        </w:tc>
        <w:tc>
          <w:tcPr>
            <w:tcW w:w="2304" w:type="dxa"/>
            <w:tcBorders>
              <w:top w:val="single" w:color="auto" w:sz="4" w:space="0"/>
              <w:left w:val="single" w:color="auto" w:sz="6" w:space="0"/>
              <w:bottom w:val="single" w:color="auto" w:sz="6" w:space="0"/>
              <w:right w:val="single" w:color="auto" w:sz="6" w:space="0"/>
            </w:tcBorders>
            <w:noWrap w:val="0"/>
            <w:vAlign w:val="center"/>
          </w:tcPr>
          <w:p w14:paraId="0FF3C9C0">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工程量清单报价书</w:t>
            </w:r>
          </w:p>
        </w:tc>
        <w:tc>
          <w:tcPr>
            <w:tcW w:w="5787" w:type="dxa"/>
            <w:tcBorders>
              <w:top w:val="single" w:color="auto" w:sz="4" w:space="0"/>
              <w:left w:val="single" w:color="auto" w:sz="6" w:space="0"/>
              <w:bottom w:val="single" w:color="auto" w:sz="6" w:space="0"/>
              <w:right w:val="single" w:color="auto" w:sz="6" w:space="0"/>
            </w:tcBorders>
            <w:noWrap w:val="0"/>
            <w:vAlign w:val="center"/>
          </w:tcPr>
          <w:p w14:paraId="6B6B84A9">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符合比选文件要求。</w:t>
            </w:r>
          </w:p>
        </w:tc>
      </w:tr>
      <w:tr w14:paraId="13702E7D">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2E6D4F44">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12</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6938FA31">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不良信用记录查询</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5AD1F06B">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参选人不得存在参选人须知第19.3.1.1条中的不良信用记录情形。</w:t>
            </w:r>
          </w:p>
        </w:tc>
      </w:tr>
      <w:tr w14:paraId="4A663C89">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714694DB">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13</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15ECD55B">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比选有效性声明</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6C58B7C3">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符合比选文件要求。</w:t>
            </w:r>
          </w:p>
        </w:tc>
      </w:tr>
      <w:tr w14:paraId="2EDCC3F3">
        <w:tblPrEx>
          <w:tblCellMar>
            <w:top w:w="0" w:type="dxa"/>
            <w:left w:w="108" w:type="dxa"/>
            <w:bottom w:w="0" w:type="dxa"/>
            <w:right w:w="108" w:type="dxa"/>
          </w:tblCellMar>
        </w:tblPrEx>
        <w:trPr>
          <w:trHeight w:val="648" w:hRule="atLeast"/>
          <w:jc w:val="center"/>
        </w:trPr>
        <w:tc>
          <w:tcPr>
            <w:tcW w:w="946" w:type="dxa"/>
            <w:tcBorders>
              <w:top w:val="single" w:color="auto" w:sz="6" w:space="0"/>
              <w:left w:val="single" w:color="auto" w:sz="6" w:space="0"/>
              <w:bottom w:val="single" w:color="auto" w:sz="6" w:space="0"/>
              <w:right w:val="single" w:color="auto" w:sz="6" w:space="0"/>
            </w:tcBorders>
            <w:noWrap w:val="0"/>
            <w:vAlign w:val="center"/>
          </w:tcPr>
          <w:p w14:paraId="35E9AE21">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14</w:t>
            </w:r>
          </w:p>
        </w:tc>
        <w:tc>
          <w:tcPr>
            <w:tcW w:w="2304" w:type="dxa"/>
            <w:tcBorders>
              <w:top w:val="single" w:color="auto" w:sz="6" w:space="0"/>
              <w:left w:val="single" w:color="auto" w:sz="6" w:space="0"/>
              <w:bottom w:val="single" w:color="auto" w:sz="6" w:space="0"/>
              <w:right w:val="single" w:color="auto" w:sz="6" w:space="0"/>
            </w:tcBorders>
            <w:noWrap w:val="0"/>
            <w:vAlign w:val="center"/>
          </w:tcPr>
          <w:p w14:paraId="5310B85B">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其他实质性要求</w:t>
            </w:r>
          </w:p>
        </w:tc>
        <w:tc>
          <w:tcPr>
            <w:tcW w:w="5787" w:type="dxa"/>
            <w:tcBorders>
              <w:top w:val="single" w:color="auto" w:sz="6" w:space="0"/>
              <w:left w:val="single" w:color="auto" w:sz="6" w:space="0"/>
              <w:bottom w:val="single" w:color="auto" w:sz="6" w:space="0"/>
              <w:right w:val="single" w:color="auto" w:sz="6" w:space="0"/>
            </w:tcBorders>
            <w:noWrap w:val="0"/>
            <w:vAlign w:val="center"/>
          </w:tcPr>
          <w:p w14:paraId="3363D1BE">
            <w:pPr>
              <w:wordWrap w:val="0"/>
              <w:spacing w:line="360" w:lineRule="auto"/>
              <w:jc w:val="left"/>
              <w:rPr>
                <w:rFonts w:hint="eastAsia" w:ascii="仿宋" w:hAnsi="仿宋" w:eastAsia="仿宋" w:cs="仿宋"/>
                <w:sz w:val="24"/>
                <w:szCs w:val="24"/>
              </w:rPr>
            </w:pPr>
            <w:r>
              <w:rPr>
                <w:rFonts w:hint="eastAsia" w:ascii="仿宋" w:hAnsi="仿宋" w:eastAsia="仿宋" w:cs="仿宋"/>
                <w:sz w:val="24"/>
                <w:szCs w:val="24"/>
              </w:rPr>
              <w:t>符合比选文件列明的其他实质性要求</w:t>
            </w:r>
          </w:p>
        </w:tc>
      </w:tr>
    </w:tbl>
    <w:p w14:paraId="0FEBCF55">
      <w:pPr>
        <w:wordWrap w:val="0"/>
        <w:spacing w:line="360" w:lineRule="auto"/>
        <w:ind w:firstLine="482" w:firstLineChars="200"/>
        <w:rPr>
          <w:rFonts w:hint="eastAsia" w:ascii="仿宋" w:hAnsi="仿宋" w:eastAsia="仿宋" w:cs="仿宋"/>
          <w:b/>
          <w:sz w:val="24"/>
          <w:szCs w:val="24"/>
        </w:rPr>
      </w:pPr>
      <w:r>
        <w:rPr>
          <w:rFonts w:hint="eastAsia" w:ascii="仿宋" w:hAnsi="仿宋" w:eastAsia="仿宋" w:cs="仿宋"/>
          <w:b/>
          <w:bCs/>
          <w:sz w:val="24"/>
          <w:szCs w:val="24"/>
        </w:rPr>
        <w:t>初审指标通过标准：</w:t>
      </w:r>
      <w:r>
        <w:rPr>
          <w:rFonts w:hint="eastAsia" w:ascii="仿宋" w:hAnsi="仿宋" w:eastAsia="仿宋" w:cs="仿宋"/>
          <w:sz w:val="24"/>
          <w:szCs w:val="24"/>
        </w:rPr>
        <w:t>参选人必须通过初审表中的全部评审指标。</w:t>
      </w:r>
    </w:p>
    <w:p w14:paraId="3D3A9321">
      <w:pPr>
        <w:spacing w:line="360" w:lineRule="auto"/>
        <w:ind w:firstLine="435"/>
        <w:outlineLvl w:val="9"/>
        <w:rPr>
          <w:rFonts w:hint="eastAsia" w:ascii="仿宋" w:hAnsi="仿宋" w:eastAsia="仿宋" w:cs="仿宋"/>
          <w:sz w:val="24"/>
          <w:szCs w:val="24"/>
        </w:rPr>
      </w:pPr>
      <w:r>
        <w:rPr>
          <w:rFonts w:hint="eastAsia" w:ascii="仿宋" w:hAnsi="仿宋" w:eastAsia="仿宋" w:cs="仿宋"/>
          <w:sz w:val="24"/>
          <w:szCs w:val="24"/>
          <w:lang w:val="en-US" w:eastAsia="zh-CN"/>
        </w:rPr>
        <w:t>2.2</w:t>
      </w:r>
      <w:r>
        <w:rPr>
          <w:rFonts w:hint="eastAsia" w:ascii="仿宋" w:hAnsi="仿宋" w:eastAsia="仿宋" w:cs="仿宋"/>
          <w:sz w:val="24"/>
          <w:szCs w:val="24"/>
        </w:rPr>
        <w:t>异常低价</w:t>
      </w:r>
      <w:r>
        <w:rPr>
          <w:rFonts w:hint="eastAsia" w:ascii="仿宋" w:hAnsi="仿宋" w:eastAsia="仿宋" w:cs="仿宋"/>
          <w:sz w:val="24"/>
          <w:szCs w:val="24"/>
          <w:lang w:val="en-US" w:eastAsia="zh-CN"/>
        </w:rPr>
        <w:t>投标</w:t>
      </w:r>
      <w:r>
        <w:rPr>
          <w:rFonts w:hint="eastAsia" w:ascii="仿宋" w:hAnsi="仿宋" w:eastAsia="仿宋" w:cs="仿宋"/>
          <w:sz w:val="24"/>
          <w:szCs w:val="24"/>
        </w:rPr>
        <w:t>审查</w:t>
      </w:r>
    </w:p>
    <w:tbl>
      <w:tblPr>
        <w:tblStyle w:val="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4FD2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noWrap w:val="0"/>
            <w:vAlign w:val="center"/>
          </w:tcPr>
          <w:p w14:paraId="198FCC62">
            <w:pPr>
              <w:adjustRightInd w:val="0"/>
              <w:snapToGrid w:val="0"/>
              <w:spacing w:line="360" w:lineRule="auto"/>
              <w:ind w:right="-10" w:rightChars="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异常低价投标审查表</w:t>
            </w:r>
          </w:p>
        </w:tc>
      </w:tr>
      <w:tr w14:paraId="65B6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noWrap w:val="0"/>
            <w:vAlign w:val="center"/>
          </w:tcPr>
          <w:p w14:paraId="0CFDAD3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序号</w:t>
            </w:r>
          </w:p>
        </w:tc>
        <w:tc>
          <w:tcPr>
            <w:tcW w:w="1450" w:type="dxa"/>
            <w:tcBorders>
              <w:bottom w:val="single" w:color="auto" w:sz="4" w:space="0"/>
            </w:tcBorders>
            <w:noWrap w:val="0"/>
            <w:vAlign w:val="center"/>
          </w:tcPr>
          <w:p w14:paraId="51B19CC1">
            <w:pPr>
              <w:spacing w:line="360" w:lineRule="auto"/>
              <w:ind w:firstLine="240" w:firstLineChars="100"/>
              <w:jc w:val="center"/>
              <w:rPr>
                <w:rFonts w:hint="eastAsia" w:ascii="仿宋" w:hAnsi="仿宋" w:eastAsia="仿宋" w:cs="仿宋"/>
                <w:kern w:val="2"/>
                <w:sz w:val="24"/>
                <w:szCs w:val="24"/>
                <w:highlight w:val="none"/>
              </w:rPr>
            </w:pPr>
            <w:r>
              <w:rPr>
                <w:rFonts w:hint="eastAsia" w:ascii="仿宋" w:hAnsi="仿宋" w:eastAsia="仿宋" w:cs="仿宋"/>
                <w:sz w:val="24"/>
                <w:szCs w:val="24"/>
                <w:highlight w:val="none"/>
                <w:lang w:val="en-US" w:eastAsia="zh-CN"/>
              </w:rPr>
              <w:t>评审指标</w:t>
            </w:r>
          </w:p>
        </w:tc>
        <w:tc>
          <w:tcPr>
            <w:tcW w:w="4439" w:type="dxa"/>
            <w:tcBorders>
              <w:bottom w:val="single" w:color="auto" w:sz="4" w:space="0"/>
            </w:tcBorders>
            <w:noWrap w:val="0"/>
            <w:vAlign w:val="center"/>
          </w:tcPr>
          <w:p w14:paraId="01577B45">
            <w:pPr>
              <w:spacing w:line="360" w:lineRule="auto"/>
              <w:ind w:firstLine="240" w:firstLineChars="1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评审标准</w:t>
            </w:r>
          </w:p>
        </w:tc>
        <w:tc>
          <w:tcPr>
            <w:tcW w:w="2260" w:type="dxa"/>
            <w:tcBorders>
              <w:bottom w:val="single" w:color="auto" w:sz="4" w:space="0"/>
            </w:tcBorders>
            <w:noWrap w:val="0"/>
            <w:vAlign w:val="center"/>
          </w:tcPr>
          <w:p w14:paraId="3C80105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格式及材料要求</w:t>
            </w:r>
          </w:p>
        </w:tc>
      </w:tr>
      <w:tr w14:paraId="0E48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05" w:type="dxa"/>
            <w:tcBorders>
              <w:bottom w:val="single" w:color="auto" w:sz="4" w:space="0"/>
            </w:tcBorders>
            <w:noWrap w:val="0"/>
            <w:vAlign w:val="center"/>
          </w:tcPr>
          <w:p w14:paraId="20679FF4">
            <w:pPr>
              <w:spacing w:line="360" w:lineRule="auto"/>
              <w:ind w:firstLine="240" w:firstLineChars="1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p>
        </w:tc>
        <w:tc>
          <w:tcPr>
            <w:tcW w:w="1450" w:type="dxa"/>
            <w:tcBorders>
              <w:bottom w:val="single" w:color="auto" w:sz="4" w:space="0"/>
            </w:tcBorders>
            <w:noWrap w:val="0"/>
            <w:vAlign w:val="center"/>
          </w:tcPr>
          <w:p w14:paraId="3395164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异常低价投标审查</w:t>
            </w:r>
          </w:p>
        </w:tc>
        <w:tc>
          <w:tcPr>
            <w:tcW w:w="4439" w:type="dxa"/>
            <w:tcBorders>
              <w:bottom w:val="single" w:color="auto" w:sz="4" w:space="0"/>
            </w:tcBorders>
            <w:noWrap w:val="0"/>
            <w:vAlign w:val="center"/>
          </w:tcPr>
          <w:p w14:paraId="52C8EE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i w:val="0"/>
                <w:iCs w:val="0"/>
                <w:sz w:val="24"/>
                <w:szCs w:val="24"/>
                <w:highlight w:val="none"/>
                <w:u w:val="none"/>
                <w:lang w:val="en-US" w:eastAsia="zh-CN"/>
              </w:rPr>
            </w:pPr>
            <w:r>
              <w:rPr>
                <w:rFonts w:hint="eastAsia" w:ascii="仿宋" w:hAnsi="仿宋" w:eastAsia="仿宋" w:cs="仿宋"/>
                <w:b w:val="0"/>
                <w:bCs w:val="0"/>
                <w:i w:val="0"/>
                <w:iCs w:val="0"/>
                <w:sz w:val="24"/>
                <w:szCs w:val="24"/>
                <w:highlight w:val="none"/>
                <w:u w:val="none"/>
                <w:lang w:val="en-US" w:eastAsia="zh-CN"/>
              </w:rPr>
              <w:t>（1）参选报价＜全部通过符合性审查参选人参选报价平均值×</w:t>
            </w:r>
            <w:r>
              <w:rPr>
                <w:rFonts w:hint="eastAsia" w:ascii="仿宋" w:hAnsi="仿宋" w:eastAsia="仿宋" w:cs="仿宋"/>
                <w:b w:val="0"/>
                <w:bCs w:val="0"/>
                <w:i w:val="0"/>
                <w:iCs w:val="0"/>
                <w:color w:val="FF0000"/>
                <w:sz w:val="24"/>
                <w:szCs w:val="24"/>
                <w:highlight w:val="none"/>
                <w:u w:val="single"/>
                <w:lang w:val="en-US" w:eastAsia="zh-CN"/>
              </w:rPr>
              <w:t>65%</w:t>
            </w:r>
            <w:r>
              <w:rPr>
                <w:rFonts w:hint="eastAsia" w:ascii="仿宋" w:hAnsi="仿宋" w:eastAsia="仿宋" w:cs="仿宋"/>
                <w:b w:val="0"/>
                <w:bCs w:val="0"/>
                <w:i w:val="0"/>
                <w:iCs w:val="0"/>
                <w:sz w:val="24"/>
                <w:szCs w:val="24"/>
                <w:highlight w:val="none"/>
                <w:u w:val="none"/>
                <w:lang w:val="en-US" w:eastAsia="zh-CN"/>
              </w:rPr>
              <w:t>；</w:t>
            </w:r>
          </w:p>
          <w:p w14:paraId="511EDC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i w:val="0"/>
                <w:iCs w:val="0"/>
                <w:sz w:val="24"/>
                <w:szCs w:val="24"/>
                <w:highlight w:val="none"/>
                <w:u w:val="none"/>
                <w:lang w:val="en-US" w:eastAsia="zh-CN"/>
              </w:rPr>
            </w:pPr>
            <w:r>
              <w:rPr>
                <w:rFonts w:hint="eastAsia" w:ascii="仿宋" w:hAnsi="仿宋" w:eastAsia="仿宋" w:cs="仿宋"/>
                <w:b w:val="0"/>
                <w:bCs w:val="0"/>
                <w:i w:val="0"/>
                <w:iCs w:val="0"/>
                <w:sz w:val="24"/>
                <w:szCs w:val="24"/>
                <w:highlight w:val="none"/>
                <w:u w:val="none"/>
                <w:lang w:val="en-US" w:eastAsia="zh-CN"/>
              </w:rPr>
              <w:t>（2）参选报价＜通过符合性审查的次低报价参选人参选报价×</w:t>
            </w:r>
            <w:r>
              <w:rPr>
                <w:rFonts w:hint="eastAsia" w:ascii="仿宋" w:hAnsi="仿宋" w:eastAsia="仿宋" w:cs="仿宋"/>
                <w:b w:val="0"/>
                <w:bCs w:val="0"/>
                <w:i w:val="0"/>
                <w:iCs w:val="0"/>
                <w:color w:val="FF0000"/>
                <w:sz w:val="24"/>
                <w:szCs w:val="24"/>
                <w:highlight w:val="none"/>
                <w:u w:val="single"/>
                <w:lang w:val="en-US" w:eastAsia="zh-CN"/>
              </w:rPr>
              <w:t>65%</w:t>
            </w:r>
            <w:r>
              <w:rPr>
                <w:rFonts w:hint="eastAsia" w:ascii="仿宋" w:hAnsi="仿宋" w:eastAsia="仿宋" w:cs="仿宋"/>
                <w:b w:val="0"/>
                <w:bCs w:val="0"/>
                <w:i w:val="0"/>
                <w:iCs w:val="0"/>
                <w:sz w:val="24"/>
                <w:szCs w:val="24"/>
                <w:highlight w:val="none"/>
                <w:u w:val="none"/>
                <w:lang w:val="en-US" w:eastAsia="zh-CN"/>
              </w:rPr>
              <w:t>；</w:t>
            </w:r>
          </w:p>
          <w:p w14:paraId="4F9B5A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i w:val="0"/>
                <w:iCs w:val="0"/>
                <w:sz w:val="24"/>
                <w:szCs w:val="24"/>
                <w:highlight w:val="none"/>
                <w:u w:val="none"/>
                <w:lang w:val="en-US" w:eastAsia="zh-CN"/>
              </w:rPr>
            </w:pPr>
            <w:r>
              <w:rPr>
                <w:rFonts w:hint="eastAsia" w:ascii="仿宋" w:hAnsi="仿宋" w:eastAsia="仿宋" w:cs="仿宋"/>
                <w:b w:val="0"/>
                <w:bCs w:val="0"/>
                <w:i w:val="0"/>
                <w:iCs w:val="0"/>
                <w:sz w:val="24"/>
                <w:szCs w:val="24"/>
                <w:highlight w:val="none"/>
                <w:u w:val="none"/>
                <w:lang w:val="en-US" w:eastAsia="zh-CN"/>
              </w:rPr>
              <w:t>（3）参选报价＜采购项目最高限价（</w:t>
            </w:r>
            <w:r>
              <w:rPr>
                <w:rFonts w:hint="eastAsia" w:ascii="仿宋" w:hAnsi="仿宋" w:eastAsia="仿宋" w:cs="仿宋"/>
                <w:b w:val="0"/>
                <w:bCs w:val="0"/>
                <w:sz w:val="24"/>
                <w:szCs w:val="24"/>
                <w:lang w:val="en-US" w:eastAsia="zh-CN"/>
              </w:rPr>
              <w:t>如采购项目未设定最高限价的，以采购项目预算金额作为最高限价</w:t>
            </w:r>
            <w:r>
              <w:rPr>
                <w:rFonts w:hint="eastAsia" w:ascii="仿宋" w:hAnsi="仿宋" w:eastAsia="仿宋" w:cs="仿宋"/>
                <w:b w:val="0"/>
                <w:bCs w:val="0"/>
                <w:i w:val="0"/>
                <w:iCs w:val="0"/>
                <w:sz w:val="24"/>
                <w:szCs w:val="24"/>
                <w:highlight w:val="none"/>
                <w:u w:val="none"/>
                <w:lang w:val="en-US" w:eastAsia="zh-CN"/>
              </w:rPr>
              <w:t>）×</w:t>
            </w:r>
            <w:r>
              <w:rPr>
                <w:rFonts w:hint="eastAsia" w:ascii="仿宋" w:hAnsi="仿宋" w:eastAsia="仿宋" w:cs="仿宋"/>
                <w:b w:val="0"/>
                <w:bCs w:val="0"/>
                <w:i w:val="0"/>
                <w:iCs w:val="0"/>
                <w:color w:val="FF0000"/>
                <w:sz w:val="24"/>
                <w:szCs w:val="24"/>
                <w:highlight w:val="none"/>
                <w:u w:val="single"/>
                <w:lang w:val="en-US" w:eastAsia="zh-CN"/>
              </w:rPr>
              <w:t>65%</w:t>
            </w:r>
            <w:r>
              <w:rPr>
                <w:rFonts w:hint="eastAsia" w:ascii="仿宋" w:hAnsi="仿宋" w:eastAsia="仿宋" w:cs="仿宋"/>
                <w:b w:val="0"/>
                <w:bCs w:val="0"/>
                <w:i w:val="0"/>
                <w:iCs w:val="0"/>
                <w:sz w:val="24"/>
                <w:szCs w:val="24"/>
                <w:highlight w:val="none"/>
                <w:u w:val="none"/>
                <w:lang w:val="en-US" w:eastAsia="zh-CN"/>
              </w:rPr>
              <w:t>；</w:t>
            </w:r>
          </w:p>
          <w:p w14:paraId="243A201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（4）比选小组基于专业判断，认为参选人报价过低，有可能影响产品质量或者不能诚信履约的其他情形。</w:t>
            </w:r>
          </w:p>
          <w:p w14:paraId="3A71C85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提醒：</w:t>
            </w:r>
          </w:p>
          <w:p w14:paraId="0C608B68">
            <w:pPr>
              <w:spacing w:line="360" w:lineRule="auto"/>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highlight w:val="none"/>
                <w:lang w:val="en-US" w:eastAsia="zh-CN"/>
              </w:rPr>
              <w:t>上述第（1）项数值计算：涉及总价、单价的精确到“分”并四舍五入，涉及费率的精确到小数点后两位，第三位四舍五入（例：如平均值为123.456元，即为123.46元；如平均值为80.126%，即为80.13%）。</w:t>
            </w:r>
          </w:p>
        </w:tc>
        <w:tc>
          <w:tcPr>
            <w:tcW w:w="2260" w:type="dxa"/>
            <w:noWrap w:val="0"/>
            <w:vAlign w:val="center"/>
          </w:tcPr>
          <w:p w14:paraId="638D9ADF">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参选人在评审现场合理的时间内对参选报价作出解释，提供项目具体成本测算等与报价合理性相关的书面说明及必要的证明材料，包括但不限于原材料成本、人工成本、制造费用等。</w:t>
            </w:r>
          </w:p>
        </w:tc>
      </w:tr>
    </w:tbl>
    <w:p w14:paraId="0EEF4B93">
      <w:p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highlight w:val="none"/>
          <w:lang w:val="en-US" w:eastAsia="zh-CN"/>
        </w:rPr>
        <w:t>注：</w:t>
      </w:r>
    </w:p>
    <w:p w14:paraId="334B658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参照</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关于推进解决政府采购异常低价问题的通知</w:t>
      </w:r>
      <w:r>
        <w:rPr>
          <w:rFonts w:hint="eastAsia" w:ascii="仿宋" w:hAnsi="仿宋" w:eastAsia="仿宋" w:cs="仿宋"/>
          <w:sz w:val="24"/>
          <w:szCs w:val="24"/>
          <w:highlight w:val="none"/>
        </w:rPr>
        <w:t>》（财库〔202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比选人可以结合具体项目实际情况，提高上述评审标准第（1）项至第（3）项中的数值标准，但是最高不得超过65%。</w:t>
      </w:r>
    </w:p>
    <w:p w14:paraId="35450468">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选小组启动异常低价投标审查后，属于评审标准中第（1）项至第（4）项情形的，应当要求相关参选人在评审现场合理的时间内（不少于30分钟）对参选报价作出解释，提供项目具体成本测算等与报价合理性相关的书面说明及必要的证明材料，包括但不限于原材料成本、人工成本、制造费用等。其中，属于第（3）项情形，参选人已随投标文件一并提交相关书面说明及必要的证明材料的，在评审现场可不再重复提交。</w:t>
      </w:r>
    </w:p>
    <w:p w14:paraId="0F780C5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选小组依据专业经验，参考同类项目中标（成交）价格、类似产品市场价格水平、行业人工费用标准、国家有关部门指导行业协会发布的行业平均成本等情况，对报价合理性进行判断。参选人不能提供书面说明、证明材料，或者提供的书面说明、证明材料不能证明其报价合理性的，比选小组应当将其作为</w:t>
      </w:r>
      <w:r>
        <w:rPr>
          <w:rFonts w:hint="eastAsia" w:ascii="仿宋" w:hAnsi="仿宋" w:eastAsia="仿宋" w:cs="仿宋"/>
          <w:b/>
          <w:bCs/>
          <w:sz w:val="24"/>
          <w:szCs w:val="24"/>
          <w:lang w:val="en-US" w:eastAsia="zh-CN"/>
        </w:rPr>
        <w:t>无效参选</w:t>
      </w:r>
      <w:r>
        <w:rPr>
          <w:rFonts w:hint="eastAsia" w:ascii="仿宋" w:hAnsi="仿宋" w:eastAsia="仿宋" w:cs="仿宋"/>
          <w:sz w:val="24"/>
          <w:szCs w:val="24"/>
          <w:lang w:val="en-US" w:eastAsia="zh-CN"/>
        </w:rPr>
        <w:t>处理。</w:t>
      </w:r>
    </w:p>
    <w:p w14:paraId="1051B0FF">
      <w:pPr>
        <w:spacing w:line="360" w:lineRule="auto"/>
        <w:ind w:firstLine="435"/>
        <w:jc w:val="left"/>
        <w:rPr>
          <w:rFonts w:hint="eastAsia" w:ascii="仿宋" w:hAnsi="仿宋" w:eastAsia="仿宋" w:cs="仿宋"/>
          <w:b/>
          <w:sz w:val="24"/>
          <w:szCs w:val="24"/>
        </w:rPr>
      </w:pPr>
      <w:r>
        <w:rPr>
          <w:rFonts w:hint="eastAsia" w:ascii="仿宋" w:hAnsi="仿宋" w:eastAsia="仿宋" w:cs="仿宋"/>
          <w:sz w:val="24"/>
          <w:szCs w:val="24"/>
          <w:lang w:val="en-US" w:eastAsia="zh-CN"/>
        </w:rPr>
        <w:t>比选小组</w:t>
      </w:r>
      <w:r>
        <w:rPr>
          <w:rFonts w:hint="eastAsia" w:ascii="仿宋" w:hAnsi="仿宋" w:eastAsia="仿宋" w:cs="仿宋"/>
          <w:sz w:val="24"/>
          <w:szCs w:val="24"/>
          <w:highlight w:val="none"/>
        </w:rPr>
        <w:t>借助互联网等渠道查询相关信息的，应当严格遵守评审工作纪律，不得实施影响评审公正的行为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异常低价响应审查的启动原因、审查意见和审查结果应当在评审报告中记录，并随</w:t>
      </w:r>
      <w:r>
        <w:rPr>
          <w:rFonts w:hint="eastAsia" w:ascii="仿宋" w:hAnsi="仿宋" w:eastAsia="仿宋" w:cs="仿宋"/>
          <w:sz w:val="24"/>
          <w:szCs w:val="24"/>
          <w:highlight w:val="none"/>
          <w:lang w:val="en-US" w:eastAsia="zh-CN"/>
        </w:rPr>
        <w:t>参选人</w:t>
      </w:r>
      <w:r>
        <w:rPr>
          <w:rFonts w:hint="eastAsia" w:ascii="仿宋" w:hAnsi="仿宋" w:eastAsia="仿宋" w:cs="仿宋"/>
          <w:sz w:val="24"/>
          <w:szCs w:val="24"/>
          <w:highlight w:val="none"/>
        </w:rPr>
        <w:t>提供的相关书面说明及证明材料，以及</w:t>
      </w:r>
      <w:r>
        <w:rPr>
          <w:rFonts w:hint="eastAsia" w:ascii="仿宋" w:hAnsi="仿宋" w:eastAsia="仿宋" w:cs="仿宋"/>
          <w:sz w:val="24"/>
          <w:szCs w:val="24"/>
          <w:lang w:val="en-US" w:eastAsia="zh-CN"/>
        </w:rPr>
        <w:t>比选小组</w:t>
      </w:r>
      <w:r>
        <w:rPr>
          <w:rFonts w:hint="eastAsia" w:ascii="仿宋" w:hAnsi="仿宋" w:eastAsia="仿宋" w:cs="仿宋"/>
          <w:sz w:val="24"/>
          <w:szCs w:val="24"/>
          <w:highlight w:val="none"/>
        </w:rPr>
        <w:t>有关互联网浏览、查询历史一并归档。</w:t>
      </w:r>
    </w:p>
    <w:p w14:paraId="36E35A3E">
      <w:pPr>
        <w:wordWrap w:val="0"/>
        <w:spacing w:line="360" w:lineRule="auto"/>
        <w:ind w:firstLine="435"/>
        <w:rPr>
          <w:rFonts w:hint="eastAsia" w:ascii="仿宋" w:hAnsi="仿宋" w:eastAsia="仿宋" w:cs="仿宋"/>
          <w:sz w:val="24"/>
          <w:szCs w:val="24"/>
        </w:rPr>
      </w:pPr>
      <w:r>
        <w:rPr>
          <w:rFonts w:hint="eastAsia" w:ascii="仿宋" w:hAnsi="仿宋" w:eastAsia="仿宋" w:cs="仿宋"/>
          <w:b/>
          <w:sz w:val="24"/>
          <w:szCs w:val="24"/>
        </w:rPr>
        <w:t>2.</w:t>
      </w:r>
      <w:r>
        <w:rPr>
          <w:rFonts w:hint="eastAsia" w:ascii="仿宋" w:hAnsi="仿宋" w:eastAsia="仿宋" w:cs="仿宋"/>
          <w:b/>
          <w:sz w:val="24"/>
          <w:szCs w:val="24"/>
          <w:lang w:val="en-US" w:eastAsia="zh-CN"/>
        </w:rPr>
        <w:t>3</w:t>
      </w:r>
      <w:r>
        <w:rPr>
          <w:rFonts w:hint="eastAsia" w:ascii="仿宋" w:hAnsi="仿宋" w:eastAsia="仿宋" w:cs="仿宋"/>
          <w:b/>
          <w:sz w:val="24"/>
          <w:szCs w:val="24"/>
        </w:rPr>
        <w:t>综合评分</w:t>
      </w:r>
    </w:p>
    <w:p w14:paraId="2AB840E7">
      <w:pPr>
        <w:wordWrap w:val="0"/>
        <w:spacing w:line="360" w:lineRule="auto"/>
        <w:ind w:firstLine="435"/>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3</w:t>
      </w:r>
      <w:r>
        <w:rPr>
          <w:rFonts w:hint="eastAsia" w:ascii="仿宋" w:hAnsi="仿宋" w:eastAsia="仿宋" w:cs="仿宋"/>
          <w:sz w:val="24"/>
          <w:szCs w:val="24"/>
        </w:rPr>
        <w:t>.1</w:t>
      </w:r>
      <w:r>
        <w:rPr>
          <w:rFonts w:hint="eastAsia" w:ascii="仿宋" w:hAnsi="仿宋" w:eastAsia="仿宋" w:cs="仿宋"/>
          <w:sz w:val="24"/>
          <w:szCs w:val="24"/>
          <w:lang w:eastAsia="zh-CN"/>
        </w:rPr>
        <w:t>比选小组</w:t>
      </w:r>
      <w:r>
        <w:rPr>
          <w:rFonts w:hint="eastAsia" w:ascii="仿宋" w:hAnsi="仿宋" w:eastAsia="仿宋" w:cs="仿宋"/>
          <w:sz w:val="24"/>
          <w:szCs w:val="24"/>
        </w:rPr>
        <w:t>按照下表对进入综合评分的所有参选人的参选文件进行综合评分。</w:t>
      </w:r>
    </w:p>
    <w:p w14:paraId="6C6CE872">
      <w:pPr>
        <w:wordWrap w:val="0"/>
        <w:spacing w:line="360" w:lineRule="auto"/>
        <w:ind w:firstLine="435"/>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3</w:t>
      </w:r>
      <w:r>
        <w:rPr>
          <w:rFonts w:hint="eastAsia" w:ascii="仿宋" w:hAnsi="仿宋" w:eastAsia="仿宋" w:cs="仿宋"/>
          <w:sz w:val="24"/>
          <w:szCs w:val="24"/>
        </w:rPr>
        <w:t>.2本项目综合评分满分为100分，具体评分细则如下：</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3"/>
        <w:gridCol w:w="1559"/>
        <w:gridCol w:w="4820"/>
        <w:gridCol w:w="1242"/>
      </w:tblGrid>
      <w:tr w14:paraId="5EE3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noWrap w:val="0"/>
            <w:tcMar>
              <w:top w:w="0" w:type="dxa"/>
              <w:left w:w="108" w:type="dxa"/>
              <w:bottom w:w="0" w:type="dxa"/>
              <w:right w:w="108" w:type="dxa"/>
            </w:tcMar>
            <w:vAlign w:val="center"/>
          </w:tcPr>
          <w:p w14:paraId="41D6428F">
            <w:pPr>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类别</w:t>
            </w:r>
          </w:p>
        </w:tc>
        <w:tc>
          <w:tcPr>
            <w:tcW w:w="1559" w:type="dxa"/>
            <w:noWrap w:val="0"/>
            <w:tcMar>
              <w:top w:w="0" w:type="dxa"/>
              <w:left w:w="108" w:type="dxa"/>
              <w:bottom w:w="0" w:type="dxa"/>
              <w:right w:w="108" w:type="dxa"/>
            </w:tcMar>
            <w:vAlign w:val="center"/>
          </w:tcPr>
          <w:p w14:paraId="25E46719">
            <w:pPr>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评分内容</w:t>
            </w:r>
          </w:p>
        </w:tc>
        <w:tc>
          <w:tcPr>
            <w:tcW w:w="4820" w:type="dxa"/>
            <w:noWrap w:val="0"/>
            <w:tcMar>
              <w:top w:w="0" w:type="dxa"/>
              <w:left w:w="108" w:type="dxa"/>
              <w:bottom w:w="0" w:type="dxa"/>
              <w:right w:w="108" w:type="dxa"/>
            </w:tcMar>
            <w:vAlign w:val="center"/>
          </w:tcPr>
          <w:p w14:paraId="59BB2ECE">
            <w:pPr>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1242" w:type="dxa"/>
            <w:noWrap w:val="0"/>
            <w:tcMar>
              <w:top w:w="0" w:type="dxa"/>
              <w:left w:w="108" w:type="dxa"/>
              <w:bottom w:w="0" w:type="dxa"/>
              <w:right w:w="108" w:type="dxa"/>
            </w:tcMar>
            <w:vAlign w:val="center"/>
          </w:tcPr>
          <w:p w14:paraId="09DA72EA">
            <w:pPr>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分值范围</w:t>
            </w:r>
          </w:p>
        </w:tc>
      </w:tr>
      <w:tr w14:paraId="1A2F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1413" w:type="dxa"/>
            <w:vMerge w:val="restart"/>
            <w:noWrap w:val="0"/>
            <w:tcMar>
              <w:top w:w="0" w:type="dxa"/>
              <w:left w:w="108" w:type="dxa"/>
              <w:bottom w:w="0" w:type="dxa"/>
              <w:right w:w="108" w:type="dxa"/>
            </w:tcMar>
            <w:vAlign w:val="center"/>
          </w:tcPr>
          <w:p w14:paraId="4F8F8F8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技术资信分</w:t>
            </w:r>
          </w:p>
          <w:p w14:paraId="0903CF1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(60分)</w:t>
            </w:r>
          </w:p>
        </w:tc>
        <w:tc>
          <w:tcPr>
            <w:tcW w:w="1559" w:type="dxa"/>
            <w:noWrap w:val="0"/>
            <w:tcMar>
              <w:top w:w="0" w:type="dxa"/>
              <w:left w:w="108" w:type="dxa"/>
              <w:bottom w:w="0" w:type="dxa"/>
              <w:right w:w="108" w:type="dxa"/>
            </w:tcMar>
            <w:vAlign w:val="center"/>
          </w:tcPr>
          <w:p w14:paraId="57FDB2B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工程实际情况及重难点分析</w:t>
            </w:r>
          </w:p>
        </w:tc>
        <w:tc>
          <w:tcPr>
            <w:tcW w:w="4820" w:type="dxa"/>
            <w:noWrap w:val="0"/>
            <w:tcMar>
              <w:top w:w="0" w:type="dxa"/>
              <w:left w:w="108" w:type="dxa"/>
              <w:bottom w:w="0" w:type="dxa"/>
              <w:right w:w="108" w:type="dxa"/>
            </w:tcMar>
            <w:vAlign w:val="center"/>
          </w:tcPr>
          <w:p w14:paraId="1829E82D">
            <w:pPr>
              <w:spacing w:line="360" w:lineRule="auto"/>
              <w:rPr>
                <w:rFonts w:hint="eastAsia" w:ascii="仿宋" w:hAnsi="仿宋" w:eastAsia="仿宋" w:cs="仿宋"/>
                <w:sz w:val="24"/>
                <w:szCs w:val="24"/>
              </w:rPr>
            </w:pPr>
            <w:r>
              <w:rPr>
                <w:rFonts w:hint="eastAsia" w:ascii="仿宋" w:hAnsi="仿宋" w:eastAsia="仿宋" w:cs="仿宋"/>
                <w:sz w:val="24"/>
                <w:szCs w:val="24"/>
              </w:rPr>
              <w:t>熟悉施工现场情况、熟悉本工程施工重难点、对本项目定位理解准确，了解比选人项目需求。</w:t>
            </w:r>
          </w:p>
          <w:p w14:paraId="5636F29E">
            <w:pPr>
              <w:spacing w:line="360" w:lineRule="auto"/>
              <w:rPr>
                <w:rFonts w:hint="eastAsia" w:ascii="仿宋" w:hAnsi="仿宋" w:eastAsia="仿宋" w:cs="仿宋"/>
                <w:sz w:val="24"/>
                <w:szCs w:val="24"/>
              </w:rPr>
            </w:pPr>
            <w:r>
              <w:rPr>
                <w:rFonts w:hint="eastAsia" w:ascii="仿宋" w:hAnsi="仿宋" w:eastAsia="仿宋" w:cs="仿宋"/>
                <w:sz w:val="24"/>
                <w:szCs w:val="24"/>
              </w:rPr>
              <w:t>1.工程实际情况：</w:t>
            </w:r>
          </w:p>
          <w:p w14:paraId="5F9B79AA">
            <w:pPr>
              <w:spacing w:line="360" w:lineRule="auto"/>
              <w:rPr>
                <w:rFonts w:hint="eastAsia" w:ascii="仿宋" w:hAnsi="仿宋" w:eastAsia="仿宋" w:cs="仿宋"/>
                <w:sz w:val="24"/>
                <w:szCs w:val="24"/>
              </w:rPr>
            </w:pPr>
            <w:r>
              <w:rPr>
                <w:rFonts w:hint="eastAsia" w:ascii="仿宋" w:hAnsi="仿宋" w:eastAsia="仿宋" w:cs="仿宋"/>
                <w:sz w:val="24"/>
                <w:szCs w:val="24"/>
              </w:rPr>
              <w:t>（1）对项目现场情况熟悉，完全了解比选人项目需求的，得5分；</w:t>
            </w:r>
          </w:p>
          <w:p w14:paraId="48BB25B6">
            <w:pPr>
              <w:spacing w:line="360" w:lineRule="auto"/>
              <w:rPr>
                <w:rFonts w:hint="eastAsia" w:ascii="仿宋" w:hAnsi="仿宋" w:eastAsia="仿宋" w:cs="仿宋"/>
                <w:sz w:val="24"/>
                <w:szCs w:val="24"/>
              </w:rPr>
            </w:pPr>
            <w:r>
              <w:rPr>
                <w:rFonts w:hint="eastAsia" w:ascii="仿宋" w:hAnsi="仿宋" w:eastAsia="仿宋" w:cs="仿宋"/>
                <w:sz w:val="24"/>
                <w:szCs w:val="24"/>
              </w:rPr>
              <w:t>（2）对项目现场情况较熟悉，基本了解比选人项目需求的，得3分；</w:t>
            </w:r>
          </w:p>
          <w:p w14:paraId="6D8D7C42">
            <w:pPr>
              <w:spacing w:line="360" w:lineRule="auto"/>
              <w:rPr>
                <w:rFonts w:hint="eastAsia" w:ascii="仿宋" w:hAnsi="仿宋" w:eastAsia="仿宋" w:cs="仿宋"/>
                <w:sz w:val="24"/>
                <w:szCs w:val="24"/>
              </w:rPr>
            </w:pPr>
            <w:r>
              <w:rPr>
                <w:rFonts w:hint="eastAsia" w:ascii="仿宋" w:hAnsi="仿宋" w:eastAsia="仿宋" w:cs="仿宋"/>
                <w:sz w:val="24"/>
                <w:szCs w:val="24"/>
              </w:rPr>
              <w:t>（3）对项目现场情况不太熟悉，比选人项目需求了解较少得，得1分；</w:t>
            </w:r>
          </w:p>
          <w:p w14:paraId="316575CC">
            <w:pPr>
              <w:spacing w:line="360" w:lineRule="auto"/>
              <w:rPr>
                <w:rFonts w:hint="eastAsia" w:ascii="仿宋" w:hAnsi="仿宋" w:eastAsia="仿宋" w:cs="仿宋"/>
                <w:sz w:val="24"/>
                <w:szCs w:val="24"/>
              </w:rPr>
            </w:pPr>
            <w:r>
              <w:rPr>
                <w:rFonts w:hint="eastAsia" w:ascii="仿宋" w:hAnsi="仿宋" w:eastAsia="仿宋" w:cs="仿宋"/>
                <w:sz w:val="24"/>
                <w:szCs w:val="24"/>
              </w:rPr>
              <w:t>（4）较差或未提供不得分。</w:t>
            </w:r>
          </w:p>
          <w:p w14:paraId="043A94D9">
            <w:pPr>
              <w:spacing w:line="360" w:lineRule="auto"/>
              <w:rPr>
                <w:rFonts w:hint="eastAsia" w:ascii="仿宋" w:hAnsi="仿宋" w:eastAsia="仿宋" w:cs="仿宋"/>
                <w:sz w:val="24"/>
                <w:szCs w:val="24"/>
              </w:rPr>
            </w:pPr>
            <w:r>
              <w:rPr>
                <w:rFonts w:hint="eastAsia" w:ascii="仿宋" w:hAnsi="仿宋" w:eastAsia="仿宋" w:cs="仿宋"/>
                <w:sz w:val="24"/>
                <w:szCs w:val="24"/>
              </w:rPr>
              <w:t>2.重难点分析：</w:t>
            </w:r>
          </w:p>
          <w:p w14:paraId="2CAFBE91">
            <w:pPr>
              <w:spacing w:line="360" w:lineRule="auto"/>
              <w:rPr>
                <w:rFonts w:hint="eastAsia" w:ascii="仿宋" w:hAnsi="仿宋" w:eastAsia="仿宋" w:cs="仿宋"/>
                <w:sz w:val="24"/>
                <w:szCs w:val="24"/>
              </w:rPr>
            </w:pPr>
            <w:r>
              <w:rPr>
                <w:rFonts w:hint="eastAsia" w:ascii="仿宋" w:hAnsi="仿宋" w:eastAsia="仿宋" w:cs="仿宋"/>
                <w:sz w:val="24"/>
                <w:szCs w:val="24"/>
              </w:rPr>
              <w:t>（1）重难点分析准确到位的，得5分；</w:t>
            </w:r>
          </w:p>
          <w:p w14:paraId="600508F5">
            <w:pPr>
              <w:spacing w:line="360" w:lineRule="auto"/>
              <w:rPr>
                <w:rFonts w:hint="eastAsia" w:ascii="仿宋" w:hAnsi="仿宋" w:eastAsia="仿宋" w:cs="仿宋"/>
                <w:sz w:val="24"/>
                <w:szCs w:val="24"/>
              </w:rPr>
            </w:pPr>
            <w:r>
              <w:rPr>
                <w:rFonts w:hint="eastAsia" w:ascii="仿宋" w:hAnsi="仿宋" w:eastAsia="仿宋" w:cs="仿宋"/>
                <w:sz w:val="24"/>
                <w:szCs w:val="24"/>
              </w:rPr>
              <w:t>（2）重难点分析有待完善的，得3分；</w:t>
            </w:r>
          </w:p>
          <w:p w14:paraId="4E2F1225">
            <w:pPr>
              <w:spacing w:line="360" w:lineRule="auto"/>
              <w:rPr>
                <w:rFonts w:hint="eastAsia" w:ascii="仿宋" w:hAnsi="仿宋" w:eastAsia="仿宋" w:cs="仿宋"/>
                <w:sz w:val="24"/>
                <w:szCs w:val="24"/>
              </w:rPr>
            </w:pPr>
            <w:r>
              <w:rPr>
                <w:rFonts w:hint="eastAsia" w:ascii="仿宋" w:hAnsi="仿宋" w:eastAsia="仿宋" w:cs="仿宋"/>
                <w:sz w:val="24"/>
                <w:szCs w:val="24"/>
              </w:rPr>
              <w:t>（3）重难点分析不到位，得1分；</w:t>
            </w:r>
          </w:p>
          <w:p w14:paraId="3233899E">
            <w:pPr>
              <w:spacing w:line="360" w:lineRule="auto"/>
              <w:rPr>
                <w:rFonts w:hint="eastAsia" w:ascii="仿宋" w:hAnsi="仿宋" w:eastAsia="仿宋" w:cs="仿宋"/>
                <w:sz w:val="24"/>
                <w:szCs w:val="24"/>
              </w:rPr>
            </w:pPr>
            <w:r>
              <w:rPr>
                <w:rFonts w:hint="eastAsia" w:ascii="仿宋" w:hAnsi="仿宋" w:eastAsia="仿宋" w:cs="仿宋"/>
                <w:sz w:val="24"/>
                <w:szCs w:val="24"/>
              </w:rPr>
              <w:t>（4）较差或未提供不得分。</w:t>
            </w:r>
          </w:p>
          <w:p w14:paraId="199FC2F5">
            <w:pPr>
              <w:spacing w:line="360" w:lineRule="auto"/>
              <w:rPr>
                <w:rFonts w:hint="eastAsia" w:ascii="仿宋" w:hAnsi="仿宋" w:eastAsia="仿宋" w:cs="仿宋"/>
                <w:sz w:val="24"/>
                <w:szCs w:val="24"/>
              </w:rPr>
            </w:pPr>
            <w:r>
              <w:rPr>
                <w:rFonts w:hint="eastAsia" w:ascii="仿宋" w:hAnsi="仿宋" w:eastAsia="仿宋" w:cs="仿宋"/>
                <w:b/>
                <w:bCs/>
                <w:sz w:val="24"/>
                <w:szCs w:val="24"/>
              </w:rPr>
              <w:t>注：参选人可提供施工现场情况说明、现场照片及重难点分析等。</w:t>
            </w:r>
          </w:p>
        </w:tc>
        <w:tc>
          <w:tcPr>
            <w:tcW w:w="1242" w:type="dxa"/>
            <w:noWrap w:val="0"/>
            <w:tcMar>
              <w:top w:w="0" w:type="dxa"/>
              <w:left w:w="108" w:type="dxa"/>
              <w:bottom w:w="0" w:type="dxa"/>
              <w:right w:w="108" w:type="dxa"/>
            </w:tcMar>
            <w:vAlign w:val="center"/>
          </w:tcPr>
          <w:p w14:paraId="593A6FA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0-10分</w:t>
            </w:r>
          </w:p>
        </w:tc>
      </w:tr>
      <w:tr w14:paraId="4BF8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vMerge w:val="continue"/>
            <w:noWrap w:val="0"/>
            <w:tcMar>
              <w:top w:w="0" w:type="dxa"/>
              <w:left w:w="108" w:type="dxa"/>
              <w:bottom w:w="0" w:type="dxa"/>
              <w:right w:w="108" w:type="dxa"/>
            </w:tcMar>
            <w:vAlign w:val="center"/>
          </w:tcPr>
          <w:p w14:paraId="33E5E4DC">
            <w:pPr>
              <w:spacing w:line="360" w:lineRule="auto"/>
              <w:rPr>
                <w:rFonts w:hint="eastAsia" w:ascii="仿宋" w:hAnsi="仿宋" w:eastAsia="仿宋" w:cs="仿宋"/>
                <w:sz w:val="24"/>
                <w:szCs w:val="24"/>
              </w:rPr>
            </w:pPr>
          </w:p>
        </w:tc>
        <w:tc>
          <w:tcPr>
            <w:tcW w:w="1559" w:type="dxa"/>
            <w:noWrap w:val="0"/>
            <w:tcMar>
              <w:top w:w="0" w:type="dxa"/>
              <w:left w:w="108" w:type="dxa"/>
              <w:bottom w:w="0" w:type="dxa"/>
              <w:right w:w="108" w:type="dxa"/>
            </w:tcMar>
            <w:vAlign w:val="center"/>
          </w:tcPr>
          <w:p w14:paraId="4CD458D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施工组织设计</w:t>
            </w:r>
          </w:p>
        </w:tc>
        <w:tc>
          <w:tcPr>
            <w:tcW w:w="4820" w:type="dxa"/>
            <w:noWrap w:val="0"/>
            <w:tcMar>
              <w:top w:w="0" w:type="dxa"/>
              <w:left w:w="108" w:type="dxa"/>
              <w:bottom w:w="0" w:type="dxa"/>
              <w:right w:w="108" w:type="dxa"/>
            </w:tcMar>
            <w:vAlign w:val="center"/>
          </w:tcPr>
          <w:p w14:paraId="2B59DB68">
            <w:pPr>
              <w:spacing w:line="360" w:lineRule="auto"/>
              <w:rPr>
                <w:rFonts w:hint="eastAsia" w:ascii="仿宋" w:hAnsi="仿宋" w:eastAsia="仿宋" w:cs="仿宋"/>
                <w:sz w:val="24"/>
                <w:szCs w:val="24"/>
              </w:rPr>
            </w:pPr>
            <w:r>
              <w:rPr>
                <w:rFonts w:hint="eastAsia" w:ascii="仿宋" w:hAnsi="仿宋" w:eastAsia="仿宋" w:cs="仿宋"/>
                <w:sz w:val="24"/>
                <w:szCs w:val="24"/>
              </w:rPr>
              <w:t>参选人针对项目具体施工要求制定施工组织方案，包括但不限于：施工计划、技术措施、安全文明措施等，由比选小组评审：</w:t>
            </w:r>
          </w:p>
          <w:p w14:paraId="4C3B1CB2">
            <w:pPr>
              <w:spacing w:line="360" w:lineRule="auto"/>
              <w:rPr>
                <w:rFonts w:hint="eastAsia" w:ascii="仿宋" w:hAnsi="仿宋" w:eastAsia="仿宋" w:cs="仿宋"/>
                <w:sz w:val="24"/>
                <w:szCs w:val="24"/>
              </w:rPr>
            </w:pPr>
            <w:r>
              <w:rPr>
                <w:rFonts w:hint="eastAsia" w:ascii="仿宋" w:hAnsi="仿宋" w:eastAsia="仿宋" w:cs="仿宋"/>
                <w:sz w:val="24"/>
                <w:szCs w:val="24"/>
              </w:rPr>
              <w:t>1.施工计划：</w:t>
            </w:r>
          </w:p>
          <w:p w14:paraId="04833AB0">
            <w:pPr>
              <w:spacing w:line="360" w:lineRule="auto"/>
              <w:rPr>
                <w:rFonts w:hint="eastAsia" w:ascii="仿宋" w:hAnsi="仿宋" w:eastAsia="仿宋" w:cs="仿宋"/>
                <w:sz w:val="24"/>
                <w:szCs w:val="24"/>
              </w:rPr>
            </w:pPr>
            <w:r>
              <w:rPr>
                <w:rFonts w:hint="eastAsia" w:ascii="仿宋" w:hAnsi="仿宋" w:eastAsia="仿宋" w:cs="仿宋"/>
                <w:sz w:val="24"/>
                <w:szCs w:val="24"/>
              </w:rPr>
              <w:t>（1）内容全面详实，重点突出，方案健全，有具体措施的，得5分；</w:t>
            </w:r>
          </w:p>
          <w:p w14:paraId="741F68CD">
            <w:pPr>
              <w:spacing w:line="360" w:lineRule="auto"/>
              <w:rPr>
                <w:rFonts w:hint="eastAsia" w:ascii="仿宋" w:hAnsi="仿宋" w:eastAsia="仿宋" w:cs="仿宋"/>
                <w:sz w:val="24"/>
                <w:szCs w:val="24"/>
              </w:rPr>
            </w:pPr>
            <w:r>
              <w:rPr>
                <w:rFonts w:hint="eastAsia" w:ascii="仿宋" w:hAnsi="仿宋" w:eastAsia="仿宋" w:cs="仿宋"/>
                <w:sz w:val="24"/>
                <w:szCs w:val="24"/>
              </w:rPr>
              <w:t>（2）内容较为详实，有一定的重点，制度、措施符合项目基本需求的，得3分；</w:t>
            </w:r>
          </w:p>
          <w:p w14:paraId="1A88ACB1">
            <w:pPr>
              <w:spacing w:line="360" w:lineRule="auto"/>
              <w:rPr>
                <w:rFonts w:hint="eastAsia" w:ascii="仿宋" w:hAnsi="仿宋" w:eastAsia="仿宋" w:cs="仿宋"/>
                <w:sz w:val="24"/>
                <w:szCs w:val="24"/>
              </w:rPr>
            </w:pPr>
            <w:r>
              <w:rPr>
                <w:rFonts w:hint="eastAsia" w:ascii="仿宋" w:hAnsi="仿宋" w:eastAsia="仿宋" w:cs="仿宋"/>
                <w:sz w:val="24"/>
                <w:szCs w:val="24"/>
              </w:rPr>
              <w:t>（3）基本满足需求的，得1分；</w:t>
            </w:r>
          </w:p>
          <w:p w14:paraId="451413C2">
            <w:pPr>
              <w:spacing w:line="360" w:lineRule="auto"/>
              <w:rPr>
                <w:rFonts w:hint="eastAsia" w:ascii="仿宋" w:hAnsi="仿宋" w:eastAsia="仿宋" w:cs="仿宋"/>
                <w:sz w:val="24"/>
                <w:szCs w:val="24"/>
              </w:rPr>
            </w:pPr>
            <w:r>
              <w:rPr>
                <w:rFonts w:hint="eastAsia" w:ascii="仿宋" w:hAnsi="仿宋" w:eastAsia="仿宋" w:cs="仿宋"/>
                <w:sz w:val="24"/>
                <w:szCs w:val="24"/>
              </w:rPr>
              <w:t>（4）差或未提供的不得分。</w:t>
            </w:r>
          </w:p>
          <w:p w14:paraId="1244A377">
            <w:pPr>
              <w:spacing w:line="360" w:lineRule="auto"/>
              <w:rPr>
                <w:rFonts w:hint="eastAsia" w:ascii="仿宋" w:hAnsi="仿宋" w:eastAsia="仿宋" w:cs="仿宋"/>
                <w:sz w:val="24"/>
                <w:szCs w:val="24"/>
              </w:rPr>
            </w:pPr>
            <w:r>
              <w:rPr>
                <w:rFonts w:hint="eastAsia" w:ascii="仿宋" w:hAnsi="仿宋" w:eastAsia="仿宋" w:cs="仿宋"/>
                <w:sz w:val="24"/>
                <w:szCs w:val="24"/>
              </w:rPr>
              <w:t>2.技术措施：</w:t>
            </w:r>
          </w:p>
          <w:p w14:paraId="27CF6B6B">
            <w:pPr>
              <w:spacing w:line="360" w:lineRule="auto"/>
              <w:rPr>
                <w:rFonts w:hint="eastAsia" w:ascii="仿宋" w:hAnsi="仿宋" w:eastAsia="仿宋" w:cs="仿宋"/>
                <w:sz w:val="24"/>
                <w:szCs w:val="24"/>
              </w:rPr>
            </w:pPr>
            <w:r>
              <w:rPr>
                <w:rFonts w:hint="eastAsia" w:ascii="仿宋" w:hAnsi="仿宋" w:eastAsia="仿宋" w:cs="仿宋"/>
                <w:sz w:val="24"/>
                <w:szCs w:val="24"/>
              </w:rPr>
              <w:t>（1）内容全面详实，重点突出，方案健全，有具体措施的，得5分；</w:t>
            </w:r>
          </w:p>
          <w:p w14:paraId="2B918FE5">
            <w:pPr>
              <w:spacing w:line="360" w:lineRule="auto"/>
              <w:rPr>
                <w:rFonts w:hint="eastAsia" w:ascii="仿宋" w:hAnsi="仿宋" w:eastAsia="仿宋" w:cs="仿宋"/>
                <w:sz w:val="24"/>
                <w:szCs w:val="24"/>
              </w:rPr>
            </w:pPr>
            <w:r>
              <w:rPr>
                <w:rFonts w:hint="eastAsia" w:ascii="仿宋" w:hAnsi="仿宋" w:eastAsia="仿宋" w:cs="仿宋"/>
                <w:sz w:val="24"/>
                <w:szCs w:val="24"/>
              </w:rPr>
              <w:t>（2）内容较为详实，有一定的重点，制度、措施符合项目基本需求的，得3分；</w:t>
            </w:r>
          </w:p>
          <w:p w14:paraId="6B7BFC5A">
            <w:pPr>
              <w:spacing w:line="360" w:lineRule="auto"/>
              <w:rPr>
                <w:rFonts w:hint="eastAsia" w:ascii="仿宋" w:hAnsi="仿宋" w:eastAsia="仿宋" w:cs="仿宋"/>
                <w:sz w:val="24"/>
                <w:szCs w:val="24"/>
              </w:rPr>
            </w:pPr>
            <w:r>
              <w:rPr>
                <w:rFonts w:hint="eastAsia" w:ascii="仿宋" w:hAnsi="仿宋" w:eastAsia="仿宋" w:cs="仿宋"/>
                <w:sz w:val="24"/>
                <w:szCs w:val="24"/>
              </w:rPr>
              <w:t>（3）基本满足需求的，得1分；</w:t>
            </w:r>
          </w:p>
          <w:p w14:paraId="4BAACE48">
            <w:pPr>
              <w:spacing w:line="360" w:lineRule="auto"/>
              <w:rPr>
                <w:rFonts w:hint="eastAsia" w:ascii="仿宋" w:hAnsi="仿宋" w:eastAsia="仿宋" w:cs="仿宋"/>
                <w:sz w:val="24"/>
                <w:szCs w:val="24"/>
              </w:rPr>
            </w:pPr>
            <w:r>
              <w:rPr>
                <w:rFonts w:hint="eastAsia" w:ascii="仿宋" w:hAnsi="仿宋" w:eastAsia="仿宋" w:cs="仿宋"/>
                <w:sz w:val="24"/>
                <w:szCs w:val="24"/>
              </w:rPr>
              <w:t>（4）差或未提供的不得分。</w:t>
            </w:r>
          </w:p>
          <w:p w14:paraId="216F1156">
            <w:pPr>
              <w:spacing w:line="360" w:lineRule="auto"/>
              <w:rPr>
                <w:rFonts w:hint="eastAsia" w:ascii="仿宋" w:hAnsi="仿宋" w:eastAsia="仿宋" w:cs="仿宋"/>
                <w:sz w:val="24"/>
                <w:szCs w:val="24"/>
              </w:rPr>
            </w:pPr>
            <w:r>
              <w:rPr>
                <w:rFonts w:hint="eastAsia" w:ascii="仿宋" w:hAnsi="仿宋" w:eastAsia="仿宋" w:cs="仿宋"/>
                <w:sz w:val="24"/>
                <w:szCs w:val="24"/>
              </w:rPr>
              <w:t>3.安全文明措施：</w:t>
            </w:r>
          </w:p>
          <w:p w14:paraId="5B2B04EE">
            <w:pPr>
              <w:spacing w:line="360" w:lineRule="auto"/>
              <w:rPr>
                <w:rFonts w:hint="eastAsia" w:ascii="仿宋" w:hAnsi="仿宋" w:eastAsia="仿宋" w:cs="仿宋"/>
                <w:sz w:val="24"/>
                <w:szCs w:val="24"/>
              </w:rPr>
            </w:pPr>
            <w:r>
              <w:rPr>
                <w:rFonts w:hint="eastAsia" w:ascii="仿宋" w:hAnsi="仿宋" w:eastAsia="仿宋" w:cs="仿宋"/>
                <w:sz w:val="24"/>
                <w:szCs w:val="24"/>
              </w:rPr>
              <w:t>（1）内容全面详实，重点突出，方案健全，有具体措施的，得5分；</w:t>
            </w:r>
          </w:p>
          <w:p w14:paraId="55D06BAE">
            <w:pPr>
              <w:spacing w:line="360" w:lineRule="auto"/>
              <w:rPr>
                <w:rFonts w:hint="eastAsia" w:ascii="仿宋" w:hAnsi="仿宋" w:eastAsia="仿宋" w:cs="仿宋"/>
                <w:sz w:val="24"/>
                <w:szCs w:val="24"/>
              </w:rPr>
            </w:pPr>
            <w:r>
              <w:rPr>
                <w:rFonts w:hint="eastAsia" w:ascii="仿宋" w:hAnsi="仿宋" w:eastAsia="仿宋" w:cs="仿宋"/>
                <w:sz w:val="24"/>
                <w:szCs w:val="24"/>
              </w:rPr>
              <w:t>（2）内容较为详实，有一定的重点，制度、措施符合项目基本需求的，得3分；</w:t>
            </w:r>
          </w:p>
          <w:p w14:paraId="330F4748">
            <w:pPr>
              <w:spacing w:line="360" w:lineRule="auto"/>
              <w:rPr>
                <w:rFonts w:hint="eastAsia" w:ascii="仿宋" w:hAnsi="仿宋" w:eastAsia="仿宋" w:cs="仿宋"/>
                <w:sz w:val="24"/>
                <w:szCs w:val="24"/>
              </w:rPr>
            </w:pPr>
            <w:r>
              <w:rPr>
                <w:rFonts w:hint="eastAsia" w:ascii="仿宋" w:hAnsi="仿宋" w:eastAsia="仿宋" w:cs="仿宋"/>
                <w:sz w:val="24"/>
                <w:szCs w:val="24"/>
              </w:rPr>
              <w:t>（3）基本满足需求的，得1分；</w:t>
            </w:r>
          </w:p>
          <w:p w14:paraId="29B22820">
            <w:pPr>
              <w:spacing w:line="360" w:lineRule="auto"/>
              <w:rPr>
                <w:rFonts w:hint="eastAsia" w:ascii="仿宋" w:hAnsi="仿宋" w:eastAsia="仿宋" w:cs="仿宋"/>
                <w:sz w:val="24"/>
                <w:szCs w:val="24"/>
              </w:rPr>
            </w:pPr>
            <w:r>
              <w:rPr>
                <w:rFonts w:hint="eastAsia" w:ascii="仿宋" w:hAnsi="仿宋" w:eastAsia="仿宋" w:cs="仿宋"/>
                <w:sz w:val="24"/>
                <w:szCs w:val="24"/>
              </w:rPr>
              <w:t>（4）差或未提供的不得分。</w:t>
            </w:r>
          </w:p>
        </w:tc>
        <w:tc>
          <w:tcPr>
            <w:tcW w:w="1242" w:type="dxa"/>
            <w:noWrap w:val="0"/>
            <w:tcMar>
              <w:top w:w="0" w:type="dxa"/>
              <w:left w:w="108" w:type="dxa"/>
              <w:bottom w:w="0" w:type="dxa"/>
              <w:right w:w="108" w:type="dxa"/>
            </w:tcMar>
            <w:vAlign w:val="center"/>
          </w:tcPr>
          <w:p w14:paraId="2072A80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0-15分</w:t>
            </w:r>
          </w:p>
        </w:tc>
      </w:tr>
      <w:tr w14:paraId="3F5D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vMerge w:val="continue"/>
            <w:noWrap w:val="0"/>
            <w:vAlign w:val="center"/>
          </w:tcPr>
          <w:p w14:paraId="1289B447">
            <w:pPr>
              <w:spacing w:line="360" w:lineRule="auto"/>
              <w:rPr>
                <w:rFonts w:hint="eastAsia" w:ascii="仿宋" w:hAnsi="仿宋" w:eastAsia="仿宋" w:cs="仿宋"/>
                <w:sz w:val="24"/>
                <w:szCs w:val="24"/>
              </w:rPr>
            </w:pPr>
          </w:p>
        </w:tc>
        <w:tc>
          <w:tcPr>
            <w:tcW w:w="1559" w:type="dxa"/>
            <w:noWrap w:val="0"/>
            <w:tcMar>
              <w:top w:w="0" w:type="dxa"/>
              <w:left w:w="108" w:type="dxa"/>
              <w:bottom w:w="0" w:type="dxa"/>
              <w:right w:w="108" w:type="dxa"/>
            </w:tcMar>
            <w:vAlign w:val="center"/>
          </w:tcPr>
          <w:p w14:paraId="271A112F">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劳动力安排方案</w:t>
            </w:r>
          </w:p>
        </w:tc>
        <w:tc>
          <w:tcPr>
            <w:tcW w:w="4820" w:type="dxa"/>
            <w:noWrap w:val="0"/>
            <w:tcMar>
              <w:top w:w="0" w:type="dxa"/>
              <w:left w:w="108" w:type="dxa"/>
              <w:bottom w:w="0" w:type="dxa"/>
              <w:right w:w="108" w:type="dxa"/>
            </w:tcMar>
            <w:vAlign w:val="center"/>
          </w:tcPr>
          <w:p w14:paraId="32F8971B">
            <w:pPr>
              <w:spacing w:line="360" w:lineRule="auto"/>
              <w:rPr>
                <w:rFonts w:hint="eastAsia" w:ascii="仿宋" w:hAnsi="仿宋" w:eastAsia="仿宋" w:cs="仿宋"/>
                <w:sz w:val="24"/>
                <w:szCs w:val="24"/>
              </w:rPr>
            </w:pPr>
            <w:r>
              <w:rPr>
                <w:rFonts w:hint="eastAsia" w:ascii="仿宋" w:hAnsi="仿宋" w:eastAsia="仿宋" w:cs="仿宋"/>
                <w:sz w:val="24"/>
                <w:szCs w:val="24"/>
              </w:rPr>
              <w:t>参选人针对本项目实际需求制定劳动力安排方案，包括但不限于：人员数量、工种配备方案等，由比选小组评审。</w:t>
            </w:r>
          </w:p>
          <w:p w14:paraId="63E5DD80">
            <w:pPr>
              <w:spacing w:line="360" w:lineRule="auto"/>
              <w:rPr>
                <w:rFonts w:hint="eastAsia" w:ascii="仿宋" w:hAnsi="仿宋" w:eastAsia="仿宋" w:cs="仿宋"/>
                <w:sz w:val="24"/>
                <w:szCs w:val="24"/>
              </w:rPr>
            </w:pPr>
            <w:r>
              <w:rPr>
                <w:rFonts w:hint="eastAsia" w:ascii="仿宋" w:hAnsi="仿宋" w:eastAsia="仿宋" w:cs="仿宋"/>
                <w:sz w:val="24"/>
                <w:szCs w:val="24"/>
              </w:rPr>
              <w:t>（1）人员数量完全满足本项目实际需要，工种配备方案全面详实、工种丰富的，得5分；</w:t>
            </w:r>
          </w:p>
          <w:p w14:paraId="319CE23B">
            <w:pPr>
              <w:spacing w:line="360" w:lineRule="auto"/>
              <w:rPr>
                <w:rFonts w:hint="eastAsia" w:ascii="仿宋" w:hAnsi="仿宋" w:eastAsia="仿宋" w:cs="仿宋"/>
                <w:sz w:val="24"/>
                <w:szCs w:val="24"/>
              </w:rPr>
            </w:pPr>
            <w:r>
              <w:rPr>
                <w:rFonts w:hint="eastAsia" w:ascii="仿宋" w:hAnsi="仿宋" w:eastAsia="仿宋" w:cs="仿宋"/>
                <w:sz w:val="24"/>
                <w:szCs w:val="24"/>
              </w:rPr>
              <w:t>（2）人员数量可以满足本项目实际需要，工种配备较为丰富的，得3分；</w:t>
            </w:r>
          </w:p>
          <w:p w14:paraId="73FA1514">
            <w:pPr>
              <w:spacing w:line="360" w:lineRule="auto"/>
              <w:rPr>
                <w:rFonts w:hint="eastAsia" w:ascii="仿宋" w:hAnsi="仿宋" w:eastAsia="仿宋" w:cs="仿宋"/>
                <w:sz w:val="24"/>
                <w:szCs w:val="24"/>
              </w:rPr>
            </w:pPr>
            <w:r>
              <w:rPr>
                <w:rFonts w:hint="eastAsia" w:ascii="仿宋" w:hAnsi="仿宋" w:eastAsia="仿宋" w:cs="仿宋"/>
                <w:sz w:val="24"/>
                <w:szCs w:val="24"/>
              </w:rPr>
              <w:t>（3）人员数量基本满足需求，工种配备有待完善的，得1分；</w:t>
            </w:r>
          </w:p>
          <w:p w14:paraId="13A08F54">
            <w:pPr>
              <w:spacing w:line="360" w:lineRule="auto"/>
              <w:rPr>
                <w:rFonts w:hint="eastAsia" w:ascii="仿宋" w:hAnsi="仿宋" w:eastAsia="仿宋" w:cs="仿宋"/>
                <w:sz w:val="24"/>
                <w:szCs w:val="24"/>
              </w:rPr>
            </w:pPr>
            <w:r>
              <w:rPr>
                <w:rFonts w:hint="eastAsia" w:ascii="仿宋" w:hAnsi="仿宋" w:eastAsia="仿宋" w:cs="仿宋"/>
                <w:sz w:val="24"/>
                <w:szCs w:val="24"/>
              </w:rPr>
              <w:t>（4）差或未提供的不得分。</w:t>
            </w:r>
          </w:p>
        </w:tc>
        <w:tc>
          <w:tcPr>
            <w:tcW w:w="1242" w:type="dxa"/>
            <w:noWrap w:val="0"/>
            <w:tcMar>
              <w:top w:w="0" w:type="dxa"/>
              <w:left w:w="108" w:type="dxa"/>
              <w:bottom w:w="0" w:type="dxa"/>
              <w:right w:w="108" w:type="dxa"/>
            </w:tcMar>
            <w:vAlign w:val="center"/>
          </w:tcPr>
          <w:p w14:paraId="5D2B611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0-5分</w:t>
            </w:r>
          </w:p>
        </w:tc>
      </w:tr>
      <w:tr w14:paraId="2570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vMerge w:val="continue"/>
            <w:noWrap w:val="0"/>
            <w:vAlign w:val="center"/>
          </w:tcPr>
          <w:p w14:paraId="4EC0FF31">
            <w:pPr>
              <w:spacing w:line="360" w:lineRule="auto"/>
              <w:rPr>
                <w:rFonts w:hint="eastAsia" w:ascii="仿宋" w:hAnsi="仿宋" w:eastAsia="仿宋" w:cs="仿宋"/>
                <w:sz w:val="24"/>
                <w:szCs w:val="24"/>
              </w:rPr>
            </w:pPr>
          </w:p>
        </w:tc>
        <w:tc>
          <w:tcPr>
            <w:tcW w:w="1559" w:type="dxa"/>
            <w:noWrap w:val="0"/>
            <w:tcMar>
              <w:top w:w="0" w:type="dxa"/>
              <w:left w:w="108" w:type="dxa"/>
              <w:bottom w:w="0" w:type="dxa"/>
              <w:right w:w="108" w:type="dxa"/>
            </w:tcMar>
            <w:vAlign w:val="center"/>
          </w:tcPr>
          <w:p w14:paraId="5FDD686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主要施工机械、设备进场计划</w:t>
            </w:r>
          </w:p>
        </w:tc>
        <w:tc>
          <w:tcPr>
            <w:tcW w:w="4820" w:type="dxa"/>
            <w:noWrap w:val="0"/>
            <w:tcMar>
              <w:top w:w="0" w:type="dxa"/>
              <w:left w:w="108" w:type="dxa"/>
              <w:bottom w:w="0" w:type="dxa"/>
              <w:right w:w="108" w:type="dxa"/>
            </w:tcMar>
            <w:vAlign w:val="center"/>
          </w:tcPr>
          <w:p w14:paraId="0979C62C">
            <w:pPr>
              <w:spacing w:line="360" w:lineRule="auto"/>
              <w:rPr>
                <w:rFonts w:hint="eastAsia" w:ascii="仿宋" w:hAnsi="仿宋" w:eastAsia="仿宋" w:cs="仿宋"/>
                <w:sz w:val="24"/>
                <w:szCs w:val="24"/>
              </w:rPr>
            </w:pPr>
            <w:r>
              <w:rPr>
                <w:rFonts w:hint="eastAsia" w:ascii="仿宋" w:hAnsi="仿宋" w:eastAsia="仿宋" w:cs="仿宋"/>
                <w:sz w:val="24"/>
                <w:szCs w:val="24"/>
              </w:rPr>
              <w:t>结合本工程特点，投入的施工机械、设备、机具有详细计划且计划周密，设备数量、选型配置、进场数量、时间安排合理，满足施工需要。</w:t>
            </w:r>
          </w:p>
          <w:p w14:paraId="0CB228A6">
            <w:pPr>
              <w:spacing w:line="360" w:lineRule="auto"/>
              <w:rPr>
                <w:rFonts w:hint="eastAsia" w:ascii="仿宋" w:hAnsi="仿宋" w:eastAsia="仿宋" w:cs="仿宋"/>
                <w:sz w:val="24"/>
                <w:szCs w:val="24"/>
              </w:rPr>
            </w:pPr>
            <w:r>
              <w:rPr>
                <w:rFonts w:hint="eastAsia" w:ascii="仿宋" w:hAnsi="仿宋" w:eastAsia="仿宋" w:cs="仿宋"/>
                <w:sz w:val="24"/>
                <w:szCs w:val="24"/>
              </w:rPr>
              <w:t>（1）计划详细完善，具有针对性和可行性的，得5分；</w:t>
            </w:r>
          </w:p>
          <w:p w14:paraId="255F58DF">
            <w:pPr>
              <w:spacing w:line="360" w:lineRule="auto"/>
              <w:rPr>
                <w:rFonts w:hint="eastAsia" w:ascii="仿宋" w:hAnsi="仿宋" w:eastAsia="仿宋" w:cs="仿宋"/>
                <w:sz w:val="24"/>
                <w:szCs w:val="24"/>
              </w:rPr>
            </w:pPr>
            <w:r>
              <w:rPr>
                <w:rFonts w:hint="eastAsia" w:ascii="仿宋" w:hAnsi="仿宋" w:eastAsia="仿宋" w:cs="仿宋"/>
                <w:sz w:val="24"/>
                <w:szCs w:val="24"/>
              </w:rPr>
              <w:t>（2）计划比较详细，具有一定的针对性的，得3分；</w:t>
            </w:r>
          </w:p>
          <w:p w14:paraId="27F131A0">
            <w:pPr>
              <w:spacing w:line="360" w:lineRule="auto"/>
              <w:rPr>
                <w:rFonts w:hint="eastAsia" w:ascii="仿宋" w:hAnsi="仿宋" w:eastAsia="仿宋" w:cs="仿宋"/>
                <w:sz w:val="24"/>
                <w:szCs w:val="24"/>
              </w:rPr>
            </w:pPr>
            <w:r>
              <w:rPr>
                <w:rFonts w:hint="eastAsia" w:ascii="仿宋" w:hAnsi="仿宋" w:eastAsia="仿宋" w:cs="仿宋"/>
                <w:sz w:val="24"/>
                <w:szCs w:val="24"/>
              </w:rPr>
              <w:t>（3）内容需要进一步完善的，得1分；</w:t>
            </w:r>
          </w:p>
          <w:p w14:paraId="42C66D77">
            <w:pPr>
              <w:spacing w:line="360" w:lineRule="auto"/>
              <w:rPr>
                <w:rFonts w:hint="eastAsia" w:ascii="仿宋" w:hAnsi="仿宋" w:eastAsia="仿宋" w:cs="仿宋"/>
                <w:sz w:val="24"/>
                <w:szCs w:val="24"/>
              </w:rPr>
            </w:pPr>
            <w:r>
              <w:rPr>
                <w:rFonts w:hint="eastAsia" w:ascii="仿宋" w:hAnsi="仿宋" w:eastAsia="仿宋" w:cs="仿宋"/>
                <w:sz w:val="24"/>
                <w:szCs w:val="24"/>
              </w:rPr>
              <w:t>（4）差或未提供的不得分。</w:t>
            </w:r>
          </w:p>
        </w:tc>
        <w:tc>
          <w:tcPr>
            <w:tcW w:w="1242" w:type="dxa"/>
            <w:noWrap w:val="0"/>
            <w:tcMar>
              <w:top w:w="0" w:type="dxa"/>
              <w:left w:w="108" w:type="dxa"/>
              <w:bottom w:w="0" w:type="dxa"/>
              <w:right w:w="108" w:type="dxa"/>
            </w:tcMar>
            <w:vAlign w:val="center"/>
          </w:tcPr>
          <w:p w14:paraId="2227604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0-5分</w:t>
            </w:r>
          </w:p>
        </w:tc>
      </w:tr>
      <w:tr w14:paraId="60C5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vMerge w:val="continue"/>
            <w:noWrap w:val="0"/>
            <w:vAlign w:val="center"/>
          </w:tcPr>
          <w:p w14:paraId="18D08CF3">
            <w:pPr>
              <w:spacing w:line="360" w:lineRule="auto"/>
              <w:rPr>
                <w:rFonts w:hint="eastAsia" w:ascii="仿宋" w:hAnsi="仿宋" w:eastAsia="仿宋" w:cs="仿宋"/>
                <w:sz w:val="24"/>
                <w:szCs w:val="24"/>
              </w:rPr>
            </w:pPr>
          </w:p>
        </w:tc>
        <w:tc>
          <w:tcPr>
            <w:tcW w:w="1559" w:type="dxa"/>
            <w:noWrap w:val="0"/>
            <w:tcMar>
              <w:top w:w="0" w:type="dxa"/>
              <w:left w:w="108" w:type="dxa"/>
              <w:bottom w:w="0" w:type="dxa"/>
              <w:right w:w="108" w:type="dxa"/>
            </w:tcMar>
            <w:vAlign w:val="center"/>
          </w:tcPr>
          <w:p w14:paraId="52CD65A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参选人业绩</w:t>
            </w:r>
          </w:p>
        </w:tc>
        <w:tc>
          <w:tcPr>
            <w:tcW w:w="4820" w:type="dxa"/>
            <w:noWrap w:val="0"/>
            <w:tcMar>
              <w:top w:w="0" w:type="dxa"/>
              <w:left w:w="108" w:type="dxa"/>
              <w:bottom w:w="0" w:type="dxa"/>
              <w:right w:w="108" w:type="dxa"/>
            </w:tcMar>
            <w:vAlign w:val="center"/>
          </w:tcPr>
          <w:p w14:paraId="36EB535F">
            <w:pPr>
              <w:spacing w:line="360" w:lineRule="auto"/>
              <w:rPr>
                <w:rFonts w:hint="eastAsia" w:ascii="仿宋" w:hAnsi="仿宋" w:eastAsia="仿宋" w:cs="仿宋"/>
                <w:sz w:val="24"/>
                <w:szCs w:val="24"/>
              </w:rPr>
            </w:pPr>
            <w:r>
              <w:rPr>
                <w:rFonts w:hint="eastAsia" w:ascii="仿宋" w:hAnsi="仿宋" w:eastAsia="仿宋" w:cs="仿宋"/>
                <w:sz w:val="24"/>
                <w:szCs w:val="24"/>
              </w:rPr>
              <w:t>自2023年1月1日以来（以</w:t>
            </w:r>
            <w:r>
              <w:rPr>
                <w:rFonts w:hint="eastAsia" w:ascii="仿宋" w:hAnsi="仿宋" w:eastAsia="仿宋" w:cs="仿宋"/>
                <w:sz w:val="24"/>
                <w:szCs w:val="24"/>
                <w:lang w:val="en-US" w:eastAsia="zh-CN"/>
              </w:rPr>
              <w:t>工程消防验收完成时间</w:t>
            </w:r>
            <w:r>
              <w:rPr>
                <w:rFonts w:hint="eastAsia" w:ascii="仿宋" w:hAnsi="仿宋" w:eastAsia="仿宋" w:cs="仿宋"/>
                <w:sz w:val="24"/>
                <w:szCs w:val="24"/>
              </w:rPr>
              <w:t>为准），参选人具有</w:t>
            </w:r>
            <w:r>
              <w:rPr>
                <w:rFonts w:hint="eastAsia" w:ascii="仿宋" w:hAnsi="仿宋" w:eastAsia="仿宋" w:cs="仿宋"/>
                <w:sz w:val="24"/>
                <w:szCs w:val="24"/>
                <w:lang w:val="en-US" w:eastAsia="zh-CN"/>
              </w:rPr>
              <w:t>消防工程施工业绩</w:t>
            </w:r>
            <w:r>
              <w:rPr>
                <w:rFonts w:hint="eastAsia" w:ascii="仿宋" w:hAnsi="仿宋" w:eastAsia="仿宋" w:cs="仿宋"/>
                <w:sz w:val="24"/>
                <w:szCs w:val="24"/>
              </w:rPr>
              <w:t>的，每提供1个业绩得</w:t>
            </w:r>
            <w:r>
              <w:rPr>
                <w:rFonts w:hint="eastAsia" w:ascii="仿宋" w:hAnsi="仿宋" w:eastAsia="仿宋" w:cs="仿宋"/>
                <w:sz w:val="24"/>
                <w:szCs w:val="24"/>
                <w:lang w:val="en-US" w:eastAsia="zh-CN"/>
              </w:rPr>
              <w:t>5</w:t>
            </w:r>
            <w:r>
              <w:rPr>
                <w:rFonts w:hint="eastAsia" w:ascii="仿宋" w:hAnsi="仿宋" w:eastAsia="仿宋" w:cs="仿宋"/>
                <w:sz w:val="24"/>
                <w:szCs w:val="24"/>
              </w:rPr>
              <w:t>分，满分</w:t>
            </w:r>
            <w:r>
              <w:rPr>
                <w:rFonts w:hint="eastAsia" w:ascii="仿宋" w:hAnsi="仿宋" w:eastAsia="仿宋" w:cs="仿宋"/>
                <w:sz w:val="24"/>
                <w:szCs w:val="24"/>
                <w:lang w:val="en-US" w:eastAsia="zh-CN"/>
              </w:rPr>
              <w:t>15</w:t>
            </w:r>
            <w:r>
              <w:rPr>
                <w:rFonts w:hint="eastAsia" w:ascii="仿宋" w:hAnsi="仿宋" w:eastAsia="仿宋" w:cs="仿宋"/>
                <w:sz w:val="24"/>
                <w:szCs w:val="24"/>
              </w:rPr>
              <w:t>分。</w:t>
            </w:r>
          </w:p>
          <w:p w14:paraId="1E8B596D">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注：</w:t>
            </w:r>
          </w:p>
          <w:p w14:paraId="1EE5A758">
            <w:pPr>
              <w:spacing w:line="360" w:lineRule="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w:t>
            </w:r>
            <w:r>
              <w:rPr>
                <w:rFonts w:hint="eastAsia" w:ascii="仿宋" w:hAnsi="仿宋" w:eastAsia="仿宋" w:cs="仿宋"/>
                <w:b/>
                <w:bCs/>
                <w:sz w:val="24"/>
                <w:szCs w:val="24"/>
                <w:highlight w:val="none"/>
              </w:rPr>
              <w:t>上述业绩均指已交/竣工验收合格的业绩</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竣工验收材料均需加盖甲方或业主单位印章</w:t>
            </w:r>
            <w:r>
              <w:rPr>
                <w:rFonts w:hint="eastAsia" w:ascii="仿宋" w:hAnsi="仿宋" w:eastAsia="仿宋" w:cs="仿宋"/>
                <w:b/>
                <w:bCs/>
                <w:sz w:val="24"/>
                <w:szCs w:val="24"/>
                <w:lang w:eastAsia="zh-CN"/>
              </w:rPr>
              <w:t>）</w:t>
            </w:r>
            <w:r>
              <w:rPr>
                <w:rFonts w:hint="eastAsia" w:ascii="仿宋" w:hAnsi="仿宋" w:eastAsia="仿宋" w:cs="仿宋"/>
                <w:b/>
                <w:bCs/>
                <w:sz w:val="24"/>
                <w:szCs w:val="24"/>
                <w:highlight w:val="none"/>
                <w:lang w:eastAsia="zh-CN"/>
              </w:rPr>
              <w:t>；</w:t>
            </w:r>
          </w:p>
          <w:p w14:paraId="0BD39A6B">
            <w:pPr>
              <w:spacing w:line="360" w:lineRule="auto"/>
              <w:rPr>
                <w:rFonts w:hint="eastAsia" w:ascii="仿宋" w:hAnsi="仿宋" w:eastAsia="仿宋" w:cs="仿宋"/>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参选文件中提供业绩合同和验收证明材料扫描件，若合同或验收证明材料中无法体现合同签订时间、项目内容等关键评审因素的，须同时提供加盖业主（合同甲方）公章的证明材料扫描件，否则不得分。</w:t>
            </w:r>
          </w:p>
        </w:tc>
        <w:tc>
          <w:tcPr>
            <w:tcW w:w="1242" w:type="dxa"/>
            <w:noWrap w:val="0"/>
            <w:tcMar>
              <w:top w:w="0" w:type="dxa"/>
              <w:left w:w="108" w:type="dxa"/>
              <w:bottom w:w="0" w:type="dxa"/>
              <w:right w:w="108" w:type="dxa"/>
            </w:tcMar>
            <w:vAlign w:val="center"/>
          </w:tcPr>
          <w:p w14:paraId="5120040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w:t>
            </w:r>
            <w:r>
              <w:rPr>
                <w:rFonts w:hint="eastAsia" w:ascii="仿宋" w:hAnsi="仿宋" w:eastAsia="仿宋" w:cs="仿宋"/>
                <w:sz w:val="24"/>
                <w:szCs w:val="24"/>
                <w:lang w:val="en-US" w:eastAsia="zh-CN"/>
              </w:rPr>
              <w:t>15</w:t>
            </w:r>
            <w:r>
              <w:rPr>
                <w:rFonts w:hint="eastAsia" w:ascii="仿宋" w:hAnsi="仿宋" w:eastAsia="仿宋" w:cs="仿宋"/>
                <w:sz w:val="24"/>
                <w:szCs w:val="24"/>
              </w:rPr>
              <w:t>分</w:t>
            </w:r>
          </w:p>
        </w:tc>
      </w:tr>
      <w:tr w14:paraId="6839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vMerge w:val="continue"/>
            <w:noWrap w:val="0"/>
            <w:vAlign w:val="center"/>
          </w:tcPr>
          <w:p w14:paraId="6CD6CB7B">
            <w:pPr>
              <w:spacing w:line="360" w:lineRule="auto"/>
              <w:rPr>
                <w:rFonts w:hint="eastAsia" w:ascii="仿宋" w:hAnsi="仿宋" w:eastAsia="仿宋" w:cs="仿宋"/>
                <w:sz w:val="24"/>
                <w:szCs w:val="24"/>
              </w:rPr>
            </w:pPr>
          </w:p>
        </w:tc>
        <w:tc>
          <w:tcPr>
            <w:tcW w:w="1559" w:type="dxa"/>
            <w:noWrap w:val="0"/>
            <w:tcMar>
              <w:top w:w="0" w:type="dxa"/>
              <w:left w:w="108" w:type="dxa"/>
              <w:bottom w:w="0" w:type="dxa"/>
              <w:right w:w="108" w:type="dxa"/>
            </w:tcMar>
            <w:vAlign w:val="center"/>
          </w:tcPr>
          <w:p w14:paraId="392E361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项目经理实力</w:t>
            </w:r>
          </w:p>
        </w:tc>
        <w:tc>
          <w:tcPr>
            <w:tcW w:w="4820" w:type="dxa"/>
            <w:noWrap w:val="0"/>
            <w:tcMar>
              <w:top w:w="0" w:type="dxa"/>
              <w:left w:w="108" w:type="dxa"/>
              <w:bottom w:w="0" w:type="dxa"/>
              <w:right w:w="108" w:type="dxa"/>
            </w:tcMar>
            <w:vAlign w:val="center"/>
          </w:tcPr>
          <w:p w14:paraId="315C2C3D">
            <w:pPr>
              <w:spacing w:line="360" w:lineRule="auto"/>
              <w:rPr>
                <w:rFonts w:hint="eastAsia" w:ascii="仿宋" w:hAnsi="仿宋" w:eastAsia="仿宋" w:cs="仿宋"/>
                <w:sz w:val="24"/>
                <w:szCs w:val="24"/>
              </w:rPr>
            </w:pPr>
            <w:r>
              <w:rPr>
                <w:rFonts w:hint="eastAsia" w:ascii="仿宋" w:hAnsi="仿宋" w:eastAsia="仿宋" w:cs="仿宋"/>
                <w:sz w:val="24"/>
                <w:szCs w:val="24"/>
              </w:rPr>
              <w:t>拟配备的项目经理：</w:t>
            </w:r>
          </w:p>
          <w:p w14:paraId="42A4EE5E">
            <w:pPr>
              <w:spacing w:line="360" w:lineRule="auto"/>
              <w:rPr>
                <w:rFonts w:hint="eastAsia" w:ascii="仿宋" w:hAnsi="仿宋" w:eastAsia="仿宋" w:cs="仿宋"/>
                <w:sz w:val="24"/>
                <w:szCs w:val="24"/>
              </w:rPr>
            </w:pPr>
            <w:r>
              <w:rPr>
                <w:rFonts w:hint="eastAsia" w:ascii="仿宋" w:hAnsi="仿宋" w:eastAsia="仿宋" w:cs="仿宋"/>
                <w:sz w:val="24"/>
                <w:szCs w:val="24"/>
              </w:rPr>
              <w:t>具有建筑工程相关专业职称证书，中级的得2分，高级及以上的得4分。</w:t>
            </w:r>
          </w:p>
          <w:p w14:paraId="20D3DD06">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注：</w:t>
            </w:r>
          </w:p>
          <w:p w14:paraId="2E1859EA">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（1）参选文件中提供职称证书证书扫描件。</w:t>
            </w:r>
          </w:p>
          <w:p w14:paraId="04F78CE8">
            <w:pPr>
              <w:spacing w:line="360" w:lineRule="auto"/>
              <w:rPr>
                <w:rFonts w:hint="eastAsia" w:ascii="仿宋" w:hAnsi="仿宋" w:eastAsia="仿宋" w:cs="仿宋"/>
                <w:sz w:val="24"/>
                <w:szCs w:val="24"/>
              </w:rPr>
            </w:pPr>
            <w:r>
              <w:rPr>
                <w:rFonts w:hint="eastAsia" w:ascii="仿宋" w:hAnsi="仿宋" w:eastAsia="仿宋" w:cs="仿宋"/>
                <w:b/>
                <w:bCs/>
                <w:sz w:val="24"/>
                <w:szCs w:val="24"/>
              </w:rPr>
              <w:t>（2）参选文件中提供参选人为上述人员缴纳的</w:t>
            </w:r>
            <w:r>
              <w:rPr>
                <w:rFonts w:hint="eastAsia" w:ascii="仿宋" w:hAnsi="仿宋" w:eastAsia="仿宋" w:cs="仿宋"/>
                <w:b/>
                <w:bCs/>
                <w:sz w:val="24"/>
                <w:szCs w:val="24"/>
                <w:lang w:val="en-US" w:eastAsia="zh-CN"/>
              </w:rPr>
              <w:t>自2026年1月以来</w:t>
            </w:r>
            <w:r>
              <w:rPr>
                <w:rFonts w:hint="eastAsia" w:ascii="仿宋" w:hAnsi="仿宋" w:eastAsia="仿宋" w:cs="仿宋"/>
                <w:b/>
                <w:bCs/>
                <w:sz w:val="24"/>
                <w:szCs w:val="24"/>
              </w:rPr>
              <w:t>任意一个月</w:t>
            </w:r>
            <w:r>
              <w:rPr>
                <w:rFonts w:hint="eastAsia" w:ascii="仿宋" w:hAnsi="仿宋" w:eastAsia="仿宋" w:cs="仿宋"/>
                <w:b/>
                <w:bCs/>
                <w:sz w:val="24"/>
                <w:szCs w:val="24"/>
                <w:lang w:val="en-US" w:eastAsia="zh-CN"/>
              </w:rPr>
              <w:t>的</w:t>
            </w:r>
            <w:r>
              <w:rPr>
                <w:rFonts w:hint="eastAsia" w:ascii="仿宋" w:hAnsi="仿宋" w:eastAsia="仿宋" w:cs="仿宋"/>
                <w:b/>
                <w:bCs/>
                <w:sz w:val="24"/>
                <w:szCs w:val="24"/>
              </w:rPr>
              <w:t>社保证明材料扫描件，具体详见参选人须知前附表。社保证明提供任意五险之一即可。</w:t>
            </w:r>
          </w:p>
        </w:tc>
        <w:tc>
          <w:tcPr>
            <w:tcW w:w="1242" w:type="dxa"/>
            <w:noWrap w:val="0"/>
            <w:tcMar>
              <w:top w:w="0" w:type="dxa"/>
              <w:left w:w="108" w:type="dxa"/>
              <w:bottom w:w="0" w:type="dxa"/>
              <w:right w:w="108" w:type="dxa"/>
            </w:tcMar>
            <w:vAlign w:val="center"/>
          </w:tcPr>
          <w:p w14:paraId="645C5EF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0-4分</w:t>
            </w:r>
          </w:p>
        </w:tc>
      </w:tr>
      <w:tr w14:paraId="621A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vMerge w:val="continue"/>
            <w:noWrap w:val="0"/>
            <w:vAlign w:val="center"/>
          </w:tcPr>
          <w:p w14:paraId="52F8FFEF">
            <w:pPr>
              <w:spacing w:line="360" w:lineRule="auto"/>
              <w:rPr>
                <w:rFonts w:hint="eastAsia" w:ascii="仿宋" w:hAnsi="仿宋" w:eastAsia="仿宋" w:cs="仿宋"/>
                <w:sz w:val="24"/>
                <w:szCs w:val="24"/>
              </w:rPr>
            </w:pPr>
          </w:p>
        </w:tc>
        <w:tc>
          <w:tcPr>
            <w:tcW w:w="1559" w:type="dxa"/>
            <w:noWrap w:val="0"/>
            <w:tcMar>
              <w:top w:w="0" w:type="dxa"/>
              <w:left w:w="108" w:type="dxa"/>
              <w:bottom w:w="0" w:type="dxa"/>
              <w:right w:w="108" w:type="dxa"/>
            </w:tcMar>
            <w:vAlign w:val="center"/>
          </w:tcPr>
          <w:p w14:paraId="53F7DD69">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参选人管理体系认证</w:t>
            </w:r>
          </w:p>
        </w:tc>
        <w:tc>
          <w:tcPr>
            <w:tcW w:w="4820" w:type="dxa"/>
            <w:noWrap w:val="0"/>
            <w:tcMar>
              <w:top w:w="0" w:type="dxa"/>
              <w:left w:w="108" w:type="dxa"/>
              <w:bottom w:w="0" w:type="dxa"/>
              <w:right w:w="108" w:type="dxa"/>
            </w:tcMar>
            <w:vAlign w:val="center"/>
          </w:tcPr>
          <w:p w14:paraId="44303DF2">
            <w:pPr>
              <w:spacing w:line="360" w:lineRule="auto"/>
              <w:rPr>
                <w:rFonts w:hint="eastAsia" w:ascii="仿宋" w:hAnsi="仿宋" w:eastAsia="仿宋" w:cs="仿宋"/>
                <w:sz w:val="24"/>
                <w:szCs w:val="24"/>
              </w:rPr>
            </w:pPr>
            <w:r>
              <w:rPr>
                <w:rFonts w:hint="eastAsia" w:ascii="仿宋" w:hAnsi="仿宋" w:eastAsia="仿宋" w:cs="仿宋"/>
                <w:sz w:val="24"/>
                <w:szCs w:val="24"/>
              </w:rPr>
              <w:t>参选人具有经中国国家认证认可监督管理委员会认证机构颁发的有效期内的</w:t>
            </w:r>
          </w:p>
          <w:p w14:paraId="7815C193">
            <w:pPr>
              <w:spacing w:line="360" w:lineRule="auto"/>
              <w:rPr>
                <w:rFonts w:hint="eastAsia" w:ascii="仿宋" w:hAnsi="仿宋" w:eastAsia="仿宋" w:cs="仿宋"/>
                <w:sz w:val="24"/>
                <w:szCs w:val="24"/>
              </w:rPr>
            </w:pPr>
            <w:r>
              <w:rPr>
                <w:rFonts w:hint="eastAsia" w:ascii="仿宋" w:hAnsi="仿宋" w:eastAsia="仿宋" w:cs="仿宋"/>
                <w:sz w:val="24"/>
                <w:szCs w:val="24"/>
              </w:rPr>
              <w:t>1.质量管理体系认证证书；</w:t>
            </w:r>
          </w:p>
          <w:p w14:paraId="2BDC38E7">
            <w:pPr>
              <w:spacing w:line="360" w:lineRule="auto"/>
              <w:rPr>
                <w:rFonts w:hint="eastAsia" w:ascii="仿宋" w:hAnsi="仿宋" w:eastAsia="仿宋" w:cs="仿宋"/>
                <w:sz w:val="24"/>
                <w:szCs w:val="24"/>
              </w:rPr>
            </w:pPr>
            <w:r>
              <w:rPr>
                <w:rFonts w:hint="eastAsia" w:ascii="仿宋" w:hAnsi="仿宋" w:eastAsia="仿宋" w:cs="仿宋"/>
                <w:sz w:val="24"/>
                <w:szCs w:val="24"/>
              </w:rPr>
              <w:t>2.环境管理体系认证证书；</w:t>
            </w:r>
          </w:p>
          <w:p w14:paraId="2F88C571">
            <w:pPr>
              <w:spacing w:line="360" w:lineRule="auto"/>
              <w:rPr>
                <w:rFonts w:hint="eastAsia" w:ascii="仿宋" w:hAnsi="仿宋" w:eastAsia="仿宋" w:cs="仿宋"/>
                <w:sz w:val="24"/>
                <w:szCs w:val="24"/>
              </w:rPr>
            </w:pPr>
            <w:r>
              <w:rPr>
                <w:rFonts w:hint="eastAsia" w:ascii="仿宋" w:hAnsi="仿宋" w:eastAsia="仿宋" w:cs="仿宋"/>
                <w:sz w:val="24"/>
                <w:szCs w:val="24"/>
              </w:rPr>
              <w:t>3.职业健康安全管理体系认证证书；</w:t>
            </w:r>
          </w:p>
          <w:p w14:paraId="2B3B2307">
            <w:pPr>
              <w:spacing w:line="360" w:lineRule="auto"/>
              <w:rPr>
                <w:rFonts w:hint="eastAsia" w:ascii="仿宋" w:hAnsi="仿宋" w:eastAsia="仿宋" w:cs="仿宋"/>
                <w:sz w:val="24"/>
                <w:szCs w:val="24"/>
              </w:rPr>
            </w:pPr>
            <w:r>
              <w:rPr>
                <w:rFonts w:hint="eastAsia" w:ascii="仿宋" w:hAnsi="仿宋" w:eastAsia="仿宋" w:cs="仿宋"/>
                <w:sz w:val="24"/>
                <w:szCs w:val="24"/>
              </w:rPr>
              <w:t>每提供1个得2分，满分6分。</w:t>
            </w:r>
          </w:p>
          <w:p w14:paraId="6EB1A4AB">
            <w:pPr>
              <w:spacing w:line="360" w:lineRule="auto"/>
              <w:rPr>
                <w:rFonts w:hint="eastAsia" w:ascii="仿宋" w:hAnsi="仿宋" w:eastAsia="仿宋" w:cs="仿宋"/>
                <w:sz w:val="24"/>
                <w:szCs w:val="24"/>
              </w:rPr>
            </w:pPr>
            <w:r>
              <w:rPr>
                <w:rFonts w:hint="eastAsia" w:ascii="仿宋" w:hAnsi="仿宋" w:eastAsia="仿宋" w:cs="仿宋"/>
                <w:b/>
                <w:bCs/>
                <w:sz w:val="24"/>
                <w:szCs w:val="24"/>
              </w:rPr>
              <w:t>注：参选文件中同时提供证书扫描件及全国认证认可信息公共服务平台官网证书信息查询截图。</w:t>
            </w:r>
          </w:p>
        </w:tc>
        <w:tc>
          <w:tcPr>
            <w:tcW w:w="1242" w:type="dxa"/>
            <w:noWrap w:val="0"/>
            <w:tcMar>
              <w:top w:w="0" w:type="dxa"/>
              <w:left w:w="108" w:type="dxa"/>
              <w:bottom w:w="0" w:type="dxa"/>
              <w:right w:w="108" w:type="dxa"/>
            </w:tcMar>
            <w:vAlign w:val="center"/>
          </w:tcPr>
          <w:p w14:paraId="4BB6EA4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0-6分</w:t>
            </w:r>
          </w:p>
        </w:tc>
      </w:tr>
      <w:tr w14:paraId="5A50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13" w:type="dxa"/>
            <w:noWrap w:val="0"/>
            <w:tcMar>
              <w:top w:w="0" w:type="dxa"/>
              <w:left w:w="108" w:type="dxa"/>
              <w:bottom w:w="0" w:type="dxa"/>
              <w:right w:w="108" w:type="dxa"/>
            </w:tcMar>
            <w:vAlign w:val="center"/>
          </w:tcPr>
          <w:p w14:paraId="13E16D7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价格分</w:t>
            </w:r>
          </w:p>
          <w:p w14:paraId="0928CFE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（40分）</w:t>
            </w:r>
          </w:p>
        </w:tc>
        <w:tc>
          <w:tcPr>
            <w:tcW w:w="7621" w:type="dxa"/>
            <w:gridSpan w:val="3"/>
            <w:noWrap w:val="0"/>
            <w:tcMar>
              <w:top w:w="0" w:type="dxa"/>
              <w:left w:w="108" w:type="dxa"/>
              <w:bottom w:w="0" w:type="dxa"/>
              <w:right w:w="108" w:type="dxa"/>
            </w:tcMar>
            <w:vAlign w:val="center"/>
          </w:tcPr>
          <w:p w14:paraId="55E153EC">
            <w:pPr>
              <w:spacing w:line="360" w:lineRule="auto"/>
              <w:rPr>
                <w:rFonts w:hint="eastAsia" w:ascii="仿宋" w:hAnsi="仿宋" w:eastAsia="仿宋" w:cs="仿宋"/>
                <w:sz w:val="24"/>
                <w:szCs w:val="24"/>
              </w:rPr>
            </w:pPr>
            <w:r>
              <w:rPr>
                <w:rFonts w:hint="eastAsia" w:ascii="仿宋" w:hAnsi="仿宋" w:eastAsia="仿宋" w:cs="仿宋"/>
                <w:sz w:val="24"/>
                <w:szCs w:val="24"/>
              </w:rPr>
              <w:t>1.评审基准价（C）=各有效</w:t>
            </w:r>
            <w:r>
              <w:rPr>
                <w:rFonts w:hint="eastAsia" w:ascii="仿宋" w:hAnsi="仿宋" w:eastAsia="仿宋" w:cs="仿宋"/>
                <w:sz w:val="24"/>
                <w:szCs w:val="24"/>
                <w:lang w:val="en-US" w:eastAsia="zh-CN"/>
              </w:rPr>
              <w:t>参选人</w:t>
            </w:r>
            <w:r>
              <w:rPr>
                <w:rFonts w:hint="eastAsia" w:ascii="仿宋" w:hAnsi="仿宋" w:eastAsia="仿宋" w:cs="仿宋"/>
                <w:sz w:val="24"/>
                <w:szCs w:val="24"/>
              </w:rPr>
              <w:t>报价的算术平均值(如果有效的</w:t>
            </w:r>
            <w:r>
              <w:rPr>
                <w:rFonts w:hint="eastAsia" w:ascii="仿宋" w:hAnsi="仿宋" w:eastAsia="仿宋" w:cs="仿宋"/>
                <w:sz w:val="24"/>
                <w:szCs w:val="24"/>
                <w:lang w:val="en-US" w:eastAsia="zh-CN"/>
              </w:rPr>
              <w:t>参选人</w:t>
            </w:r>
            <w:r>
              <w:rPr>
                <w:rFonts w:hint="eastAsia" w:ascii="仿宋" w:hAnsi="仿宋" w:eastAsia="仿宋" w:cs="仿宋"/>
                <w:sz w:val="24"/>
                <w:szCs w:val="24"/>
              </w:rPr>
              <w:t>超过7家，则去除一个最高价和一个最低价，取剩余的有效</w:t>
            </w:r>
            <w:r>
              <w:rPr>
                <w:rFonts w:hint="eastAsia" w:ascii="仿宋" w:hAnsi="仿宋" w:eastAsia="仿宋" w:cs="仿宋"/>
                <w:sz w:val="24"/>
                <w:szCs w:val="24"/>
                <w:lang w:val="en-US" w:eastAsia="zh-CN"/>
              </w:rPr>
              <w:t>参选人</w:t>
            </w:r>
            <w:r>
              <w:rPr>
                <w:rFonts w:hint="eastAsia" w:ascii="仿宋" w:hAnsi="仿宋" w:eastAsia="仿宋" w:cs="仿宋"/>
                <w:sz w:val="24"/>
                <w:szCs w:val="24"/>
              </w:rPr>
              <w:t>的报价计算评审基准价)，保留两位有效数字，第三位四舍五入。</w:t>
            </w:r>
          </w:p>
          <w:p w14:paraId="6395DB3D">
            <w:pPr>
              <w:spacing w:line="360" w:lineRule="auto"/>
              <w:rPr>
                <w:rFonts w:hint="eastAsia" w:ascii="仿宋" w:hAnsi="仿宋" w:eastAsia="仿宋" w:cs="仿宋"/>
                <w:sz w:val="24"/>
                <w:szCs w:val="24"/>
              </w:rPr>
            </w:pPr>
            <w:r>
              <w:rPr>
                <w:rFonts w:hint="eastAsia" w:ascii="仿宋" w:hAnsi="仿宋" w:eastAsia="仿宋" w:cs="仿宋"/>
                <w:sz w:val="24"/>
                <w:szCs w:val="24"/>
              </w:rPr>
              <w:t>2.偏差率=</w:t>
            </w:r>
            <w:r>
              <w:rPr>
                <w:rFonts w:hint="eastAsia" w:ascii="仿宋" w:hAnsi="仿宋" w:eastAsia="仿宋" w:cs="仿宋"/>
                <w:sz w:val="24"/>
                <w:szCs w:val="24"/>
                <w:lang w:eastAsia="zh-CN"/>
              </w:rPr>
              <w:t>（</w:t>
            </w:r>
            <w:r>
              <w:rPr>
                <w:rFonts w:hint="eastAsia" w:ascii="仿宋" w:hAnsi="仿宋" w:eastAsia="仿宋" w:cs="仿宋"/>
                <w:sz w:val="24"/>
                <w:szCs w:val="24"/>
              </w:rPr>
              <w:t>有效报价-评审基准价</w:t>
            </w:r>
            <w:r>
              <w:rPr>
                <w:rFonts w:hint="eastAsia" w:ascii="仿宋" w:hAnsi="仿宋" w:eastAsia="仿宋" w:cs="仿宋"/>
                <w:sz w:val="24"/>
                <w:szCs w:val="24"/>
                <w:lang w:eastAsia="zh-CN"/>
              </w:rPr>
              <w:t>）</w:t>
            </w:r>
            <w:r>
              <w:rPr>
                <w:rFonts w:hint="eastAsia" w:ascii="仿宋" w:hAnsi="仿宋" w:eastAsia="仿宋" w:cs="仿宋"/>
                <w:sz w:val="24"/>
                <w:szCs w:val="24"/>
              </w:rPr>
              <w:t>/评审基准价*100%(百分号前数字保留小数点后两位，小数点后第三位四舍五入)。</w:t>
            </w:r>
          </w:p>
          <w:p w14:paraId="20BC16C6">
            <w:pPr>
              <w:spacing w:line="360" w:lineRule="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参选人</w:t>
            </w:r>
            <w:r>
              <w:rPr>
                <w:rFonts w:hint="eastAsia" w:ascii="仿宋" w:hAnsi="仿宋" w:eastAsia="仿宋" w:cs="仿宋"/>
                <w:sz w:val="24"/>
                <w:szCs w:val="24"/>
              </w:rPr>
              <w:t>报价（J）等于评审基准价（C）的得满分40分，每高于评审基准价1%扣0.5分，每低于评审基准价1%扣0.3分，分数扣完为止。不足1%的按插入法计算。附各</w:t>
            </w:r>
            <w:r>
              <w:rPr>
                <w:rFonts w:hint="eastAsia" w:ascii="仿宋" w:hAnsi="仿宋" w:eastAsia="仿宋" w:cs="仿宋"/>
                <w:sz w:val="24"/>
                <w:szCs w:val="24"/>
                <w:lang w:val="en-US" w:eastAsia="zh-CN"/>
              </w:rPr>
              <w:t>参选人</w:t>
            </w:r>
            <w:r>
              <w:rPr>
                <w:rFonts w:hint="eastAsia" w:ascii="仿宋" w:hAnsi="仿宋" w:eastAsia="仿宋" w:cs="仿宋"/>
                <w:sz w:val="24"/>
                <w:szCs w:val="24"/>
              </w:rPr>
              <w:t>得分计算公式如下(最终得分四舍五入保留 2位小数):</w:t>
            </w:r>
          </w:p>
          <w:p w14:paraId="27EECE74">
            <w:pPr>
              <w:spacing w:line="360" w:lineRule="auto"/>
              <w:rPr>
                <w:rFonts w:hint="eastAsia" w:ascii="仿宋" w:hAnsi="仿宋" w:eastAsia="仿宋" w:cs="仿宋"/>
                <w:sz w:val="24"/>
                <w:szCs w:val="24"/>
              </w:rPr>
            </w:pPr>
            <w:r>
              <w:rPr>
                <w:rFonts w:hint="eastAsia" w:ascii="仿宋" w:hAnsi="仿宋" w:eastAsia="仿宋" w:cs="仿宋"/>
                <w:sz w:val="24"/>
                <w:szCs w:val="24"/>
              </w:rPr>
              <w:t>（1）J=C时，价格得分=40;</w:t>
            </w:r>
          </w:p>
          <w:p w14:paraId="0455FB8D">
            <w:pPr>
              <w:spacing w:line="360" w:lineRule="auto"/>
              <w:rPr>
                <w:rFonts w:hint="eastAsia" w:ascii="仿宋" w:hAnsi="仿宋" w:eastAsia="仿宋" w:cs="仿宋"/>
                <w:sz w:val="24"/>
                <w:szCs w:val="24"/>
              </w:rPr>
            </w:pPr>
            <w:r>
              <w:rPr>
                <w:rFonts w:hint="eastAsia" w:ascii="仿宋" w:hAnsi="仿宋" w:eastAsia="仿宋" w:cs="仿宋"/>
                <w:sz w:val="24"/>
                <w:szCs w:val="24"/>
              </w:rPr>
              <w:t>（2）J&gt;C时，价格得分=40-50*(J-C)/C;</w:t>
            </w:r>
          </w:p>
          <w:p w14:paraId="52111D25">
            <w:pPr>
              <w:spacing w:line="360" w:lineRule="auto"/>
              <w:rPr>
                <w:rFonts w:hint="eastAsia" w:ascii="仿宋" w:hAnsi="仿宋" w:eastAsia="仿宋" w:cs="仿宋"/>
                <w:sz w:val="24"/>
                <w:szCs w:val="24"/>
              </w:rPr>
            </w:pPr>
            <w:r>
              <w:rPr>
                <w:rFonts w:hint="eastAsia" w:ascii="仿宋" w:hAnsi="仿宋" w:eastAsia="仿宋" w:cs="仿宋"/>
                <w:sz w:val="24"/>
                <w:szCs w:val="24"/>
              </w:rPr>
              <w:t>（3）J&lt;C时，价格得分=40-30*(C-J)/C。</w:t>
            </w:r>
          </w:p>
        </w:tc>
      </w:tr>
    </w:tbl>
    <w:p w14:paraId="11A18A23">
      <w:pPr>
        <w:wordWrap w:val="0"/>
        <w:spacing w:line="360" w:lineRule="auto"/>
        <w:ind w:firstLine="435"/>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3</w:t>
      </w:r>
      <w:r>
        <w:rPr>
          <w:rFonts w:hint="eastAsia" w:ascii="仿宋" w:hAnsi="仿宋" w:eastAsia="仿宋" w:cs="仿宋"/>
          <w:sz w:val="24"/>
          <w:szCs w:val="24"/>
        </w:rPr>
        <w:t>.3分值汇总</w:t>
      </w:r>
    </w:p>
    <w:p w14:paraId="74FFB0C1">
      <w:pPr>
        <w:pStyle w:val="2"/>
        <w:wordWrap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（1）技术资信评分</w:t>
      </w:r>
    </w:p>
    <w:p w14:paraId="38082F68">
      <w:pPr>
        <w:pStyle w:val="2"/>
        <w:wordWrap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比选小组</w:t>
      </w:r>
      <w:r>
        <w:rPr>
          <w:rFonts w:hint="eastAsia" w:ascii="仿宋" w:hAnsi="仿宋" w:eastAsia="仿宋" w:cs="仿宋"/>
          <w:sz w:val="24"/>
          <w:szCs w:val="24"/>
        </w:rPr>
        <w:t>各成员应当独立对每个有效响应的参选人的参选文件进行评价、打分，汇总各项评分因素的得分，得到该</w:t>
      </w:r>
      <w:r>
        <w:rPr>
          <w:rFonts w:hint="eastAsia" w:ascii="仿宋" w:hAnsi="仿宋" w:eastAsia="仿宋" w:cs="仿宋"/>
          <w:sz w:val="24"/>
          <w:szCs w:val="24"/>
          <w:lang w:eastAsia="zh-CN"/>
        </w:rPr>
        <w:t>比选小组</w:t>
      </w:r>
      <w:r>
        <w:rPr>
          <w:rFonts w:hint="eastAsia" w:ascii="仿宋" w:hAnsi="仿宋" w:eastAsia="仿宋" w:cs="仿宋"/>
          <w:sz w:val="24"/>
          <w:szCs w:val="24"/>
        </w:rPr>
        <w:t>成员对各有效响应参选人的技术资信分。取</w:t>
      </w:r>
      <w:r>
        <w:rPr>
          <w:rFonts w:hint="eastAsia" w:ascii="仿宋" w:hAnsi="仿宋" w:eastAsia="仿宋" w:cs="仿宋"/>
          <w:sz w:val="24"/>
          <w:szCs w:val="24"/>
          <w:lang w:eastAsia="zh-CN"/>
        </w:rPr>
        <w:t>比选小组</w:t>
      </w:r>
      <w:r>
        <w:rPr>
          <w:rFonts w:hint="eastAsia" w:ascii="仿宋" w:hAnsi="仿宋" w:eastAsia="仿宋" w:cs="仿宋"/>
          <w:sz w:val="24"/>
          <w:szCs w:val="24"/>
        </w:rPr>
        <w:t>各成员技术资信分之平均值（四舍五入保留至小数点后两位数），得到该参选人的技术资信分。</w:t>
      </w:r>
    </w:p>
    <w:p w14:paraId="6BB6A02F">
      <w:pPr>
        <w:wordWrap w:val="0"/>
        <w:spacing w:line="360" w:lineRule="auto"/>
        <w:ind w:firstLine="435"/>
        <w:jc w:val="left"/>
        <w:rPr>
          <w:rFonts w:hint="eastAsia" w:ascii="仿宋" w:hAnsi="仿宋" w:eastAsia="仿宋" w:cs="仿宋"/>
          <w:sz w:val="24"/>
          <w:szCs w:val="24"/>
        </w:rPr>
      </w:pPr>
      <w:r>
        <w:rPr>
          <w:rFonts w:hint="eastAsia" w:ascii="仿宋" w:hAnsi="仿宋" w:eastAsia="仿宋" w:cs="仿宋"/>
          <w:sz w:val="24"/>
          <w:szCs w:val="24"/>
        </w:rPr>
        <w:t>（2）综合总得分</w:t>
      </w:r>
    </w:p>
    <w:p w14:paraId="7450BAA8">
      <w:r>
        <w:rPr>
          <w:rFonts w:hint="eastAsia" w:ascii="仿宋" w:hAnsi="仿宋" w:eastAsia="仿宋" w:cs="仿宋"/>
          <w:sz w:val="24"/>
          <w:szCs w:val="24"/>
        </w:rPr>
        <w:t>将参选人的技术资信分加上根据上述标准计算出的价格分，即为该参选人的综合总得分。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3F5624"/>
    <w:rsid w:val="1B3F5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eastAsia="宋体" w:cs="Times New Roman"/>
    </w:r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Body Text First Indent"/>
    <w:basedOn w:val="3"/>
    <w:unhideWhenUsed/>
    <w:qFormat/>
    <w:uiPriority w:val="99"/>
    <w:pPr>
      <w:ind w:firstLine="420" w:firstLineChars="100"/>
    </w:p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2026-09-03T02:50:00Z</dcterms:created>
  <dc:creator>森</dc:creator>
  <cp:lastModifiedBy>森</cp:lastModifiedBy>
  <dcterms:modified xsi:type="dcterms:W3CDTF">2026-09-03T02:51:41Z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B15DF194969A45FEAA86460C9CCE749E_11</vt:lpwstr>
  </property>
  <property fmtid="{D5CDD505-2E9C-101B-9397-08002B2CF9AE}" pid="4" name="KSOTemplateDocerSaveRecord">
    <vt:lpwstr>eyJoZGlkIjoiOTc3M2Y5NzIzMDFlZjAyY2Q4Njk5ODkyYjFjNzBiNTQiLCJ1c2VySWQiOiI0MzAwMTYzNzkifQ==</vt:lpwstr>
  </property>
</Properties>
</file>