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98373">
      <w:pPr>
        <w:spacing w:line="360" w:lineRule="auto"/>
        <w:jc w:val="center"/>
        <w:outlineLvl w:val="1"/>
        <w:rPr>
          <w:rFonts w:hint="eastAsia" w:ascii="仿宋" w:hAnsi="仿宋" w:eastAsia="仿宋" w:cs="仿宋"/>
          <w:b/>
          <w:sz w:val="28"/>
        </w:rPr>
      </w:pPr>
      <w:bookmarkStart w:id="0" w:name="_Toc18464"/>
      <w:r>
        <w:rPr>
          <w:rFonts w:hint="eastAsia" w:ascii="仿宋" w:hAnsi="仿宋" w:eastAsia="仿宋" w:cs="仿宋"/>
          <w:b/>
          <w:sz w:val="28"/>
        </w:rPr>
        <w:t>采购需求</w:t>
      </w:r>
      <w:bookmarkEnd w:id="0"/>
    </w:p>
    <w:p w14:paraId="3D673B2C">
      <w:pPr>
        <w:spacing w:line="360" w:lineRule="auto"/>
        <w:jc w:val="left"/>
        <w:rPr>
          <w:rFonts w:hint="eastAsia" w:ascii="仿宋" w:hAnsi="仿宋" w:eastAsia="仿宋" w:cs="仿宋"/>
          <w:b/>
          <w:sz w:val="24"/>
          <w:szCs w:val="24"/>
        </w:rPr>
      </w:pPr>
      <w:r>
        <w:rPr>
          <w:rFonts w:hint="eastAsia" w:ascii="仿宋" w:hAnsi="仿宋" w:eastAsia="仿宋" w:cs="仿宋"/>
          <w:b/>
          <w:sz w:val="24"/>
          <w:szCs w:val="24"/>
        </w:rPr>
        <w:t>前注：</w:t>
      </w:r>
    </w:p>
    <w:p w14:paraId="754B48E2">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1.本说明中提出的技术方案仅为参考，如无明确限制，参选人可以进行优化，提供满足用户实际需要的更优（或者性能实质上不低于的）技术方案，且此方案须经评审小组评审认可；</w:t>
      </w:r>
    </w:p>
    <w:p w14:paraId="1036B3F3">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2.为鼓励不同品牌的充分竞争，如某设备的某技术参数或要求属于个别品牌专有，则该技术参数及要求不具有限制性，参选人可对该参数或要求进行适当调整，并应当说明调整的理由，且此调整须经评审小组评审认可；</w:t>
      </w:r>
    </w:p>
    <w:p w14:paraId="178500DF">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3.为有助于参选人选择参选产品，项目说明中可能提供了推荐品牌（或型号）、参考品牌（或型号）等，这些品牌（或型号）仅供参考，并无限制性。参选人可以选择性能不低于推荐（或参考）的品牌（或型号）的其他品牌产品，但比选时应当提供有关技术证明资料，未提供的可能导致响应无效；</w:t>
      </w:r>
    </w:p>
    <w:p w14:paraId="27265CEB">
      <w:pPr>
        <w:spacing w:line="360" w:lineRule="auto"/>
        <w:ind w:firstLine="437"/>
        <w:jc w:val="left"/>
        <w:rPr>
          <w:rFonts w:hint="eastAsia" w:ascii="仿宋" w:hAnsi="仿宋" w:eastAsia="仿宋" w:cs="仿宋"/>
          <w:b/>
          <w:sz w:val="24"/>
          <w:szCs w:val="24"/>
        </w:rPr>
      </w:pPr>
      <w:r>
        <w:rPr>
          <w:rFonts w:hint="eastAsia" w:ascii="仿宋" w:hAnsi="仿宋" w:eastAsia="仿宋" w:cs="仿宋"/>
          <w:sz w:val="24"/>
          <w:szCs w:val="24"/>
        </w:rPr>
        <w:t>4.下列采购需求中标注进口产品的货物均已履行相关论证手续，经核准采购进口产品，但不限制满足参选文件要求的国内产品参与竞争。未标注进口产品的货物均为拒绝采购进口产品。</w:t>
      </w:r>
      <w:r>
        <w:rPr>
          <w:rFonts w:hint="eastAsia" w:ascii="仿宋" w:hAnsi="仿宋" w:eastAsia="仿宋" w:cs="仿宋"/>
          <w:b/>
          <w:sz w:val="24"/>
          <w:szCs w:val="24"/>
        </w:rPr>
        <w:br w:type="page"/>
      </w:r>
      <w:r>
        <w:rPr>
          <w:rFonts w:hint="eastAsia" w:ascii="仿宋" w:hAnsi="仿宋" w:eastAsia="仿宋" w:cs="仿宋"/>
          <w:b/>
          <w:sz w:val="24"/>
          <w:szCs w:val="24"/>
        </w:rPr>
        <w:t xml:space="preserve">    一、采购需求前附表</w:t>
      </w:r>
    </w:p>
    <w:tbl>
      <w:tblPr>
        <w:tblStyle w:val="3"/>
        <w:tblW w:w="8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034"/>
        <w:gridCol w:w="5776"/>
      </w:tblGrid>
      <w:tr w14:paraId="735E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029E41C4">
            <w:pPr>
              <w:jc w:val="center"/>
              <w:rPr>
                <w:rFonts w:hint="eastAsia" w:ascii="仿宋" w:hAnsi="仿宋" w:eastAsia="仿宋" w:cs="仿宋"/>
                <w:b/>
                <w:sz w:val="24"/>
              </w:rPr>
            </w:pPr>
            <w:r>
              <w:rPr>
                <w:rFonts w:hint="eastAsia" w:ascii="仿宋" w:hAnsi="仿宋" w:eastAsia="仿宋" w:cs="仿宋"/>
                <w:b/>
                <w:sz w:val="24"/>
              </w:rPr>
              <w:t>序号</w:t>
            </w:r>
          </w:p>
        </w:tc>
        <w:tc>
          <w:tcPr>
            <w:tcW w:w="2034" w:type="dxa"/>
            <w:noWrap w:val="0"/>
            <w:vAlign w:val="center"/>
          </w:tcPr>
          <w:p w14:paraId="1D9C2063">
            <w:pPr>
              <w:spacing w:line="360" w:lineRule="auto"/>
              <w:jc w:val="center"/>
              <w:rPr>
                <w:rFonts w:hint="eastAsia" w:ascii="仿宋" w:hAnsi="仿宋" w:eastAsia="仿宋" w:cs="仿宋"/>
                <w:b/>
                <w:kern w:val="0"/>
                <w:sz w:val="24"/>
                <w:szCs w:val="28"/>
              </w:rPr>
            </w:pPr>
            <w:r>
              <w:rPr>
                <w:rFonts w:hint="eastAsia" w:ascii="仿宋" w:hAnsi="仿宋" w:eastAsia="仿宋" w:cs="仿宋"/>
                <w:b/>
                <w:kern w:val="0"/>
                <w:sz w:val="24"/>
                <w:szCs w:val="28"/>
              </w:rPr>
              <w:t>条款名称</w:t>
            </w:r>
          </w:p>
        </w:tc>
        <w:tc>
          <w:tcPr>
            <w:tcW w:w="5776" w:type="dxa"/>
            <w:noWrap w:val="0"/>
            <w:vAlign w:val="center"/>
          </w:tcPr>
          <w:p w14:paraId="09D5EFE3">
            <w:pPr>
              <w:spacing w:line="360" w:lineRule="auto"/>
              <w:jc w:val="center"/>
              <w:rPr>
                <w:rFonts w:hint="eastAsia" w:ascii="仿宋" w:hAnsi="仿宋" w:eastAsia="仿宋" w:cs="仿宋"/>
                <w:b/>
                <w:kern w:val="0"/>
                <w:sz w:val="24"/>
                <w:szCs w:val="28"/>
              </w:rPr>
            </w:pPr>
            <w:r>
              <w:rPr>
                <w:rFonts w:hint="eastAsia" w:ascii="仿宋" w:hAnsi="仿宋" w:eastAsia="仿宋" w:cs="仿宋"/>
                <w:b/>
                <w:kern w:val="0"/>
                <w:sz w:val="24"/>
                <w:szCs w:val="28"/>
              </w:rPr>
              <w:t>内容、说明与要求</w:t>
            </w:r>
          </w:p>
        </w:tc>
      </w:tr>
      <w:tr w14:paraId="4DCA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05EA8CCD">
            <w:pPr>
              <w:jc w:val="center"/>
              <w:rPr>
                <w:rFonts w:hint="eastAsia" w:ascii="仿宋" w:hAnsi="仿宋" w:eastAsia="仿宋" w:cs="仿宋"/>
                <w:bCs/>
                <w:sz w:val="24"/>
              </w:rPr>
            </w:pPr>
            <w:r>
              <w:rPr>
                <w:rFonts w:hint="eastAsia" w:ascii="仿宋" w:hAnsi="仿宋" w:eastAsia="仿宋" w:cs="仿宋"/>
                <w:bCs/>
                <w:sz w:val="24"/>
              </w:rPr>
              <w:t>1</w:t>
            </w:r>
          </w:p>
        </w:tc>
        <w:tc>
          <w:tcPr>
            <w:tcW w:w="2034" w:type="dxa"/>
            <w:noWrap w:val="0"/>
            <w:vAlign w:val="center"/>
          </w:tcPr>
          <w:p w14:paraId="0CF173C4">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付款方式</w:t>
            </w:r>
          </w:p>
        </w:tc>
        <w:tc>
          <w:tcPr>
            <w:tcW w:w="5776" w:type="dxa"/>
            <w:noWrap w:val="0"/>
            <w:vAlign w:val="center"/>
          </w:tcPr>
          <w:p w14:paraId="3E17C38A">
            <w:pPr>
              <w:spacing w:line="360" w:lineRule="auto"/>
              <w:jc w:val="left"/>
              <w:rPr>
                <w:rFonts w:hint="eastAsia" w:ascii="仿宋" w:hAnsi="仿宋" w:eastAsia="仿宋" w:cs="仿宋"/>
                <w:bCs/>
                <w:kern w:val="0"/>
                <w:sz w:val="24"/>
                <w:lang w:eastAsia="zh-CN"/>
              </w:rPr>
            </w:pPr>
            <w:r>
              <w:rPr>
                <w:rFonts w:hint="eastAsia" w:ascii="仿宋" w:hAnsi="仿宋" w:eastAsia="仿宋" w:cs="仿宋"/>
                <w:bCs/>
                <w:kern w:val="0"/>
                <w:sz w:val="24"/>
                <w:lang w:eastAsia="zh-CN"/>
              </w:rPr>
              <w:t>供货完成并验收合格后支付总价款的100%。</w:t>
            </w:r>
          </w:p>
        </w:tc>
      </w:tr>
      <w:tr w14:paraId="54B5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79852FC4">
            <w:pPr>
              <w:jc w:val="center"/>
              <w:rPr>
                <w:rFonts w:hint="eastAsia" w:ascii="仿宋" w:hAnsi="仿宋" w:eastAsia="仿宋" w:cs="仿宋"/>
                <w:bCs/>
                <w:sz w:val="24"/>
              </w:rPr>
            </w:pPr>
            <w:r>
              <w:rPr>
                <w:rFonts w:hint="eastAsia" w:ascii="仿宋" w:hAnsi="仿宋" w:eastAsia="仿宋" w:cs="仿宋"/>
                <w:bCs/>
                <w:sz w:val="24"/>
              </w:rPr>
              <w:t>2</w:t>
            </w:r>
          </w:p>
        </w:tc>
        <w:tc>
          <w:tcPr>
            <w:tcW w:w="2034" w:type="dxa"/>
            <w:noWrap w:val="0"/>
            <w:vAlign w:val="center"/>
          </w:tcPr>
          <w:p w14:paraId="327E1A93">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供货及安装地点</w:t>
            </w:r>
          </w:p>
        </w:tc>
        <w:tc>
          <w:tcPr>
            <w:tcW w:w="5776" w:type="dxa"/>
            <w:noWrap w:val="0"/>
            <w:vAlign w:val="center"/>
          </w:tcPr>
          <w:p w14:paraId="4EA91DB9">
            <w:pPr>
              <w:spacing w:line="360" w:lineRule="auto"/>
              <w:jc w:val="left"/>
              <w:rPr>
                <w:rFonts w:hint="default" w:ascii="仿宋" w:hAnsi="仿宋" w:eastAsia="仿宋" w:cs="仿宋"/>
                <w:sz w:val="24"/>
                <w:lang w:val="en-US" w:eastAsia="zh-CN"/>
              </w:rPr>
            </w:pPr>
            <w:r>
              <w:rPr>
                <w:rFonts w:hint="eastAsia" w:ascii="仿宋" w:hAnsi="仿宋" w:eastAsia="仿宋" w:cs="仿宋"/>
                <w:color w:val="auto"/>
                <w:sz w:val="24"/>
                <w:szCs w:val="24"/>
              </w:rPr>
              <w:t>安徽医科大学杏林路校区</w:t>
            </w:r>
            <w:r>
              <w:rPr>
                <w:rFonts w:hint="eastAsia" w:ascii="仿宋" w:hAnsi="仿宋" w:eastAsia="仿宋" w:cs="仿宋"/>
                <w:color w:val="auto"/>
                <w:sz w:val="24"/>
                <w:szCs w:val="24"/>
                <w:lang w:val="en-US" w:eastAsia="zh-CN"/>
              </w:rPr>
              <w:t>体育中心</w:t>
            </w:r>
          </w:p>
        </w:tc>
      </w:tr>
      <w:tr w14:paraId="4AC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55230E23">
            <w:pPr>
              <w:jc w:val="center"/>
              <w:rPr>
                <w:rFonts w:hint="eastAsia" w:ascii="仿宋" w:hAnsi="仿宋" w:eastAsia="仿宋" w:cs="仿宋"/>
                <w:bCs/>
                <w:sz w:val="24"/>
              </w:rPr>
            </w:pPr>
            <w:r>
              <w:rPr>
                <w:rFonts w:hint="eastAsia" w:ascii="仿宋" w:hAnsi="仿宋" w:eastAsia="仿宋" w:cs="仿宋"/>
                <w:bCs/>
                <w:sz w:val="24"/>
              </w:rPr>
              <w:t>3</w:t>
            </w:r>
          </w:p>
        </w:tc>
        <w:tc>
          <w:tcPr>
            <w:tcW w:w="2034" w:type="dxa"/>
            <w:noWrap w:val="0"/>
            <w:vAlign w:val="center"/>
          </w:tcPr>
          <w:p w14:paraId="423D771B">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供货及安装期限</w:t>
            </w:r>
          </w:p>
        </w:tc>
        <w:tc>
          <w:tcPr>
            <w:tcW w:w="5776" w:type="dxa"/>
            <w:noWrap w:val="0"/>
            <w:vAlign w:val="center"/>
          </w:tcPr>
          <w:p w14:paraId="18D19FA8">
            <w:pPr>
              <w:spacing w:line="360" w:lineRule="auto"/>
              <w:jc w:val="left"/>
              <w:rPr>
                <w:rFonts w:hint="eastAsia" w:ascii="仿宋" w:hAnsi="仿宋" w:eastAsia="仿宋" w:cs="仿宋"/>
                <w:sz w:val="24"/>
              </w:rPr>
            </w:pPr>
            <w:r>
              <w:rPr>
                <w:rFonts w:hint="eastAsia" w:ascii="仿宋" w:hAnsi="仿宋" w:eastAsia="仿宋" w:cs="仿宋"/>
                <w:sz w:val="24"/>
                <w:szCs w:val="24"/>
                <w:lang w:eastAsia="zh-CN"/>
              </w:rPr>
              <w:t>合同生效后</w:t>
            </w:r>
            <w:r>
              <w:rPr>
                <w:rFonts w:hint="eastAsia" w:ascii="仿宋" w:hAnsi="仿宋" w:eastAsia="仿宋" w:cs="仿宋"/>
                <w:sz w:val="24"/>
                <w:szCs w:val="24"/>
                <w:lang w:val="en-US" w:eastAsia="zh-CN"/>
              </w:rPr>
              <w:t>40天</w:t>
            </w:r>
            <w:r>
              <w:rPr>
                <w:rFonts w:hint="eastAsia" w:ascii="仿宋" w:hAnsi="仿宋" w:eastAsia="仿宋" w:cs="仿宋"/>
                <w:sz w:val="24"/>
                <w:szCs w:val="24"/>
                <w:lang w:eastAsia="zh-CN"/>
              </w:rPr>
              <w:t>内完成供货安装。</w:t>
            </w:r>
          </w:p>
        </w:tc>
      </w:tr>
      <w:tr w14:paraId="376D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3" w:type="dxa"/>
            <w:noWrap w:val="0"/>
            <w:vAlign w:val="center"/>
          </w:tcPr>
          <w:p w14:paraId="2CF76508">
            <w:pPr>
              <w:jc w:val="center"/>
              <w:rPr>
                <w:rFonts w:hint="eastAsia" w:ascii="仿宋" w:hAnsi="仿宋" w:eastAsia="仿宋" w:cs="仿宋"/>
                <w:bCs/>
                <w:sz w:val="24"/>
              </w:rPr>
            </w:pPr>
            <w:r>
              <w:rPr>
                <w:rFonts w:hint="eastAsia" w:ascii="仿宋" w:hAnsi="仿宋" w:eastAsia="仿宋" w:cs="仿宋"/>
                <w:bCs/>
                <w:sz w:val="24"/>
              </w:rPr>
              <w:t>4</w:t>
            </w:r>
          </w:p>
        </w:tc>
        <w:tc>
          <w:tcPr>
            <w:tcW w:w="2034" w:type="dxa"/>
            <w:noWrap w:val="0"/>
            <w:vAlign w:val="center"/>
          </w:tcPr>
          <w:p w14:paraId="303C243E">
            <w:pPr>
              <w:spacing w:line="360" w:lineRule="auto"/>
              <w:jc w:val="center"/>
              <w:rPr>
                <w:rFonts w:hint="eastAsia" w:ascii="仿宋" w:hAnsi="仿宋" w:eastAsia="仿宋" w:cs="仿宋"/>
                <w:bCs/>
                <w:kern w:val="0"/>
                <w:sz w:val="24"/>
                <w:szCs w:val="28"/>
              </w:rPr>
            </w:pPr>
            <w:r>
              <w:rPr>
                <w:rFonts w:hint="eastAsia" w:ascii="仿宋" w:hAnsi="仿宋" w:eastAsia="仿宋" w:cs="仿宋"/>
                <w:bCs/>
                <w:kern w:val="0"/>
                <w:sz w:val="24"/>
                <w:szCs w:val="28"/>
              </w:rPr>
              <w:t>免费质保期</w:t>
            </w:r>
          </w:p>
        </w:tc>
        <w:tc>
          <w:tcPr>
            <w:tcW w:w="5776" w:type="dxa"/>
            <w:noWrap w:val="0"/>
            <w:vAlign w:val="center"/>
          </w:tcPr>
          <w:p w14:paraId="6AF4C7DC">
            <w:pPr>
              <w:spacing w:line="360" w:lineRule="auto"/>
              <w:jc w:val="left"/>
              <w:rPr>
                <w:rFonts w:hint="eastAsia" w:ascii="仿宋" w:hAnsi="仿宋" w:eastAsia="仿宋" w:cs="仿宋"/>
                <w:sz w:val="24"/>
              </w:rPr>
            </w:pPr>
            <w:r>
              <w:rPr>
                <w:rFonts w:hint="eastAsia" w:ascii="仿宋" w:hAnsi="仿宋" w:eastAsia="仿宋" w:cs="仿宋"/>
                <w:sz w:val="24"/>
                <w:szCs w:val="24"/>
              </w:rPr>
              <w:t>自验收合格之日起</w:t>
            </w:r>
            <w:r>
              <w:rPr>
                <w:rFonts w:hint="eastAsia" w:ascii="仿宋" w:hAnsi="仿宋" w:eastAsia="仿宋" w:cs="仿宋"/>
                <w:sz w:val="24"/>
                <w:szCs w:val="24"/>
                <w:lang w:val="en-US" w:eastAsia="zh-CN"/>
              </w:rPr>
              <w:t>不少于5</w:t>
            </w:r>
            <w:r>
              <w:rPr>
                <w:rFonts w:hint="eastAsia" w:ascii="仿宋" w:hAnsi="仿宋" w:eastAsia="仿宋" w:cs="仿宋"/>
                <w:sz w:val="24"/>
              </w:rPr>
              <w:t>年。</w:t>
            </w:r>
            <w:r>
              <w:rPr>
                <w:rFonts w:hint="eastAsia" w:ascii="仿宋" w:hAnsi="仿宋" w:eastAsia="仿宋" w:cs="仿宋"/>
                <w:b/>
                <w:kern w:val="0"/>
                <w:sz w:val="24"/>
                <w:szCs w:val="28"/>
              </w:rPr>
              <w:t>货物需求中另有要求的，以采购需求为准。</w:t>
            </w:r>
          </w:p>
        </w:tc>
      </w:tr>
    </w:tbl>
    <w:p w14:paraId="1E27462C">
      <w:pPr>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二、货物需求</w:t>
      </w:r>
    </w:p>
    <w:p w14:paraId="6840D867">
      <w:pPr>
        <w:widowControl/>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（一）货物指标要求</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235"/>
        <w:gridCol w:w="5412"/>
      </w:tblGrid>
      <w:tr w14:paraId="07F0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pct"/>
            <w:vAlign w:val="center"/>
          </w:tcPr>
          <w:p w14:paraId="464C72D6">
            <w:pPr>
              <w:widowControl/>
              <w:spacing w:before="100" w:beforeAutospacing="1" w:after="100" w:afterAutospacing="1"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标识重要性</w:t>
            </w:r>
          </w:p>
        </w:tc>
        <w:tc>
          <w:tcPr>
            <w:tcW w:w="725" w:type="pct"/>
            <w:vAlign w:val="center"/>
          </w:tcPr>
          <w:p w14:paraId="38BEF6F4">
            <w:pPr>
              <w:widowControl/>
              <w:spacing w:before="100" w:beforeAutospacing="1" w:after="100" w:afterAutospacing="1"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标识符号</w:t>
            </w:r>
          </w:p>
        </w:tc>
        <w:tc>
          <w:tcPr>
            <w:tcW w:w="3176" w:type="pct"/>
            <w:vAlign w:val="center"/>
          </w:tcPr>
          <w:p w14:paraId="22B95536">
            <w:pPr>
              <w:widowControl/>
              <w:spacing w:before="100" w:beforeAutospacing="1" w:after="100" w:afterAutospacing="1" w:line="440" w:lineRule="exact"/>
              <w:ind w:firstLine="480"/>
              <w:jc w:val="center"/>
              <w:rPr>
                <w:rFonts w:hint="eastAsia" w:ascii="仿宋" w:hAnsi="仿宋" w:eastAsia="仿宋" w:cs="仿宋"/>
                <w:b/>
                <w:kern w:val="0"/>
                <w:sz w:val="24"/>
                <w:szCs w:val="24"/>
              </w:rPr>
            </w:pPr>
            <w:r>
              <w:rPr>
                <w:rFonts w:hint="eastAsia" w:ascii="仿宋" w:hAnsi="仿宋" w:eastAsia="仿宋" w:cs="仿宋"/>
                <w:b/>
                <w:kern w:val="0"/>
                <w:sz w:val="24"/>
                <w:szCs w:val="24"/>
              </w:rPr>
              <w:t>代表意思</w:t>
            </w:r>
          </w:p>
        </w:tc>
      </w:tr>
      <w:tr w14:paraId="5D94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pct"/>
            <w:vAlign w:val="center"/>
          </w:tcPr>
          <w:p w14:paraId="63F94735">
            <w:pPr>
              <w:widowControl/>
              <w:spacing w:before="100" w:beforeAutospacing="1" w:after="100" w:afterAutospacing="1"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关键指标项</w:t>
            </w:r>
          </w:p>
        </w:tc>
        <w:tc>
          <w:tcPr>
            <w:tcW w:w="725" w:type="pct"/>
            <w:vAlign w:val="center"/>
          </w:tcPr>
          <w:p w14:paraId="19F7E97C">
            <w:pPr>
              <w:widowControl/>
              <w:spacing w:before="100" w:beforeAutospacing="1" w:after="100" w:afterAutospacing="1" w:line="44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3176" w:type="pct"/>
            <w:vAlign w:val="center"/>
          </w:tcPr>
          <w:p w14:paraId="26E28D42">
            <w:pPr>
              <w:widowControl/>
              <w:spacing w:before="100" w:beforeAutospacing="1" w:after="100" w:afterAutospacing="1" w:line="440" w:lineRule="exact"/>
              <w:ind w:firstLine="480"/>
              <w:jc w:val="center"/>
              <w:rPr>
                <w:rFonts w:hint="eastAsia" w:ascii="仿宋" w:hAnsi="仿宋" w:eastAsia="仿宋" w:cs="仿宋"/>
                <w:b w:val="0"/>
                <w:bCs w:val="0"/>
                <w:kern w:val="0"/>
                <w:sz w:val="24"/>
                <w:szCs w:val="24"/>
              </w:rPr>
            </w:pPr>
            <w:r>
              <w:rPr>
                <w:rFonts w:hint="eastAsia" w:ascii="仿宋" w:hAnsi="仿宋" w:eastAsia="仿宋" w:cs="仿宋"/>
                <w:b w:val="0"/>
                <w:bCs w:val="0"/>
                <w:kern w:val="0"/>
                <w:sz w:val="24"/>
                <w:szCs w:val="24"/>
              </w:rPr>
              <w:t>作为评分项，详见评分细则</w:t>
            </w:r>
          </w:p>
        </w:tc>
      </w:tr>
      <w:tr w14:paraId="7294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8" w:type="pct"/>
            <w:vAlign w:val="center"/>
          </w:tcPr>
          <w:p w14:paraId="422658D9">
            <w:pPr>
              <w:widowControl/>
              <w:spacing w:before="100" w:beforeAutospacing="1" w:after="100" w:afterAutospacing="1"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重要指标项</w:t>
            </w:r>
          </w:p>
        </w:tc>
        <w:tc>
          <w:tcPr>
            <w:tcW w:w="725" w:type="pct"/>
            <w:vAlign w:val="center"/>
          </w:tcPr>
          <w:p w14:paraId="70D123D7">
            <w:pPr>
              <w:widowControl/>
              <w:spacing w:before="100" w:beforeAutospacing="1" w:after="100" w:afterAutospacing="1" w:line="440" w:lineRule="exact"/>
              <w:ind w:firstLine="480"/>
              <w:rPr>
                <w:rFonts w:hint="eastAsia" w:ascii="仿宋" w:hAnsi="仿宋" w:eastAsia="仿宋" w:cs="仿宋"/>
                <w:kern w:val="0"/>
                <w:sz w:val="24"/>
                <w:szCs w:val="24"/>
              </w:rPr>
            </w:pPr>
            <w:r>
              <w:rPr>
                <w:rFonts w:hint="eastAsia" w:ascii="仿宋" w:hAnsi="仿宋" w:eastAsia="仿宋" w:cs="仿宋"/>
                <w:kern w:val="0"/>
                <w:sz w:val="24"/>
                <w:szCs w:val="24"/>
              </w:rPr>
              <w:t>●</w:t>
            </w:r>
          </w:p>
        </w:tc>
        <w:tc>
          <w:tcPr>
            <w:tcW w:w="3176" w:type="pct"/>
            <w:vAlign w:val="center"/>
          </w:tcPr>
          <w:p w14:paraId="5B2EB2F3">
            <w:pPr>
              <w:widowControl/>
              <w:spacing w:before="100" w:beforeAutospacing="1" w:after="100" w:afterAutospacing="1" w:line="440" w:lineRule="exact"/>
              <w:ind w:firstLine="480"/>
              <w:jc w:val="center"/>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作为评分项，详见评分细则</w:t>
            </w:r>
          </w:p>
        </w:tc>
      </w:tr>
      <w:tr w14:paraId="45E9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098" w:type="pct"/>
            <w:vAlign w:val="center"/>
          </w:tcPr>
          <w:p w14:paraId="32A6B109">
            <w:pPr>
              <w:widowControl/>
              <w:spacing w:before="100" w:beforeAutospacing="1" w:after="100" w:afterAutospacing="1" w:line="440" w:lineRule="exact"/>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val="en-US" w:eastAsia="zh-CN"/>
              </w:rPr>
              <w:t>无标识项</w:t>
            </w:r>
          </w:p>
        </w:tc>
        <w:tc>
          <w:tcPr>
            <w:tcW w:w="725" w:type="pct"/>
            <w:vAlign w:val="center"/>
          </w:tcPr>
          <w:p w14:paraId="3841EDF1">
            <w:pPr>
              <w:widowControl/>
              <w:spacing w:before="100" w:beforeAutospacing="1" w:after="100" w:afterAutospacing="1" w:line="440" w:lineRule="exact"/>
              <w:ind w:firstLine="480"/>
              <w:jc w:val="left"/>
              <w:rPr>
                <w:rFonts w:hint="eastAsia" w:ascii="仿宋" w:hAnsi="仿宋" w:eastAsia="仿宋" w:cs="仿宋"/>
                <w:kern w:val="0"/>
                <w:sz w:val="24"/>
                <w:szCs w:val="24"/>
              </w:rPr>
            </w:pPr>
          </w:p>
        </w:tc>
        <w:tc>
          <w:tcPr>
            <w:tcW w:w="3176" w:type="pct"/>
            <w:vAlign w:val="center"/>
          </w:tcPr>
          <w:p w14:paraId="16C35BE4">
            <w:pPr>
              <w:widowControl/>
              <w:spacing w:before="100" w:beforeAutospacing="1" w:after="100" w:afterAutospacing="1" w:line="440" w:lineRule="exact"/>
              <w:jc w:val="both"/>
              <w:rPr>
                <w:rFonts w:hint="eastAsia"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无标识项作为基础指标项，超过8条及以上</w:t>
            </w:r>
            <w:r>
              <w:rPr>
                <w:rFonts w:hint="default" w:ascii="仿宋" w:hAnsi="仿宋" w:eastAsia="仿宋" w:cs="仿宋"/>
                <w:b w:val="0"/>
                <w:bCs w:val="0"/>
                <w:kern w:val="0"/>
                <w:sz w:val="24"/>
                <w:szCs w:val="24"/>
                <w:lang w:val="en-US" w:eastAsia="zh-CN"/>
              </w:rPr>
              <w:t>（含</w:t>
            </w:r>
            <w:r>
              <w:rPr>
                <w:rFonts w:hint="eastAsia" w:ascii="仿宋" w:hAnsi="仿宋" w:eastAsia="仿宋" w:cs="仿宋"/>
                <w:b w:val="0"/>
                <w:bCs w:val="0"/>
                <w:kern w:val="0"/>
                <w:sz w:val="24"/>
                <w:szCs w:val="24"/>
                <w:lang w:val="en-US" w:eastAsia="zh-CN"/>
              </w:rPr>
              <w:t>8</w:t>
            </w:r>
            <w:r>
              <w:rPr>
                <w:rFonts w:hint="default" w:ascii="仿宋" w:hAnsi="仿宋" w:eastAsia="仿宋" w:cs="仿宋"/>
                <w:b w:val="0"/>
                <w:bCs w:val="0"/>
                <w:kern w:val="0"/>
                <w:sz w:val="24"/>
                <w:szCs w:val="24"/>
                <w:lang w:val="en-US" w:eastAsia="zh-CN"/>
              </w:rPr>
              <w:t>条）</w:t>
            </w:r>
            <w:r>
              <w:rPr>
                <w:rFonts w:hint="eastAsia" w:ascii="仿宋" w:hAnsi="仿宋" w:eastAsia="仿宋" w:cs="仿宋"/>
                <w:b w:val="0"/>
                <w:bCs w:val="0"/>
                <w:kern w:val="0"/>
                <w:sz w:val="24"/>
                <w:szCs w:val="24"/>
                <w:lang w:val="en-US" w:eastAsia="zh-CN"/>
              </w:rPr>
              <w:t>负偏离或未响应将导致参选无效。</w:t>
            </w:r>
          </w:p>
        </w:tc>
      </w:tr>
      <w:tr w14:paraId="3F50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5000" w:type="pct"/>
            <w:gridSpan w:val="3"/>
            <w:vAlign w:val="center"/>
          </w:tcPr>
          <w:p w14:paraId="4642BF81">
            <w:pPr>
              <w:widowControl/>
              <w:spacing w:line="360" w:lineRule="auto"/>
              <w:jc w:val="left"/>
              <w:rPr>
                <w:rFonts w:hint="eastAsia" w:ascii="仿宋" w:hAnsi="仿宋" w:eastAsia="仿宋" w:cs="仿宋"/>
                <w:b/>
                <w:sz w:val="24"/>
                <w:szCs w:val="24"/>
              </w:rPr>
            </w:pPr>
            <w:r>
              <w:rPr>
                <w:rFonts w:hint="eastAsia" w:ascii="仿宋" w:hAnsi="仿宋" w:eastAsia="仿宋" w:cs="仿宋"/>
                <w:b/>
                <w:sz w:val="24"/>
                <w:szCs w:val="24"/>
              </w:rPr>
              <w:t>注：</w:t>
            </w:r>
          </w:p>
          <w:p w14:paraId="12B4AE14">
            <w:pPr>
              <w:widowControl/>
              <w:spacing w:line="360" w:lineRule="auto"/>
              <w:jc w:val="left"/>
              <w:rPr>
                <w:rFonts w:hint="eastAsia" w:ascii="仿宋" w:hAnsi="仿宋" w:eastAsia="仿宋" w:cs="仿宋"/>
                <w:b/>
                <w:color w:val="000000"/>
                <w:sz w:val="24"/>
                <w:szCs w:val="24"/>
                <w:lang w:val="zh-CN"/>
              </w:rPr>
            </w:pPr>
            <w:r>
              <w:rPr>
                <w:rFonts w:hint="eastAsia" w:ascii="仿宋" w:hAnsi="仿宋" w:eastAsia="仿宋" w:cs="仿宋"/>
                <w:b/>
                <w:bCs/>
                <w:color w:val="000000"/>
                <w:sz w:val="24"/>
                <w:szCs w:val="24"/>
              </w:rPr>
              <w:t>（1）针对下表中</w:t>
            </w:r>
            <w:r>
              <w:rPr>
                <w:rFonts w:hint="eastAsia" w:ascii="仿宋" w:hAnsi="仿宋" w:eastAsia="仿宋" w:cs="仿宋"/>
                <w:b/>
                <w:color w:val="000000"/>
                <w:sz w:val="24"/>
                <w:szCs w:val="24"/>
                <w:lang w:val="zh-CN"/>
              </w:rPr>
              <w:t>标</w:t>
            </w:r>
            <w:r>
              <w:rPr>
                <w:rFonts w:hint="eastAsia" w:ascii="仿宋" w:hAnsi="仿宋" w:eastAsia="仿宋" w:cs="仿宋"/>
                <w:b/>
                <w:color w:val="000000"/>
                <w:sz w:val="24"/>
                <w:szCs w:val="24"/>
                <w:lang w:val="en-US" w:eastAsia="zh-CN"/>
              </w:rPr>
              <w:t>注</w:t>
            </w:r>
            <w:r>
              <w:rPr>
                <w:rFonts w:hint="eastAsia" w:ascii="仿宋" w:hAnsi="仿宋" w:eastAsia="仿宋" w:cs="仿宋"/>
                <w:b/>
                <w:color w:val="000000"/>
                <w:sz w:val="24"/>
                <w:szCs w:val="24"/>
                <w:lang w:val="zh-CN"/>
              </w:rPr>
              <w:t>★</w:t>
            </w:r>
            <w:r>
              <w:rPr>
                <w:rFonts w:hint="eastAsia" w:ascii="仿宋" w:hAnsi="仿宋" w:eastAsia="仿宋" w:cs="仿宋"/>
                <w:b/>
                <w:color w:val="000000"/>
                <w:sz w:val="24"/>
                <w:szCs w:val="24"/>
                <w:lang w:val="en-US" w:eastAsia="zh-CN"/>
              </w:rPr>
              <w:t>和●的指标</w:t>
            </w:r>
            <w:r>
              <w:rPr>
                <w:rFonts w:hint="eastAsia" w:ascii="仿宋" w:hAnsi="仿宋" w:eastAsia="仿宋" w:cs="仿宋"/>
                <w:b/>
                <w:color w:val="000000"/>
                <w:sz w:val="24"/>
                <w:szCs w:val="24"/>
                <w:lang w:val="zh-CN"/>
              </w:rPr>
              <w:t>项须</w:t>
            </w:r>
            <w:r>
              <w:rPr>
                <w:rFonts w:hint="eastAsia" w:ascii="仿宋" w:hAnsi="仿宋" w:eastAsia="仿宋" w:cs="仿宋"/>
                <w:b/>
                <w:color w:val="000000"/>
                <w:sz w:val="24"/>
                <w:szCs w:val="24"/>
                <w:lang w:val="en-US" w:eastAsia="zh-CN"/>
              </w:rPr>
              <w:t>按下列要求</w:t>
            </w:r>
            <w:r>
              <w:rPr>
                <w:rFonts w:hint="eastAsia" w:ascii="仿宋" w:hAnsi="仿宋" w:eastAsia="仿宋" w:cs="仿宋"/>
                <w:b/>
                <w:color w:val="000000"/>
                <w:sz w:val="24"/>
                <w:szCs w:val="24"/>
                <w:lang w:val="zh-CN"/>
              </w:rPr>
              <w:t>在参选文件中提供证明材料予以佐证。</w:t>
            </w:r>
          </w:p>
          <w:p w14:paraId="487AF7E2">
            <w:pPr>
              <w:widowControl/>
              <w:spacing w:line="360" w:lineRule="auto"/>
              <w:jc w:val="left"/>
              <w:rPr>
                <w:rFonts w:hint="eastAsia" w:ascii="仿宋" w:hAnsi="仿宋" w:eastAsia="仿宋" w:cs="仿宋"/>
                <w:b/>
                <w:color w:val="000000"/>
                <w:sz w:val="24"/>
                <w:szCs w:val="24"/>
                <w:lang w:val="zh-CN"/>
              </w:rPr>
            </w:pPr>
            <w:r>
              <w:rPr>
                <w:rFonts w:hint="eastAsia" w:ascii="仿宋" w:hAnsi="仿宋" w:eastAsia="仿宋" w:cs="仿宋"/>
                <w:b/>
                <w:color w:val="000000"/>
                <w:sz w:val="24"/>
                <w:szCs w:val="24"/>
              </w:rPr>
              <w:t>1.采购需求中</w:t>
            </w:r>
            <w:r>
              <w:rPr>
                <w:rFonts w:hint="eastAsia" w:ascii="仿宋" w:hAnsi="仿宋" w:eastAsia="仿宋" w:cs="仿宋"/>
                <w:b/>
                <w:color w:val="000000"/>
                <w:sz w:val="24"/>
                <w:szCs w:val="24"/>
                <w:lang w:val="zh-CN"/>
              </w:rPr>
              <w:t>明确要求提供</w:t>
            </w:r>
            <w:r>
              <w:rPr>
                <w:rFonts w:hint="eastAsia" w:ascii="仿宋" w:hAnsi="仿宋" w:eastAsia="仿宋" w:cs="仿宋"/>
                <w:b/>
                <w:color w:val="000000"/>
                <w:sz w:val="24"/>
                <w:szCs w:val="24"/>
              </w:rPr>
              <w:t>相关</w:t>
            </w:r>
            <w:r>
              <w:rPr>
                <w:rFonts w:hint="eastAsia" w:ascii="仿宋" w:hAnsi="仿宋" w:eastAsia="仿宋" w:cs="仿宋"/>
                <w:b/>
                <w:color w:val="000000"/>
                <w:sz w:val="24"/>
                <w:szCs w:val="24"/>
                <w:lang w:val="zh-CN"/>
              </w:rPr>
              <w:t>材料</w:t>
            </w:r>
            <w:r>
              <w:rPr>
                <w:rFonts w:hint="eastAsia" w:ascii="仿宋" w:hAnsi="仿宋" w:eastAsia="仿宋" w:cs="仿宋"/>
                <w:b/>
                <w:color w:val="000000"/>
                <w:sz w:val="24"/>
                <w:szCs w:val="24"/>
              </w:rPr>
              <w:t>的</w:t>
            </w:r>
            <w:r>
              <w:rPr>
                <w:rFonts w:hint="eastAsia" w:ascii="仿宋" w:hAnsi="仿宋" w:eastAsia="仿宋" w:cs="仿宋"/>
                <w:b/>
                <w:color w:val="000000"/>
                <w:sz w:val="24"/>
                <w:szCs w:val="24"/>
                <w:lang w:val="zh-CN"/>
              </w:rPr>
              <w:t>按采购需求要求提供</w:t>
            </w:r>
            <w:r>
              <w:rPr>
                <w:rFonts w:hint="eastAsia" w:ascii="仿宋" w:hAnsi="仿宋" w:eastAsia="仿宋" w:cs="仿宋"/>
                <w:b/>
                <w:color w:val="000000"/>
                <w:sz w:val="24"/>
                <w:szCs w:val="24"/>
              </w:rPr>
              <w:t>对应证明材料</w:t>
            </w:r>
            <w:r>
              <w:rPr>
                <w:rFonts w:hint="eastAsia" w:ascii="仿宋" w:hAnsi="仿宋" w:eastAsia="仿宋" w:cs="仿宋"/>
                <w:b/>
                <w:color w:val="000000"/>
                <w:sz w:val="24"/>
                <w:szCs w:val="24"/>
                <w:lang w:val="zh-CN"/>
              </w:rPr>
              <w:t>；</w:t>
            </w:r>
          </w:p>
          <w:p w14:paraId="74493444">
            <w:pPr>
              <w:widowControl/>
              <w:spacing w:line="360" w:lineRule="auto"/>
              <w:jc w:val="left"/>
              <w:rPr>
                <w:rFonts w:hint="eastAsia" w:ascii="仿宋" w:hAnsi="仿宋" w:eastAsia="仿宋" w:cs="仿宋"/>
                <w:b/>
                <w:bCs w:val="0"/>
                <w:color w:val="000000"/>
                <w:sz w:val="24"/>
                <w:szCs w:val="24"/>
              </w:rPr>
            </w:pPr>
            <w:r>
              <w:rPr>
                <w:rFonts w:hint="eastAsia" w:ascii="仿宋" w:hAnsi="仿宋" w:eastAsia="仿宋" w:cs="仿宋"/>
                <w:b/>
                <w:color w:val="000000"/>
                <w:sz w:val="24"/>
                <w:szCs w:val="24"/>
              </w:rPr>
              <w:t>2.采购需求中未明确要求提供证明料的，参选人须自行提供</w:t>
            </w:r>
            <w:r>
              <w:rPr>
                <w:rFonts w:hint="eastAsia" w:ascii="仿宋" w:hAnsi="仿宋" w:eastAsia="仿宋" w:cs="仿宋"/>
                <w:b/>
                <w:bCs w:val="0"/>
                <w:color w:val="000000"/>
                <w:sz w:val="24"/>
                <w:szCs w:val="24"/>
              </w:rPr>
              <w:t>证明材料，包括产品技术白皮书、产品技术说明书、产品彩页（产品功能截图）、厂家（制造商）官网截图、</w:t>
            </w:r>
            <w:r>
              <w:rPr>
                <w:rFonts w:hint="eastAsia" w:ascii="仿宋" w:hAnsi="仿宋" w:eastAsia="仿宋" w:cs="仿宋"/>
                <w:b/>
                <w:bCs w:val="0"/>
                <w:color w:val="000000"/>
                <w:sz w:val="24"/>
                <w:szCs w:val="24"/>
                <w:lang w:eastAsia="zh-CN"/>
              </w:rPr>
              <w:t>有权</w:t>
            </w:r>
            <w:r>
              <w:rPr>
                <w:rFonts w:hint="eastAsia" w:ascii="仿宋" w:hAnsi="仿宋" w:eastAsia="仿宋" w:cs="仿宋"/>
                <w:b/>
                <w:bCs w:val="0"/>
                <w:color w:val="000000"/>
                <w:sz w:val="24"/>
                <w:szCs w:val="24"/>
              </w:rPr>
              <w:t>第三方</w:t>
            </w:r>
            <w:r>
              <w:rPr>
                <w:rFonts w:hint="eastAsia" w:ascii="仿宋" w:hAnsi="仿宋" w:eastAsia="仿宋" w:cs="仿宋"/>
                <w:b/>
                <w:bCs w:val="0"/>
                <w:color w:val="000000"/>
                <w:sz w:val="24"/>
                <w:szCs w:val="24"/>
                <w:lang w:val="en-US" w:eastAsia="zh-CN"/>
              </w:rPr>
              <w:t>检测</w:t>
            </w:r>
            <w:r>
              <w:rPr>
                <w:rFonts w:hint="eastAsia" w:ascii="仿宋" w:hAnsi="仿宋" w:eastAsia="仿宋" w:cs="仿宋"/>
                <w:b/>
                <w:bCs w:val="0"/>
                <w:color w:val="000000"/>
                <w:sz w:val="24"/>
                <w:szCs w:val="24"/>
              </w:rPr>
              <w:t>机构出具的检测报告，提供其中之一即可。未按以上要求提供证明材料的视为负偏离或未响应</w:t>
            </w:r>
            <w:r>
              <w:rPr>
                <w:rFonts w:hint="eastAsia" w:ascii="仿宋" w:hAnsi="仿宋" w:eastAsia="仿宋" w:cs="仿宋"/>
                <w:b/>
                <w:bCs w:val="0"/>
                <w:color w:val="FF0000"/>
                <w:sz w:val="24"/>
                <w:szCs w:val="24"/>
              </w:rPr>
              <w:t>（为便于评审，建议参选人对证明材料中的关键参数进行标注）</w:t>
            </w:r>
            <w:r>
              <w:rPr>
                <w:rFonts w:hint="eastAsia" w:ascii="仿宋" w:hAnsi="仿宋" w:eastAsia="仿宋" w:cs="仿宋"/>
                <w:b/>
                <w:bCs w:val="0"/>
                <w:color w:val="000000"/>
                <w:sz w:val="24"/>
                <w:szCs w:val="24"/>
              </w:rPr>
              <w:t>。</w:t>
            </w:r>
          </w:p>
          <w:p w14:paraId="7E461DDA">
            <w:pPr>
              <w:widowControl/>
              <w:spacing w:before="0" w:after="0" w:line="360" w:lineRule="auto"/>
              <w:jc w:val="left"/>
              <w:rPr>
                <w:rFonts w:hint="eastAsia" w:ascii="仿宋" w:hAnsi="仿宋" w:eastAsia="仿宋" w:cs="仿宋"/>
                <w:b/>
                <w:color w:val="000000"/>
                <w:sz w:val="24"/>
                <w:szCs w:val="24"/>
              </w:rPr>
            </w:pPr>
            <w:r>
              <w:rPr>
                <w:rFonts w:hint="eastAsia" w:ascii="仿宋" w:hAnsi="仿宋" w:eastAsia="仿宋" w:cs="仿宋"/>
                <w:b/>
                <w:color w:val="000000"/>
                <w:sz w:val="24"/>
                <w:szCs w:val="24"/>
              </w:rPr>
              <w:t>（2）如某项标识中包含多条技术参数或要求，则该项标识所含内容均需满足或优于比选文件要求，否则不予认可。</w:t>
            </w:r>
          </w:p>
          <w:p w14:paraId="1E4D45AC">
            <w:pPr>
              <w:widowControl/>
              <w:spacing w:before="0" w:after="0" w:line="360" w:lineRule="auto"/>
              <w:jc w:val="left"/>
              <w:rPr>
                <w:rFonts w:hint="eastAsia" w:ascii="仿宋" w:hAnsi="仿宋" w:eastAsia="仿宋" w:cs="仿宋"/>
                <w:b/>
                <w:kern w:val="0"/>
                <w:sz w:val="24"/>
                <w:szCs w:val="24"/>
              </w:rPr>
            </w:pPr>
            <w:r>
              <w:rPr>
                <w:rFonts w:hint="eastAsia" w:ascii="仿宋" w:hAnsi="仿宋" w:eastAsia="仿宋" w:cs="仿宋"/>
                <w:b/>
                <w:color w:val="000000"/>
                <w:sz w:val="24"/>
                <w:szCs w:val="24"/>
                <w:lang w:eastAsia="zh-CN"/>
              </w:rPr>
              <w:t>（</w:t>
            </w: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lang w:eastAsia="zh-CN"/>
              </w:rPr>
              <w:t>）</w:t>
            </w:r>
            <w:r>
              <w:rPr>
                <w:rFonts w:hint="eastAsia" w:ascii="仿宋" w:hAnsi="仿宋" w:eastAsia="仿宋" w:cs="仿宋"/>
                <w:b/>
                <w:color w:val="000000"/>
                <w:sz w:val="24"/>
                <w:szCs w:val="24"/>
                <w:lang w:val="en-US" w:eastAsia="zh-CN"/>
              </w:rPr>
              <w:t>中选后比选人</w:t>
            </w:r>
            <w:r>
              <w:rPr>
                <w:rFonts w:hint="eastAsia" w:ascii="仿宋" w:hAnsi="仿宋" w:eastAsia="仿宋" w:cs="仿宋"/>
                <w:b/>
                <w:color w:val="000000"/>
                <w:sz w:val="24"/>
                <w:szCs w:val="24"/>
                <w:lang w:eastAsia="zh-CN"/>
              </w:rPr>
              <w:t>有权核验参数响应的真实性，虚假响应的</w:t>
            </w:r>
            <w:r>
              <w:rPr>
                <w:rFonts w:hint="eastAsia" w:ascii="仿宋" w:hAnsi="仿宋" w:eastAsia="仿宋" w:cs="仿宋"/>
                <w:b/>
                <w:color w:val="000000"/>
                <w:sz w:val="24"/>
                <w:szCs w:val="24"/>
                <w:lang w:val="en-US" w:eastAsia="zh-CN"/>
              </w:rPr>
              <w:t>比选人有权取消其中选资格</w:t>
            </w:r>
            <w:r>
              <w:rPr>
                <w:rFonts w:hint="eastAsia" w:ascii="仿宋" w:hAnsi="仿宋" w:eastAsia="仿宋" w:cs="仿宋"/>
                <w:b/>
                <w:color w:val="000000"/>
                <w:sz w:val="24"/>
                <w:szCs w:val="24"/>
                <w:lang w:eastAsia="zh-CN"/>
              </w:rPr>
              <w:t>。</w:t>
            </w:r>
          </w:p>
        </w:tc>
      </w:tr>
    </w:tbl>
    <w:p w14:paraId="684D6D4F">
      <w:pPr>
        <w:widowControl/>
        <w:numPr>
          <w:ilvl w:val="0"/>
          <w:numId w:val="2"/>
        </w:numPr>
        <w:spacing w:line="360" w:lineRule="auto"/>
        <w:ind w:firstLine="437"/>
        <w:jc w:val="left"/>
        <w:rPr>
          <w:rFonts w:hint="eastAsia" w:ascii="仿宋" w:hAnsi="仿宋" w:eastAsia="仿宋" w:cs="仿宋"/>
          <w:b/>
          <w:sz w:val="24"/>
          <w:szCs w:val="24"/>
        </w:rPr>
      </w:pPr>
      <w:r>
        <w:rPr>
          <w:rFonts w:hint="eastAsia" w:ascii="仿宋" w:hAnsi="仿宋" w:eastAsia="仿宋" w:cs="仿宋"/>
          <w:b/>
          <w:sz w:val="24"/>
          <w:szCs w:val="24"/>
        </w:rPr>
        <w:t>货物需求清单</w:t>
      </w:r>
    </w:p>
    <w:tbl>
      <w:tblPr>
        <w:tblStyle w:val="3"/>
        <w:tblW w:w="8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131"/>
        <w:gridCol w:w="5639"/>
        <w:gridCol w:w="1021"/>
      </w:tblGrid>
      <w:tr w14:paraId="201D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38" w:type="dxa"/>
            <w:vAlign w:val="center"/>
          </w:tcPr>
          <w:p w14:paraId="7B7236FE">
            <w:pPr>
              <w:snapToGrid w:val="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131" w:type="dxa"/>
            <w:vAlign w:val="center"/>
          </w:tcPr>
          <w:p w14:paraId="6BE0F59F">
            <w:pPr>
              <w:snapToGrid w:val="0"/>
              <w:jc w:val="center"/>
              <w:rPr>
                <w:rFonts w:hint="eastAsia" w:ascii="仿宋" w:hAnsi="仿宋" w:eastAsia="仿宋" w:cs="仿宋"/>
                <w:b/>
                <w:sz w:val="24"/>
                <w:szCs w:val="24"/>
              </w:rPr>
            </w:pPr>
            <w:r>
              <w:rPr>
                <w:rFonts w:hint="eastAsia" w:ascii="仿宋" w:hAnsi="仿宋" w:eastAsia="仿宋" w:cs="仿宋"/>
                <w:b/>
                <w:sz w:val="24"/>
                <w:szCs w:val="24"/>
              </w:rPr>
              <w:t>名 称</w:t>
            </w:r>
          </w:p>
        </w:tc>
        <w:tc>
          <w:tcPr>
            <w:tcW w:w="5639" w:type="dxa"/>
            <w:vAlign w:val="center"/>
          </w:tcPr>
          <w:p w14:paraId="41A0442D">
            <w:pPr>
              <w:snapToGrid w:val="0"/>
              <w:jc w:val="center"/>
              <w:rPr>
                <w:rFonts w:hint="eastAsia" w:ascii="仿宋" w:hAnsi="仿宋" w:eastAsia="仿宋" w:cs="仿宋"/>
                <w:b/>
                <w:sz w:val="24"/>
                <w:szCs w:val="24"/>
              </w:rPr>
            </w:pPr>
            <w:r>
              <w:rPr>
                <w:rFonts w:hint="eastAsia" w:ascii="仿宋" w:hAnsi="仿宋" w:eastAsia="仿宋" w:cs="仿宋"/>
                <w:b/>
                <w:sz w:val="24"/>
                <w:szCs w:val="24"/>
              </w:rPr>
              <w:t>技术参数及要求</w:t>
            </w:r>
          </w:p>
        </w:tc>
        <w:tc>
          <w:tcPr>
            <w:tcW w:w="1021" w:type="dxa"/>
            <w:vAlign w:val="center"/>
          </w:tcPr>
          <w:p w14:paraId="14D17426">
            <w:pPr>
              <w:snapToGrid w:val="0"/>
              <w:jc w:val="center"/>
              <w:rPr>
                <w:rFonts w:hint="eastAsia" w:ascii="仿宋" w:hAnsi="仿宋" w:eastAsia="仿宋" w:cs="仿宋"/>
                <w:b/>
                <w:sz w:val="24"/>
                <w:szCs w:val="24"/>
              </w:rPr>
            </w:pPr>
            <w:r>
              <w:rPr>
                <w:rFonts w:hint="eastAsia" w:ascii="仿宋" w:hAnsi="仿宋" w:eastAsia="仿宋" w:cs="仿宋"/>
                <w:b/>
                <w:sz w:val="24"/>
                <w:szCs w:val="24"/>
              </w:rPr>
              <w:t>数量</w:t>
            </w:r>
          </w:p>
        </w:tc>
      </w:tr>
      <w:tr w14:paraId="3EAF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38" w:type="dxa"/>
            <w:vAlign w:val="center"/>
          </w:tcPr>
          <w:p w14:paraId="76C7FBA7">
            <w:pPr>
              <w:snapToGrid w:val="0"/>
              <w:jc w:val="center"/>
              <w:rPr>
                <w:rFonts w:hint="eastAsia" w:ascii="仿宋" w:hAnsi="仿宋" w:eastAsia="仿宋" w:cs="仿宋"/>
                <w:sz w:val="24"/>
                <w:szCs w:val="24"/>
              </w:rPr>
            </w:pPr>
            <w:r>
              <w:rPr>
                <w:rFonts w:hint="eastAsia" w:ascii="仿宋" w:hAnsi="仿宋" w:eastAsia="仿宋" w:cs="仿宋"/>
                <w:sz w:val="24"/>
                <w:szCs w:val="24"/>
              </w:rPr>
              <w:t>1</w:t>
            </w:r>
          </w:p>
        </w:tc>
        <w:tc>
          <w:tcPr>
            <w:tcW w:w="1131" w:type="dxa"/>
            <w:vAlign w:val="center"/>
          </w:tcPr>
          <w:p w14:paraId="030594E3">
            <w:pPr>
              <w:autoSpaceDE w:val="0"/>
              <w:autoSpaceDN w:val="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电动活动看台（含座椅及护栏）</w:t>
            </w:r>
          </w:p>
        </w:tc>
        <w:tc>
          <w:tcPr>
            <w:tcW w:w="5639" w:type="dxa"/>
            <w:vAlign w:val="center"/>
          </w:tcPr>
          <w:p w14:paraId="567A86EA">
            <w:pPr>
              <w:rPr>
                <w:rFonts w:hint="eastAsia" w:ascii="仿宋" w:hAnsi="仿宋" w:eastAsia="仿宋" w:cs="仿宋"/>
                <w:sz w:val="24"/>
                <w:szCs w:val="24"/>
              </w:rPr>
            </w:pPr>
            <w:r>
              <w:rPr>
                <w:rFonts w:hint="eastAsia" w:ascii="仿宋" w:hAnsi="仿宋" w:eastAsia="仿宋" w:cs="仿宋"/>
                <w:sz w:val="24"/>
                <w:szCs w:val="24"/>
              </w:rPr>
              <w:t>一、产品设计标准：</w:t>
            </w:r>
          </w:p>
          <w:p w14:paraId="7958AE08">
            <w:pPr>
              <w:rPr>
                <w:rFonts w:hint="eastAsia" w:ascii="仿宋" w:hAnsi="仿宋" w:eastAsia="仿宋" w:cs="仿宋"/>
                <w:sz w:val="24"/>
                <w:szCs w:val="24"/>
              </w:rPr>
            </w:pPr>
            <w:r>
              <w:rPr>
                <w:rFonts w:hint="eastAsia" w:ascii="仿宋" w:hAnsi="仿宋" w:eastAsia="仿宋" w:cs="仿宋"/>
                <w:sz w:val="24"/>
                <w:szCs w:val="24"/>
              </w:rPr>
              <w:t>1、QB/T2601-2013《体育场馆公共座椅》</w:t>
            </w:r>
          </w:p>
          <w:p w14:paraId="537EF795">
            <w:pPr>
              <w:rPr>
                <w:rFonts w:hint="eastAsia" w:ascii="仿宋" w:hAnsi="仿宋" w:eastAsia="仿宋" w:cs="仿宋"/>
                <w:sz w:val="24"/>
                <w:szCs w:val="24"/>
              </w:rPr>
            </w:pPr>
            <w:r>
              <w:rPr>
                <w:rFonts w:hint="eastAsia" w:ascii="仿宋" w:hAnsi="仿宋" w:eastAsia="仿宋" w:cs="仿宋"/>
                <w:sz w:val="24"/>
                <w:szCs w:val="24"/>
              </w:rPr>
              <w:t>2、JGJ31-2003/J265-2003《体育建筑设计规范》</w:t>
            </w:r>
          </w:p>
          <w:p w14:paraId="184AD25D">
            <w:pPr>
              <w:rPr>
                <w:rFonts w:hint="eastAsia" w:ascii="仿宋" w:hAnsi="仿宋" w:eastAsia="仿宋" w:cs="仿宋"/>
                <w:sz w:val="24"/>
                <w:szCs w:val="24"/>
              </w:rPr>
            </w:pPr>
            <w:r>
              <w:rPr>
                <w:rFonts w:hint="eastAsia" w:ascii="仿宋" w:hAnsi="仿宋" w:eastAsia="仿宋" w:cs="仿宋"/>
                <w:sz w:val="24"/>
                <w:szCs w:val="24"/>
              </w:rPr>
              <w:t>二、规格要求：</w:t>
            </w:r>
          </w:p>
          <w:p w14:paraId="36F1C42E">
            <w:pPr>
              <w:rPr>
                <w:rFonts w:hint="eastAsia" w:ascii="仿宋" w:hAnsi="仿宋" w:eastAsia="仿宋" w:cs="仿宋"/>
                <w:sz w:val="24"/>
                <w:szCs w:val="24"/>
              </w:rPr>
            </w:pPr>
            <w:r>
              <w:rPr>
                <w:rFonts w:hint="eastAsia" w:ascii="仿宋" w:hAnsi="仿宋" w:eastAsia="仿宋" w:cs="仿宋"/>
                <w:sz w:val="24"/>
                <w:szCs w:val="24"/>
              </w:rPr>
              <w:t>1、看台层宽840±5mm，看台层高310±5mm，座椅安装间距：500mm</w:t>
            </w:r>
          </w:p>
          <w:p w14:paraId="13BC391D">
            <w:pPr>
              <w:rPr>
                <w:rFonts w:hint="eastAsia" w:ascii="仿宋" w:hAnsi="仿宋" w:eastAsia="仿宋" w:cs="仿宋"/>
                <w:sz w:val="24"/>
                <w:szCs w:val="24"/>
              </w:rPr>
            </w:pPr>
            <w:r>
              <w:rPr>
                <w:rFonts w:hint="eastAsia" w:ascii="仿宋" w:hAnsi="仿宋" w:eastAsia="仿宋" w:cs="仿宋"/>
                <w:sz w:val="24"/>
                <w:szCs w:val="24"/>
              </w:rPr>
              <w:t>2、中空塑料翻板座椅（自动翻转），座椅尺寸为：座宽（440±5mm），座深（560±5mm），背长（545±5㎜）。椅面需采用中空吹塑制造工艺，选用高密度聚乙烯材料（HDPE）一次加工成型，座椅表面棱角圆滑、分子量较集中、汇合缝处黏结强度高，具有刚性及韧性，以及良好的力学性能和使用温度，同时抗老化、抗冲击性、耐高低温、耐油性等座椅综合性能应符合国家标准及行业标准。具备自动翻转机构：座椅采用不小于Φ3.5mm扭簧翻转，保证翻转过程的安全性。</w:t>
            </w:r>
          </w:p>
          <w:p w14:paraId="6391BB6E">
            <w:pPr>
              <w:rPr>
                <w:rFonts w:hint="eastAsia" w:ascii="仿宋" w:hAnsi="仿宋" w:eastAsia="仿宋" w:cs="仿宋"/>
                <w:sz w:val="24"/>
                <w:szCs w:val="24"/>
              </w:rPr>
            </w:pPr>
            <w:r>
              <w:rPr>
                <w:rFonts w:hint="eastAsia" w:ascii="仿宋" w:hAnsi="仿宋" w:eastAsia="仿宋" w:cs="仿宋"/>
                <w:sz w:val="24"/>
                <w:szCs w:val="24"/>
              </w:rPr>
              <w:t>3、活动看台第一排加装护栏，起到与比赛场地隔离的功能，方便管理。</w:t>
            </w:r>
          </w:p>
          <w:p w14:paraId="743CBADB">
            <w:pPr>
              <w:rPr>
                <w:rFonts w:hint="eastAsia" w:ascii="仿宋" w:hAnsi="仿宋" w:eastAsia="仿宋" w:cs="仿宋"/>
                <w:sz w:val="24"/>
                <w:szCs w:val="24"/>
              </w:rPr>
            </w:pPr>
            <w:r>
              <w:rPr>
                <w:rFonts w:hint="eastAsia" w:ascii="仿宋" w:hAnsi="仿宋" w:eastAsia="仿宋" w:cs="仿宋"/>
                <w:sz w:val="24"/>
                <w:szCs w:val="24"/>
              </w:rPr>
              <w:t>三、床架材料要求：</w:t>
            </w:r>
          </w:p>
          <w:p w14:paraId="37924F67">
            <w:pPr>
              <w:rPr>
                <w:rFonts w:hint="eastAsia" w:ascii="仿宋" w:hAnsi="仿宋" w:eastAsia="仿宋" w:cs="仿宋"/>
                <w:sz w:val="24"/>
                <w:szCs w:val="24"/>
              </w:rPr>
            </w:pPr>
            <w:r>
              <w:rPr>
                <w:rFonts w:hint="eastAsia" w:ascii="仿宋" w:hAnsi="仿宋" w:eastAsia="仿宋" w:cs="仿宋"/>
                <w:sz w:val="24"/>
                <w:szCs w:val="24"/>
              </w:rPr>
              <w:t>1、伸缩脚：每排伸缩脚的数量可根据场地的大小及要求设置。每只伸缩脚下装有不少于4个脚轮。脚轮：采用宽幅软质PU轮，直径不小于Φ125mm，轮辐为B≥40mm。</w:t>
            </w:r>
          </w:p>
          <w:p w14:paraId="6656C546">
            <w:pPr>
              <w:rPr>
                <w:rFonts w:hint="eastAsia" w:ascii="仿宋" w:hAnsi="仿宋" w:eastAsia="仿宋" w:cs="仿宋"/>
                <w:sz w:val="24"/>
                <w:szCs w:val="24"/>
              </w:rPr>
            </w:pPr>
            <w:r>
              <w:rPr>
                <w:rFonts w:hint="eastAsia" w:ascii="仿宋" w:hAnsi="仿宋" w:eastAsia="仿宋" w:cs="仿宋"/>
                <w:sz w:val="24"/>
                <w:szCs w:val="24"/>
              </w:rPr>
              <w:t>2、骨架：采用组合件结构，主、副梁结构材料采用≥2mm高碳钢通过高强度定拉型材冷拉而成，规格为不小于190×50、66×50（mm）。所有荷载主、副梁结构件中间不得有焊接，采用高强螺栓连接。承重主支撑部件采用尺寸为不小于口50×40×3mm、口100×50×3mm优质钢管和60×40×4mm梯形导向支撑杆，承重辅支撑件采用尺寸不小于60×40×19×2 mmC型钢。采用高强螺栓联接固定。辅支撑件安装的最大中心距离约不大于700mm，作为所有木支撑臂以及行走表面的结束元件。支撑构架之间的支撑臂，通过增加尼龙等组件消除之间的刚性滑动摩擦，减少看台伸缩摩擦阻力。</w:t>
            </w:r>
          </w:p>
          <w:p w14:paraId="23B86EFB">
            <w:pPr>
              <w:rPr>
                <w:rFonts w:hint="eastAsia" w:ascii="仿宋" w:hAnsi="仿宋" w:eastAsia="仿宋" w:cs="仿宋"/>
                <w:sz w:val="24"/>
                <w:szCs w:val="24"/>
              </w:rPr>
            </w:pPr>
            <w:r>
              <w:rPr>
                <w:rFonts w:hint="eastAsia" w:ascii="仿宋" w:hAnsi="仿宋" w:eastAsia="仿宋" w:cs="仿宋"/>
                <w:sz w:val="24"/>
                <w:szCs w:val="24"/>
              </w:rPr>
              <w:t>3、通道板：采用不低于18mm厚黑色防水防滑层压板。强度符合GB/T9846-2015《普通胶合板》检测强度值报告，强度值须≥0.70MPa。床架前沿及踏步采用不小于80×60mm铝钛合金包边，并在型材表面附有防滑线条 ,并采用不小于85×85mm角封头将边角包覆，以增加安全性。</w:t>
            </w:r>
          </w:p>
          <w:p w14:paraId="138F3930">
            <w:pPr>
              <w:rPr>
                <w:rFonts w:hint="eastAsia" w:ascii="仿宋" w:hAnsi="仿宋" w:eastAsia="仿宋" w:cs="仿宋"/>
                <w:sz w:val="24"/>
                <w:szCs w:val="24"/>
              </w:rPr>
            </w:pPr>
            <w:r>
              <w:rPr>
                <w:rFonts w:hint="eastAsia" w:ascii="仿宋" w:hAnsi="仿宋" w:eastAsia="仿宋" w:cs="仿宋"/>
                <w:sz w:val="24"/>
                <w:szCs w:val="24"/>
              </w:rPr>
              <w:t>4、同步伸缩装置：采用双层导向设计，上端采用同步导向轮机构，通过支撑滑轮传递减少摩擦阻力，保证导向轮沿直线运动。下端采用导轨机构，通过锁扣式导向滑槽与导轨连接，保证看台沿直线运动，同时增加侧向稳定力。</w:t>
            </w:r>
          </w:p>
          <w:p w14:paraId="1C2AC325">
            <w:pPr>
              <w:rPr>
                <w:rFonts w:hint="eastAsia" w:ascii="仿宋" w:hAnsi="仿宋" w:eastAsia="仿宋" w:cs="仿宋"/>
                <w:sz w:val="24"/>
                <w:szCs w:val="24"/>
              </w:rPr>
            </w:pPr>
            <w:r>
              <w:rPr>
                <w:rFonts w:hint="eastAsia" w:ascii="仿宋" w:hAnsi="仿宋" w:eastAsia="仿宋" w:cs="仿宋"/>
                <w:sz w:val="24"/>
                <w:szCs w:val="24"/>
              </w:rPr>
              <w:t>四、动力系统：</w:t>
            </w:r>
          </w:p>
          <w:p w14:paraId="339261DE">
            <w:pPr>
              <w:rPr>
                <w:rFonts w:hint="eastAsia" w:ascii="仿宋" w:hAnsi="仿宋" w:eastAsia="仿宋" w:cs="仿宋"/>
                <w:sz w:val="24"/>
                <w:szCs w:val="24"/>
              </w:rPr>
            </w:pPr>
            <w:r>
              <w:rPr>
                <w:rFonts w:hint="eastAsia" w:ascii="仿宋" w:hAnsi="仿宋" w:eastAsia="仿宋" w:cs="仿宋"/>
                <w:sz w:val="24"/>
                <w:szCs w:val="24"/>
              </w:rPr>
              <w:t>1、活动看台系统采用电动控制式，具备红外线遥控和有线手控两项功能。采用减速马达带动齿轮传动，通过宽幅PU摩擦轮与地板摩擦运动，推动看台运动。马达通过刚性连接轴的一系列传动，保证在遇到地面缺陷和障碍时，提供充足动力，运动不跑偏，使看台自由伸出或缩进。</w:t>
            </w:r>
          </w:p>
          <w:p w14:paraId="12B4B8F5">
            <w:pPr>
              <w:rPr>
                <w:rFonts w:hint="eastAsia" w:ascii="仿宋" w:hAnsi="仿宋" w:eastAsia="仿宋" w:cs="仿宋"/>
                <w:sz w:val="24"/>
                <w:szCs w:val="24"/>
              </w:rPr>
            </w:pPr>
            <w:r>
              <w:rPr>
                <w:rFonts w:hint="eastAsia" w:ascii="仿宋" w:hAnsi="仿宋" w:eastAsia="仿宋" w:cs="仿宋"/>
                <w:sz w:val="24"/>
                <w:szCs w:val="24"/>
              </w:rPr>
              <w:t>2、看台电机系统采用减速马达。整个看台须设置防漏电设计，在活动看台开启使用及无移动运行状态下，所有安全性能符合国家相关要求。根据活动看台设计不同，电机功率一般在0.4-2.2KW，电压380V。</w:t>
            </w:r>
          </w:p>
          <w:p w14:paraId="7B5F0078">
            <w:pPr>
              <w:rPr>
                <w:rFonts w:hint="eastAsia" w:ascii="仿宋" w:hAnsi="仿宋" w:eastAsia="仿宋" w:cs="仿宋"/>
                <w:sz w:val="24"/>
                <w:szCs w:val="24"/>
              </w:rPr>
            </w:pPr>
            <w:r>
              <w:rPr>
                <w:rFonts w:hint="eastAsia" w:ascii="仿宋" w:hAnsi="仿宋" w:eastAsia="仿宋" w:cs="仿宋"/>
                <w:sz w:val="24"/>
                <w:szCs w:val="24"/>
              </w:rPr>
              <w:t>3、看台电气控制系统包含电机控制系统、行程限位系统、漏电保护系统和动力输出系统。电气安全符合GB 4706.1相关要求,输入线路为三相五线制电缆线。</w:t>
            </w:r>
          </w:p>
          <w:p w14:paraId="11BEB9FD">
            <w:pPr>
              <w:rPr>
                <w:rFonts w:hint="eastAsia" w:ascii="仿宋" w:hAnsi="仿宋" w:eastAsia="仿宋" w:cs="仿宋"/>
                <w:sz w:val="24"/>
                <w:szCs w:val="24"/>
              </w:rPr>
            </w:pPr>
            <w:r>
              <w:rPr>
                <w:rFonts w:hint="eastAsia" w:ascii="仿宋" w:hAnsi="仿宋" w:eastAsia="仿宋" w:cs="仿宋"/>
                <w:sz w:val="24"/>
                <w:szCs w:val="24"/>
              </w:rPr>
              <w:t>五、产品性能指标：</w:t>
            </w:r>
          </w:p>
          <w:p w14:paraId="35F555AF">
            <w:pPr>
              <w:rPr>
                <w:rFonts w:hint="eastAsia" w:ascii="仿宋" w:hAnsi="仿宋" w:eastAsia="仿宋" w:cs="仿宋"/>
                <w:sz w:val="24"/>
                <w:szCs w:val="24"/>
              </w:rPr>
            </w:pPr>
            <w:r>
              <w:rPr>
                <w:rFonts w:hint="eastAsia" w:ascii="仿宋" w:hAnsi="仿宋" w:eastAsia="仿宋" w:cs="仿宋"/>
                <w:kern w:val="0"/>
                <w:sz w:val="24"/>
                <w:szCs w:val="24"/>
              </w:rPr>
              <w:t>★</w:t>
            </w:r>
            <w:r>
              <w:rPr>
                <w:rFonts w:hint="eastAsia" w:ascii="仿宋" w:hAnsi="仿宋" w:eastAsia="仿宋" w:cs="仿宋"/>
                <w:sz w:val="24"/>
                <w:szCs w:val="24"/>
              </w:rPr>
              <w:t>1、安全性能：依据《企业技术条件》床架结构加载≥4.2kN/㎡均布静载荷，持续时间30分钟。永久变形量≤20mm，能承受垂直负载的6%不失稳。护栏性能：侧向载荷，承受600N/m的端部侧向静载荷10次，每次保持10秒看台护栏应不损坏。水平载荷1020N/m，持续一分钟，应无明显变形、损坏。竖向载荷≥1200N/㎡，平行摇摆载荷≥750N/㎡，垂直摇摆载荷≥750N/㎡，卸载后应无损坏。</w:t>
            </w:r>
            <w:bookmarkStart w:id="1" w:name="OLE_LINK1"/>
            <w:r>
              <w:rPr>
                <w:rFonts w:hint="eastAsia" w:ascii="仿宋" w:hAnsi="仿宋" w:eastAsia="仿宋" w:cs="仿宋"/>
                <w:b/>
                <w:bCs/>
                <w:sz w:val="24"/>
                <w:szCs w:val="24"/>
              </w:rPr>
              <w:t>参选文件中须提供有权第三方检测机构出具的检测报告复印件并加盖参选人公章。</w:t>
            </w:r>
            <w:bookmarkEnd w:id="1"/>
          </w:p>
          <w:p w14:paraId="5D27EF93">
            <w:pPr>
              <w:rPr>
                <w:rFonts w:hint="eastAsia" w:ascii="仿宋" w:hAnsi="仿宋" w:eastAsia="仿宋" w:cs="仿宋"/>
                <w:sz w:val="24"/>
                <w:szCs w:val="24"/>
              </w:rPr>
            </w:pPr>
            <w:r>
              <w:rPr>
                <w:rFonts w:hint="eastAsia" w:ascii="仿宋" w:hAnsi="仿宋" w:eastAsia="仿宋" w:cs="仿宋"/>
                <w:kern w:val="0"/>
                <w:sz w:val="24"/>
                <w:szCs w:val="24"/>
              </w:rPr>
              <w:t>★</w:t>
            </w:r>
            <w:r>
              <w:rPr>
                <w:rFonts w:hint="eastAsia" w:ascii="仿宋" w:hAnsi="仿宋" w:eastAsia="仿宋" w:cs="仿宋"/>
                <w:sz w:val="24"/>
                <w:szCs w:val="24"/>
              </w:rPr>
              <w:t>2、力学性能：依据QB/T2601-2013《体育场馆公共座椅》及企业技术条件，座椅椅面静载荷1600N，10次，椅背静载荷760N，10次；座椅耐久性：椅面载荷950N，10万次，椅背载荷330N，10万次，椅面冲击高度240mm，10次，椅背冲击高度330mm，10次；座椅翻转频率10次/min~15次/min，5万次试验后，座椅零部件无断裂或豁裂现象，加载部位无明显变形，座椅结构无松动；</w:t>
            </w:r>
            <w:r>
              <w:rPr>
                <w:rFonts w:hint="eastAsia" w:ascii="仿宋" w:hAnsi="仿宋" w:eastAsia="仿宋" w:cs="仿宋"/>
                <w:b/>
                <w:bCs/>
                <w:sz w:val="24"/>
                <w:szCs w:val="24"/>
              </w:rPr>
              <w:t>参选文件中须提供有权第三方检测机构出具的检测报告复印件并加盖参选人公章。</w:t>
            </w:r>
          </w:p>
          <w:p w14:paraId="2E66B3C1">
            <w:pPr>
              <w:ind w:left="0" w:firstLine="0" w:firstLineChars="0"/>
              <w:rPr>
                <w:rFonts w:hint="eastAsia" w:ascii="仿宋" w:hAnsi="仿宋" w:eastAsia="仿宋" w:cs="仿宋"/>
                <w:b/>
                <w:bCs/>
                <w:sz w:val="24"/>
                <w:szCs w:val="24"/>
              </w:rPr>
            </w:pPr>
            <w:r>
              <w:rPr>
                <w:rFonts w:hint="eastAsia" w:ascii="仿宋" w:hAnsi="仿宋" w:eastAsia="仿宋" w:cs="仿宋"/>
                <w:bCs w:val="0"/>
                <w:sz w:val="24"/>
                <w:szCs w:val="24"/>
              </w:rPr>
              <w:t>●</w:t>
            </w:r>
            <w:r>
              <w:rPr>
                <w:rFonts w:hint="eastAsia" w:ascii="仿宋" w:hAnsi="仿宋" w:eastAsia="仿宋" w:cs="仿宋"/>
                <w:sz w:val="24"/>
                <w:szCs w:val="24"/>
              </w:rPr>
              <w:t>3、耐老化性能：依据GB/T16422.2-2022《塑料实验室光源暴露试验方法氙灯老化检测标准》对所投产（脚轮）氙灯老化和压力测试进行检测，在标准检测条件下，检测结果氙灯老化符合标准，压力测试极限载荷保持率不低于85%或符合标准（或类似表述）。</w:t>
            </w:r>
            <w:r>
              <w:rPr>
                <w:rFonts w:hint="eastAsia" w:ascii="仿宋" w:hAnsi="仿宋" w:eastAsia="仿宋" w:cs="仿宋"/>
                <w:b/>
                <w:bCs/>
                <w:sz w:val="24"/>
                <w:szCs w:val="24"/>
              </w:rPr>
              <w:t>参选文件中须提供有权第三方检测机构出具的检验报告复印件并加盖参选人公章。</w:t>
            </w:r>
          </w:p>
          <w:p w14:paraId="7588C02E">
            <w:pPr>
              <w:rPr>
                <w:rFonts w:hint="eastAsia" w:ascii="仿宋" w:hAnsi="仿宋" w:eastAsia="仿宋" w:cs="仿宋"/>
                <w:sz w:val="24"/>
                <w:szCs w:val="24"/>
              </w:rPr>
            </w:pPr>
            <w:r>
              <w:rPr>
                <w:rFonts w:hint="eastAsia" w:ascii="仿宋" w:hAnsi="仿宋" w:eastAsia="仿宋" w:cs="仿宋"/>
                <w:sz w:val="24"/>
                <w:szCs w:val="24"/>
              </w:rPr>
              <w:t>4、高低温性能：依据QB/T2601-2013《体育场馆公共座椅》、ISO 4892-2:2013《塑料-实验室光源暴露方法第2部分:氙弧灯》、GB/T16422.2《塑料实验室光源暴露试验方法第2部分:弧灯》、ISO179-1:2010《塑料-摆式冲击性能的测定第1部分:非机械冲击试验》对所投产品（座椅）塑料件高低温性能进行检测，在高温：120±5℃、168h，低温-80±5℃、240h，检测温度在22～23℃，湿度在54～58%RH，且温差在200℃范围内，试验后没有出现龟裂、斑点、起泡及明显变化</w:t>
            </w:r>
            <w:r>
              <w:rPr>
                <w:rFonts w:hint="eastAsia" w:ascii="仿宋" w:hAnsi="仿宋" w:eastAsia="仿宋" w:cs="仿宋"/>
                <w:b/>
                <w:bCs/>
                <w:sz w:val="24"/>
                <w:szCs w:val="24"/>
              </w:rPr>
              <w:t>。</w:t>
            </w:r>
          </w:p>
          <w:p w14:paraId="5AFB19CE">
            <w:pPr>
              <w:rPr>
                <w:rFonts w:hint="eastAsia" w:ascii="仿宋" w:hAnsi="仿宋" w:eastAsia="仿宋" w:cs="仿宋"/>
                <w:sz w:val="24"/>
                <w:szCs w:val="24"/>
              </w:rPr>
            </w:pPr>
            <w:r>
              <w:rPr>
                <w:rFonts w:hint="eastAsia" w:ascii="仿宋" w:hAnsi="仿宋" w:eastAsia="仿宋" w:cs="仿宋"/>
                <w:sz w:val="24"/>
                <w:szCs w:val="24"/>
              </w:rPr>
              <w:t>5、走轮性能：依据GB/T14687-2011《工业脚轮和车轮》对所投产品（脚轮）进行检测，其中车轮端面圆跳动公差为轮径D的1%。即（D=125mm）×1%=1.25mm，车轮径向圆跳动公差为轮径D的0.5%。即（D=125mm）×0.5%=0.625mm。</w:t>
            </w:r>
          </w:p>
          <w:p w14:paraId="702AC183">
            <w:pPr>
              <w:rPr>
                <w:rFonts w:hint="eastAsia" w:ascii="仿宋" w:hAnsi="仿宋" w:eastAsia="仿宋" w:cs="仿宋"/>
                <w:sz w:val="24"/>
                <w:szCs w:val="24"/>
                <w:highlight w:val="yellow"/>
              </w:rPr>
            </w:pPr>
            <w:r>
              <w:rPr>
                <w:rFonts w:hint="eastAsia" w:ascii="仿宋" w:hAnsi="仿宋" w:eastAsia="仿宋" w:cs="仿宋"/>
                <w:bCs/>
                <w:sz w:val="24"/>
                <w:szCs w:val="24"/>
              </w:rPr>
              <w:t>●</w:t>
            </w:r>
            <w:r>
              <w:rPr>
                <w:rFonts w:hint="eastAsia" w:ascii="仿宋" w:hAnsi="仿宋" w:eastAsia="仿宋" w:cs="仿宋"/>
                <w:sz w:val="24"/>
                <w:szCs w:val="24"/>
              </w:rPr>
              <w:t>6、耐老化性能：依据QB/T2601-2013《体育场馆公共座椅》、ISO 4892-2:2013《塑料-实验室光源暴露方法第2部分:氙弧灯》、DIN EN 20105A02:1994《纺织品-色牢度实验第A02部分:评定变色用灰样卡》、GB/T16422.2《塑料实验室光源暴露试验方法第2部分:弧灯》、GB250《评定变色用灰色样卡》、ISO179-1:2010《塑料-摆式冲击性能的测定第1部分:非机械冲击试验》对所投产品（座椅）塑料件耐老化性进行检测，在日光滤光器-B/B（18min喷淋102min干燥），连续光照、辐射度0.55W/m2、（63±3）℃、相对湿度（65±5）%模式下，时间≥1000h，外观颜色变化灰度等级不小于3级，检测结果不低于7000h，灰度不低于4级；冲击强度老化前6.1KJ/m2,保留率≥60%，检测结果不低于70%。</w:t>
            </w:r>
            <w:r>
              <w:rPr>
                <w:rFonts w:hint="eastAsia" w:ascii="仿宋" w:hAnsi="仿宋" w:eastAsia="仿宋" w:cs="仿宋"/>
                <w:b/>
                <w:bCs/>
                <w:sz w:val="24"/>
                <w:szCs w:val="24"/>
              </w:rPr>
              <w:t>参选文件中须提供有权第三方检测机构出具的检验报告复印件并加盖参选人公章。</w:t>
            </w:r>
          </w:p>
          <w:p w14:paraId="4BAC72FE">
            <w:pPr>
              <w:rPr>
                <w:rFonts w:hint="eastAsia" w:ascii="仿宋" w:hAnsi="仿宋" w:eastAsia="仿宋" w:cs="仿宋"/>
                <w:sz w:val="24"/>
                <w:szCs w:val="24"/>
              </w:rPr>
            </w:pPr>
            <w:r>
              <w:rPr>
                <w:rFonts w:hint="eastAsia" w:ascii="仿宋" w:hAnsi="仿宋" w:eastAsia="仿宋" w:cs="仿宋"/>
                <w:sz w:val="24"/>
                <w:szCs w:val="24"/>
              </w:rPr>
              <w:t>7、活动看台胶合板（层压板）采用GB 8624-2012《建筑材料及制品燃烧性能分级》B1级检测，测试结果符合B1（C-S2,d0）。</w:t>
            </w:r>
          </w:p>
          <w:p w14:paraId="1B3BD885">
            <w:pPr>
              <w:rPr>
                <w:rFonts w:hint="eastAsia" w:ascii="仿宋" w:hAnsi="仿宋" w:eastAsia="仿宋" w:cs="仿宋"/>
                <w:sz w:val="24"/>
                <w:szCs w:val="24"/>
                <w:highlight w:val="green"/>
              </w:rPr>
            </w:pPr>
            <w:r>
              <w:rPr>
                <w:rFonts w:hint="eastAsia" w:ascii="仿宋" w:hAnsi="仿宋" w:eastAsia="仿宋" w:cs="仿宋"/>
                <w:sz w:val="24"/>
                <w:szCs w:val="24"/>
              </w:rPr>
              <w:t>8、座椅阻燃检测项目符合：GB8624-2012《建筑材料及制品燃烧性能分级》B1级（硬质家具）的检测要求。</w:t>
            </w:r>
          </w:p>
          <w:p w14:paraId="4D356645">
            <w:pPr>
              <w:rPr>
                <w:rFonts w:hint="eastAsia" w:ascii="仿宋" w:hAnsi="仿宋" w:eastAsia="仿宋" w:cs="仿宋"/>
                <w:sz w:val="24"/>
                <w:szCs w:val="24"/>
              </w:rPr>
            </w:pPr>
            <w:r>
              <w:rPr>
                <w:rFonts w:hint="eastAsia" w:ascii="仿宋" w:hAnsi="仿宋" w:eastAsia="仿宋" w:cs="仿宋"/>
                <w:sz w:val="24"/>
                <w:szCs w:val="24"/>
              </w:rPr>
              <w:t>9、金属涂层性能：QB/T2601-2013《体育场馆公共座椅》、GB/T 1720-2020《膜划圈试验》、GB/T 10357.3-2013《家具力学性能试验第3部分:椅凳类强度和耐久性》等对所投产品（座椅）金属件涂层硬度进行检测，</w:t>
            </w:r>
            <w:bookmarkStart w:id="2" w:name="OLE_LINK417"/>
            <w:r>
              <w:rPr>
                <w:rFonts w:hint="eastAsia" w:ascii="仿宋" w:hAnsi="仿宋" w:eastAsia="仿宋" w:cs="仿宋"/>
                <w:sz w:val="24"/>
                <w:szCs w:val="24"/>
              </w:rPr>
              <w:t>座椅</w:t>
            </w:r>
            <w:bookmarkEnd w:id="2"/>
            <w:r>
              <w:rPr>
                <w:rFonts w:hint="eastAsia" w:ascii="仿宋" w:hAnsi="仿宋" w:eastAsia="仿宋" w:cs="仿宋"/>
                <w:sz w:val="24"/>
                <w:szCs w:val="24"/>
              </w:rPr>
              <w:t>Q235B金属件(喷塑)在(23+2)℃(50士5)%RH状态下调节48h;测试负荷:(7.35士0.15)N，铅笔硬度-内聚破坏(划伤)≥5H。</w:t>
            </w:r>
          </w:p>
          <w:p w14:paraId="4BEB836F">
            <w:pPr>
              <w:pStyle w:val="2"/>
              <w:numPr>
                <w:ilvl w:val="0"/>
                <w:numId w:val="0"/>
              </w:numPr>
              <w:spacing w:line="240" w:lineRule="auto"/>
              <w:rPr>
                <w:rFonts w:hint="eastAsia" w:ascii="仿宋" w:hAnsi="仿宋" w:eastAsia="仿宋" w:cs="仿宋"/>
                <w:sz w:val="24"/>
                <w:szCs w:val="24"/>
              </w:rPr>
            </w:pPr>
            <w:r>
              <w:rPr>
                <w:rFonts w:hint="eastAsia" w:ascii="仿宋" w:hAnsi="仿宋" w:eastAsia="仿宋" w:cs="仿宋"/>
                <w:sz w:val="24"/>
                <w:szCs w:val="24"/>
              </w:rPr>
              <w:t>10、涂层老化评级：依据GB/T1766-2008《色漆和清漆 涂层老化的评级方法》对所投产品的喷塑部件按GB/T16422-2022的方法A循环序号1进行5000h氙灯老化预处理，检测结果喷塑部件变色≤2级，无粉化、起泡、开裂、剥落等异常现象。</w:t>
            </w:r>
          </w:p>
          <w:p w14:paraId="0D557E71">
            <w:pPr>
              <w:rPr>
                <w:rFonts w:hint="eastAsia" w:ascii="仿宋" w:hAnsi="仿宋" w:eastAsia="仿宋" w:cs="仿宋"/>
                <w:sz w:val="24"/>
                <w:szCs w:val="24"/>
              </w:rPr>
            </w:pPr>
            <w:r>
              <w:rPr>
                <w:rFonts w:hint="eastAsia" w:ascii="仿宋" w:hAnsi="仿宋" w:eastAsia="仿宋" w:cs="仿宋"/>
                <w:sz w:val="24"/>
                <w:szCs w:val="24"/>
              </w:rPr>
              <w:t>六、环保性能指标：</w:t>
            </w:r>
          </w:p>
          <w:p w14:paraId="6112F9AA">
            <w:pPr>
              <w:rPr>
                <w:rFonts w:hint="eastAsia" w:ascii="仿宋" w:hAnsi="仿宋" w:eastAsia="仿宋" w:cs="仿宋"/>
                <w:sz w:val="24"/>
                <w:szCs w:val="24"/>
              </w:rPr>
            </w:pPr>
            <w:r>
              <w:rPr>
                <w:rFonts w:hint="eastAsia" w:ascii="仿宋" w:hAnsi="仿宋" w:eastAsia="仿宋" w:cs="仿宋"/>
                <w:bCs/>
                <w:sz w:val="24"/>
                <w:szCs w:val="24"/>
              </w:rPr>
              <w:t>●</w:t>
            </w:r>
            <w:r>
              <w:rPr>
                <w:rFonts w:hint="eastAsia" w:ascii="仿宋" w:hAnsi="仿宋" w:eastAsia="仿宋" w:cs="仿宋"/>
                <w:sz w:val="24"/>
                <w:szCs w:val="24"/>
              </w:rPr>
              <w:t>1、椅材抗菌性能：依据QB/T2601-2013《体育场馆公共座椅》、GB/T31402-2023《塑料和其他无孔材料表面抗菌活性的测定》对所投产品（座椅）抗菌性能（座椅塑料件PE）进行检测，其中的大肠杆菌（ATCC8739）36小时的抗菌性能值＞8.0，抗菌率＞99%；金黄色葡萄球菌（ATCC6538P）36小时的抗菌性能值＞8.0,抗菌率＞99%。</w:t>
            </w:r>
            <w:r>
              <w:rPr>
                <w:rFonts w:hint="eastAsia" w:ascii="仿宋" w:hAnsi="仿宋" w:eastAsia="仿宋" w:cs="仿宋"/>
                <w:b/>
                <w:bCs/>
                <w:sz w:val="24"/>
                <w:szCs w:val="24"/>
              </w:rPr>
              <w:t>参选文件中须提供有权第三方检测机构出具的检验报告复印件并加盖参选人公章。</w:t>
            </w:r>
          </w:p>
          <w:p w14:paraId="67CF6139">
            <w:pPr>
              <w:rPr>
                <w:rFonts w:hint="eastAsia" w:ascii="仿宋" w:hAnsi="仿宋" w:eastAsia="仿宋" w:cs="仿宋"/>
                <w:sz w:val="24"/>
                <w:szCs w:val="24"/>
              </w:rPr>
            </w:pPr>
            <w:r>
              <w:rPr>
                <w:rFonts w:hint="eastAsia" w:ascii="仿宋" w:hAnsi="仿宋" w:eastAsia="仿宋" w:cs="仿宋"/>
                <w:sz w:val="24"/>
                <w:szCs w:val="24"/>
              </w:rPr>
              <w:t>2、椅材符合：GB28481-2012塑料家具中有害物质含量检测，依据：SN/T20052-2005电子电气产品中多溴联苯和多溴联苯醚的测定第2部分:气相色谱质谱法GB6675-2003国家玩具安全技术规范SN/T18772-2007塑料原料及其制品中多环芳烃的测定方法GB/T22048-2008玩具及儿童用品聚氯乙烯塑料中邻苯二甲酸酯增塑剂的测定a）重金属：可溶性镉、铬、铅、汞；b）多溴联苯（PBB）、多溴二苯醚（PBDE）、16种多环芳烃总和、苯并[a]芘、邻苯二甲酸二丁酯（DBP)、邻苯二甲酸丁苄酯（BBP）、邻苯二甲酸二（2-乙基）己酯（DEHP）、邻苯二甲酸二正辛酯（DNOP）、邻苯二甲酸二异壬酯（DINP）、邻苯二甲酸二异癸酯（DIDP）含量须低于指标或未检出。</w:t>
            </w:r>
          </w:p>
          <w:p w14:paraId="3AA4419C">
            <w:pPr>
              <w:rPr>
                <w:rFonts w:hint="eastAsia" w:ascii="仿宋" w:hAnsi="仿宋" w:eastAsia="仿宋" w:cs="仿宋"/>
                <w:sz w:val="24"/>
                <w:szCs w:val="24"/>
              </w:rPr>
            </w:pPr>
            <w:r>
              <w:rPr>
                <w:rFonts w:hint="eastAsia" w:ascii="仿宋" w:hAnsi="仿宋" w:eastAsia="仿宋" w:cs="仿宋"/>
                <w:bCs/>
                <w:sz w:val="24"/>
                <w:szCs w:val="24"/>
              </w:rPr>
              <w:t>●</w:t>
            </w:r>
            <w:r>
              <w:rPr>
                <w:rFonts w:hint="eastAsia" w:ascii="仿宋" w:hAnsi="仿宋" w:eastAsia="仿宋" w:cs="仿宋"/>
                <w:sz w:val="24"/>
                <w:szCs w:val="24"/>
              </w:rPr>
              <w:t>3、椅材防霉性能：依据GB/T24128《塑料、塑料防霉剂的防霉效果评估》对所投产品塑料材料（PP）进行防霉测试，试验菌种黑曲霉ATCC6275、球毛壳霉ATCC6205、宛氏拟青霉CBS628.66、绳状青霉ATCC9644、长枝木霉ATCC13631，在适宜的时间、温度和湿度的条件下，塑料长霉等级为0级，</w:t>
            </w:r>
            <w:r>
              <w:rPr>
                <w:rFonts w:hint="eastAsia" w:ascii="仿宋" w:hAnsi="仿宋" w:eastAsia="仿宋" w:cs="仿宋"/>
                <w:b/>
                <w:bCs/>
                <w:sz w:val="24"/>
                <w:szCs w:val="24"/>
              </w:rPr>
              <w:t>参选文件中须提供有权第三方检测机构出具的检验报告复印件并加盖参选人公章。</w:t>
            </w:r>
          </w:p>
          <w:p w14:paraId="774F4039">
            <w:pPr>
              <w:rPr>
                <w:rFonts w:hint="eastAsia" w:ascii="仿宋" w:hAnsi="仿宋" w:eastAsia="仿宋" w:cs="仿宋"/>
                <w:sz w:val="24"/>
                <w:szCs w:val="24"/>
              </w:rPr>
            </w:pPr>
            <w:r>
              <w:rPr>
                <w:rFonts w:hint="eastAsia" w:ascii="仿宋" w:hAnsi="仿宋" w:eastAsia="仿宋" w:cs="仿宋"/>
                <w:sz w:val="24"/>
                <w:szCs w:val="24"/>
              </w:rPr>
              <w:t>4、钢部件涂层元素迁移符合：依据HJ 2547-2016《环境标志产品技术要求 家具》对参选人所投产品钢部件喷塑涂层进行检测，可迁移元素（锑（Sb）、砷（As）、钡（Ba）、镉（Cd）、铬（Cr）、铅（Pb）、汞（Hg）、硒（Se）都检测合格（或类似表述的）的。</w:t>
            </w:r>
          </w:p>
        </w:tc>
        <w:tc>
          <w:tcPr>
            <w:tcW w:w="1021" w:type="dxa"/>
            <w:vAlign w:val="center"/>
          </w:tcPr>
          <w:p w14:paraId="6F74F10E">
            <w:pPr>
              <w:autoSpaceDE w:val="0"/>
              <w:autoSpaceDN w:val="0"/>
              <w:adjustRightInd w:val="0"/>
              <w:snapToGrid w:val="0"/>
              <w:rPr>
                <w:rFonts w:hint="eastAsia" w:ascii="仿宋" w:hAnsi="仿宋" w:eastAsia="仿宋" w:cs="仿宋"/>
                <w:sz w:val="24"/>
                <w:szCs w:val="24"/>
              </w:rPr>
            </w:pPr>
            <w:r>
              <w:rPr>
                <w:rFonts w:hint="eastAsia" w:ascii="仿宋" w:hAnsi="仿宋" w:eastAsia="仿宋" w:cs="仿宋"/>
                <w:sz w:val="24"/>
                <w:szCs w:val="24"/>
              </w:rPr>
              <w:t>1240个</w:t>
            </w:r>
          </w:p>
        </w:tc>
      </w:tr>
    </w:tbl>
    <w:p w14:paraId="1F42CCB4">
      <w:pPr>
        <w:pStyle w:val="5"/>
        <w:ind w:firstLine="482"/>
        <w:rPr>
          <w:rFonts w:hint="eastAsia" w:ascii="仿宋" w:hAnsi="仿宋" w:eastAsia="仿宋" w:cs="仿宋"/>
          <w:b/>
          <w:szCs w:val="24"/>
        </w:rPr>
      </w:pPr>
      <w:r>
        <w:rPr>
          <w:rFonts w:hint="eastAsia" w:ascii="仿宋" w:hAnsi="仿宋" w:eastAsia="仿宋" w:cs="仿宋"/>
          <w:b/>
          <w:szCs w:val="24"/>
        </w:rPr>
        <w:t>三、报价要求</w:t>
      </w:r>
    </w:p>
    <w:p w14:paraId="5B2A239A">
      <w:pPr>
        <w:spacing w:line="360" w:lineRule="auto"/>
        <w:ind w:firstLine="437"/>
        <w:jc w:val="left"/>
        <w:rPr>
          <w:rFonts w:hint="eastAsia" w:ascii="仿宋" w:hAnsi="仿宋" w:eastAsia="仿宋" w:cs="仿宋"/>
          <w:sz w:val="24"/>
          <w:szCs w:val="24"/>
        </w:rPr>
      </w:pPr>
      <w:r>
        <w:rPr>
          <w:rFonts w:hint="eastAsia" w:ascii="仿宋" w:hAnsi="仿宋" w:eastAsia="仿宋" w:cs="仿宋"/>
          <w:sz w:val="24"/>
          <w:szCs w:val="24"/>
        </w:rPr>
        <w:t>本项目报总价，比选报价包括本项目需求（包含比选文件要求内容、参选文件承诺内容、评审过程澄清修改内容等）的全部货物及包括但不限于设备费、管理费、安装费、交通费、人员费、通讯费、税金、利润、劳动保险费、合同工期内的风险费用等为完成本项目所发生的一切费用。</w:t>
      </w:r>
      <w:r>
        <w:rPr>
          <w:rFonts w:hint="eastAsia" w:ascii="仿宋" w:hAnsi="仿宋" w:eastAsia="仿宋" w:cs="仿宋"/>
          <w:b/>
          <w:bCs/>
          <w:sz w:val="24"/>
          <w:szCs w:val="24"/>
        </w:rPr>
        <w:t>本项目采取总价包干，</w:t>
      </w:r>
      <w:r>
        <w:rPr>
          <w:rFonts w:hint="eastAsia" w:ascii="仿宋" w:hAnsi="仿宋" w:eastAsia="仿宋" w:cs="仿宋"/>
          <w:b/>
          <w:bCs/>
          <w:sz w:val="24"/>
          <w:szCs w:val="24"/>
          <w:lang w:val="en-US" w:eastAsia="zh-CN"/>
        </w:rPr>
        <w:t>参选</w:t>
      </w:r>
      <w:r>
        <w:rPr>
          <w:rFonts w:hint="eastAsia" w:ascii="仿宋" w:hAnsi="仿宋" w:eastAsia="仿宋" w:cs="仿宋"/>
          <w:b/>
          <w:bCs/>
          <w:sz w:val="24"/>
          <w:szCs w:val="24"/>
        </w:rPr>
        <w:t>人可自行踏勘现场，充分了解本项目采购需求后进行合理报价，</w:t>
      </w:r>
      <w:r>
        <w:rPr>
          <w:rFonts w:hint="eastAsia" w:ascii="仿宋" w:hAnsi="仿宋" w:eastAsia="仿宋" w:cs="仿宋"/>
          <w:b/>
          <w:bCs/>
          <w:sz w:val="24"/>
          <w:szCs w:val="24"/>
          <w:lang w:val="en-US" w:eastAsia="zh-CN"/>
        </w:rPr>
        <w:t>中选</w:t>
      </w:r>
      <w:r>
        <w:rPr>
          <w:rFonts w:hint="eastAsia" w:ascii="仿宋" w:hAnsi="仿宋" w:eastAsia="仿宋" w:cs="仿宋"/>
          <w:b/>
          <w:bCs/>
          <w:sz w:val="24"/>
          <w:szCs w:val="24"/>
        </w:rPr>
        <w:t>后不得因不了解项目实际体量为由而放弃履约，比选分项报价表中须明确列</w:t>
      </w:r>
      <w:bookmarkStart w:id="3" w:name="_GoBack"/>
      <w:bookmarkEnd w:id="3"/>
      <w:r>
        <w:rPr>
          <w:rFonts w:hint="eastAsia" w:ascii="仿宋" w:hAnsi="仿宋" w:eastAsia="仿宋" w:cs="仿宋"/>
          <w:b/>
          <w:bCs/>
          <w:sz w:val="24"/>
          <w:szCs w:val="24"/>
        </w:rPr>
        <w:t>出所投产品所含货物名称、品牌、型号规格、原产地及生产厂商，否则可能导致响应无效。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255D9"/>
    <w:multiLevelType w:val="multilevel"/>
    <w:tmpl w:val="002255D9"/>
    <w:lvl w:ilvl="0" w:tentative="0">
      <w:start w:val="1"/>
      <w:numFmt w:val="bullet"/>
      <w:pStyle w:val="2"/>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2AC3EA0F"/>
    <w:multiLevelType w:val="singleLevel"/>
    <w:tmpl w:val="2AC3EA0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7667AD"/>
    <w:rsid w:val="38766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宋体"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10"/>
    <w:pPr>
      <w:numPr>
        <w:ilvl w:val="0"/>
        <w:numId w:val="1"/>
      </w:numPr>
      <w:spacing w:line="360" w:lineRule="auto"/>
      <w:ind w:firstLine="0"/>
    </w:pPr>
    <w:rPr>
      <w:sz w:val="24"/>
    </w:rPr>
  </w:style>
  <w:style w:type="paragraph" w:customStyle="1" w:styleId="5">
    <w:name w:val="段落"/>
    <w:basedOn w:val="1"/>
    <w:qFormat/>
    <w:uiPriority w:val="0"/>
    <w:pPr>
      <w:spacing w:line="360" w:lineRule="auto"/>
      <w:ind w:firstLine="420" w:firstLineChars="200"/>
      <w:jc w:val="left"/>
    </w:pPr>
    <w:rPr>
      <w:rFonts w:ascii="宋体" w:hAnsi="宋体"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2026-07-30T02:57:00Z</dcterms:created>
  <dc:creator>Xuzhenwen</dc:creator>
  <cp:lastModifiedBy>Xuzhenwen</cp:lastModifiedBy>
  <dcterms:modified xsi:type="dcterms:W3CDTF">2026-07-30T02:58:17Z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E0F99BB5C33F42078BEFA11BE245B960_11</vt:lpwstr>
  </property>
  <property fmtid="{D5CDD505-2E9C-101B-9397-08002B2CF9AE}" pid="4" name="KSOTemplateDocerSaveRecord">
    <vt:lpwstr>eyJoZGlkIjoiN2YzNjBkOTgyNWQ1YTMxYzM3MzMwNWFiODNmOWIzYWMiLCJ1c2VySWQiOiIzMDY4OTk3NTIifQ==</vt:lpwstr>
  </property>
</Properties>
</file>