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98373">
      <w:pPr>
        <w:spacing w:line="360" w:lineRule="auto"/>
        <w:jc w:val="center"/>
        <w:outlineLvl w:val="1"/>
        <w:rPr>
          <w:rFonts w:hint="eastAsia" w:ascii="仿宋" w:hAnsi="仿宋" w:eastAsia="仿宋" w:cs="仿宋"/>
          <w:b/>
          <w:sz w:val="28"/>
        </w:rPr>
      </w:pPr>
      <w:bookmarkStart w:id="0" w:name="_Toc18464"/>
      <w:r>
        <w:rPr>
          <w:rFonts w:hint="eastAsia" w:ascii="仿宋" w:hAnsi="仿宋" w:eastAsia="仿宋" w:cs="仿宋"/>
          <w:b/>
          <w:sz w:val="28"/>
        </w:rPr>
        <w:t>第三章  采购需求</w:t>
      </w:r>
      <w:bookmarkEnd w:id="0"/>
    </w:p>
    <w:p w14:paraId="3D673B2C">
      <w:pPr>
        <w:spacing w:line="360" w:lineRule="auto"/>
        <w:jc w:val="left"/>
        <w:rPr>
          <w:rFonts w:hint="eastAsia" w:ascii="仿宋" w:hAnsi="仿宋" w:eastAsia="仿宋" w:cs="仿宋"/>
          <w:b/>
          <w:sz w:val="24"/>
          <w:szCs w:val="24"/>
        </w:rPr>
      </w:pPr>
      <w:r>
        <w:rPr>
          <w:rFonts w:hint="eastAsia" w:ascii="仿宋" w:hAnsi="仿宋" w:eastAsia="仿宋" w:cs="仿宋"/>
          <w:b/>
          <w:sz w:val="24"/>
          <w:szCs w:val="24"/>
        </w:rPr>
        <w:t>前注：</w:t>
      </w:r>
    </w:p>
    <w:p w14:paraId="754B48E2">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1.本说明中提出的技术方案仅为参考，如无明确限制，参选人可以进行优化，提供满足用户实际需要的更优（或者性能实质上不低于的）技术方案，且此方案须经评审小组评审认可；</w:t>
      </w:r>
    </w:p>
    <w:p w14:paraId="1036B3F3">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2.为鼓励不同品牌的充分竞争，如某设备的某技术参数或要求属于个别品牌专有，则该技术参数及要求不具有限制性，参选人可对该参数或要求进行适当调整，并应当说明调整的理由，且此调整须经评审小组评审认可；</w:t>
      </w:r>
    </w:p>
    <w:p w14:paraId="178500DF">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3.为有助于参选人选择参选产品，项目说明中可能提供了推荐品牌（或型号）、参考品牌（或型号）等，这些品牌（或型号）仅供参考，并无限制性。参选人可以选择性能不低于推荐（或参考）的品牌（或型号）的其他品牌产品，但比选时应当提供有关技术证明资料，未提供的可能导致响应无效；</w:t>
      </w:r>
    </w:p>
    <w:p w14:paraId="27265CEB">
      <w:pPr>
        <w:spacing w:line="360" w:lineRule="auto"/>
        <w:ind w:firstLine="437"/>
        <w:jc w:val="left"/>
        <w:rPr>
          <w:rFonts w:hint="eastAsia" w:ascii="仿宋" w:hAnsi="仿宋" w:eastAsia="仿宋" w:cs="仿宋"/>
          <w:b/>
          <w:sz w:val="24"/>
          <w:szCs w:val="24"/>
        </w:rPr>
      </w:pPr>
      <w:r>
        <w:rPr>
          <w:rFonts w:hint="eastAsia" w:ascii="仿宋" w:hAnsi="仿宋" w:eastAsia="仿宋" w:cs="仿宋"/>
          <w:sz w:val="24"/>
          <w:szCs w:val="24"/>
        </w:rPr>
        <w:t>4.下列采购需求中标注进口产品的货物均已履行相关论证手续，经核准采购进口产品，但不限制满足参选文件要求的国内产品参与竞争。未标注进口产品的货物均为拒绝采购进口产品。</w:t>
      </w:r>
      <w:r>
        <w:rPr>
          <w:rFonts w:hint="eastAsia" w:ascii="仿宋" w:hAnsi="仿宋" w:eastAsia="仿宋" w:cs="仿宋"/>
          <w:b/>
          <w:sz w:val="24"/>
          <w:szCs w:val="24"/>
        </w:rPr>
        <w:br w:type="page"/>
      </w:r>
      <w:r>
        <w:rPr>
          <w:rFonts w:hint="eastAsia" w:ascii="仿宋" w:hAnsi="仿宋" w:eastAsia="仿宋" w:cs="仿宋"/>
          <w:b/>
          <w:sz w:val="24"/>
          <w:szCs w:val="24"/>
        </w:rPr>
        <w:t xml:space="preserve">    一、采购需求前附表</w:t>
      </w:r>
    </w:p>
    <w:tbl>
      <w:tblPr>
        <w:tblStyle w:val="2"/>
        <w:tblW w:w="8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2034"/>
        <w:gridCol w:w="5776"/>
      </w:tblGrid>
      <w:tr w14:paraId="735E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3" w:type="dxa"/>
            <w:noWrap w:val="0"/>
            <w:vAlign w:val="center"/>
          </w:tcPr>
          <w:p w14:paraId="029E41C4">
            <w:pPr>
              <w:jc w:val="center"/>
              <w:rPr>
                <w:rFonts w:hint="eastAsia" w:ascii="仿宋" w:hAnsi="仿宋" w:eastAsia="仿宋" w:cs="仿宋"/>
                <w:b/>
                <w:sz w:val="24"/>
              </w:rPr>
            </w:pPr>
            <w:r>
              <w:rPr>
                <w:rFonts w:hint="eastAsia" w:ascii="仿宋" w:hAnsi="仿宋" w:eastAsia="仿宋" w:cs="仿宋"/>
                <w:b/>
                <w:sz w:val="24"/>
              </w:rPr>
              <w:t>序号</w:t>
            </w:r>
          </w:p>
        </w:tc>
        <w:tc>
          <w:tcPr>
            <w:tcW w:w="2034" w:type="dxa"/>
            <w:noWrap w:val="0"/>
            <w:vAlign w:val="center"/>
          </w:tcPr>
          <w:p w14:paraId="1D9C2063">
            <w:pPr>
              <w:spacing w:line="360" w:lineRule="auto"/>
              <w:jc w:val="center"/>
              <w:rPr>
                <w:rFonts w:hint="eastAsia" w:ascii="仿宋" w:hAnsi="仿宋" w:eastAsia="仿宋" w:cs="仿宋"/>
                <w:b/>
                <w:kern w:val="0"/>
                <w:sz w:val="24"/>
                <w:szCs w:val="28"/>
              </w:rPr>
            </w:pPr>
            <w:r>
              <w:rPr>
                <w:rFonts w:hint="eastAsia" w:ascii="仿宋" w:hAnsi="仿宋" w:eastAsia="仿宋" w:cs="仿宋"/>
                <w:b/>
                <w:kern w:val="0"/>
                <w:sz w:val="24"/>
                <w:szCs w:val="28"/>
              </w:rPr>
              <w:t>条款名称</w:t>
            </w:r>
          </w:p>
        </w:tc>
        <w:tc>
          <w:tcPr>
            <w:tcW w:w="5776" w:type="dxa"/>
            <w:noWrap w:val="0"/>
            <w:vAlign w:val="center"/>
          </w:tcPr>
          <w:p w14:paraId="09D5EFE3">
            <w:pPr>
              <w:spacing w:line="360" w:lineRule="auto"/>
              <w:jc w:val="center"/>
              <w:rPr>
                <w:rFonts w:hint="eastAsia" w:ascii="仿宋" w:hAnsi="仿宋" w:eastAsia="仿宋" w:cs="仿宋"/>
                <w:b/>
                <w:kern w:val="0"/>
                <w:sz w:val="24"/>
                <w:szCs w:val="28"/>
              </w:rPr>
            </w:pPr>
            <w:r>
              <w:rPr>
                <w:rFonts w:hint="eastAsia" w:ascii="仿宋" w:hAnsi="仿宋" w:eastAsia="仿宋" w:cs="仿宋"/>
                <w:b/>
                <w:kern w:val="0"/>
                <w:sz w:val="24"/>
                <w:szCs w:val="28"/>
              </w:rPr>
              <w:t>内容、说明与要求</w:t>
            </w:r>
          </w:p>
        </w:tc>
      </w:tr>
      <w:tr w14:paraId="4DCA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3" w:type="dxa"/>
            <w:noWrap w:val="0"/>
            <w:vAlign w:val="center"/>
          </w:tcPr>
          <w:p w14:paraId="05EA8CCD">
            <w:pPr>
              <w:jc w:val="center"/>
              <w:rPr>
                <w:rFonts w:hint="eastAsia" w:ascii="仿宋" w:hAnsi="仿宋" w:eastAsia="仿宋" w:cs="仿宋"/>
                <w:bCs/>
                <w:sz w:val="24"/>
              </w:rPr>
            </w:pPr>
            <w:r>
              <w:rPr>
                <w:rFonts w:hint="eastAsia" w:ascii="仿宋" w:hAnsi="仿宋" w:eastAsia="仿宋" w:cs="仿宋"/>
                <w:bCs/>
                <w:sz w:val="24"/>
              </w:rPr>
              <w:t>1</w:t>
            </w:r>
          </w:p>
        </w:tc>
        <w:tc>
          <w:tcPr>
            <w:tcW w:w="2034" w:type="dxa"/>
            <w:noWrap w:val="0"/>
            <w:vAlign w:val="center"/>
          </w:tcPr>
          <w:p w14:paraId="0CF173C4">
            <w:pPr>
              <w:spacing w:line="360" w:lineRule="auto"/>
              <w:jc w:val="center"/>
              <w:rPr>
                <w:rFonts w:hint="eastAsia" w:ascii="仿宋" w:hAnsi="仿宋" w:eastAsia="仿宋" w:cs="仿宋"/>
                <w:bCs/>
                <w:kern w:val="0"/>
                <w:sz w:val="24"/>
                <w:szCs w:val="28"/>
              </w:rPr>
            </w:pPr>
            <w:r>
              <w:rPr>
                <w:rFonts w:hint="eastAsia" w:ascii="仿宋" w:hAnsi="仿宋" w:eastAsia="仿宋" w:cs="仿宋"/>
                <w:bCs/>
                <w:kern w:val="0"/>
                <w:sz w:val="24"/>
                <w:szCs w:val="28"/>
              </w:rPr>
              <w:t>付款方式</w:t>
            </w:r>
          </w:p>
        </w:tc>
        <w:tc>
          <w:tcPr>
            <w:tcW w:w="5776" w:type="dxa"/>
            <w:noWrap w:val="0"/>
            <w:vAlign w:val="center"/>
          </w:tcPr>
          <w:p w14:paraId="3E17C38A">
            <w:pPr>
              <w:spacing w:line="360" w:lineRule="auto"/>
              <w:jc w:val="left"/>
              <w:rPr>
                <w:rFonts w:hint="eastAsia" w:ascii="仿宋" w:hAnsi="仿宋" w:eastAsia="仿宋" w:cs="仿宋"/>
                <w:bCs/>
                <w:kern w:val="0"/>
                <w:sz w:val="24"/>
                <w:lang w:eastAsia="zh-CN"/>
              </w:rPr>
            </w:pPr>
            <w:r>
              <w:rPr>
                <w:rFonts w:hint="eastAsia" w:ascii="仿宋" w:hAnsi="仿宋" w:eastAsia="仿宋" w:cs="仿宋"/>
                <w:bCs/>
                <w:kern w:val="0"/>
                <w:sz w:val="24"/>
                <w:lang w:eastAsia="zh-CN"/>
              </w:rPr>
              <w:t>供货完成并验收合格后支付总价款的100%。</w:t>
            </w:r>
          </w:p>
        </w:tc>
      </w:tr>
      <w:tr w14:paraId="54B5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3" w:type="dxa"/>
            <w:noWrap w:val="0"/>
            <w:vAlign w:val="center"/>
          </w:tcPr>
          <w:p w14:paraId="79852FC4">
            <w:pPr>
              <w:jc w:val="center"/>
              <w:rPr>
                <w:rFonts w:hint="eastAsia" w:ascii="仿宋" w:hAnsi="仿宋" w:eastAsia="仿宋" w:cs="仿宋"/>
                <w:bCs/>
                <w:sz w:val="24"/>
              </w:rPr>
            </w:pPr>
            <w:r>
              <w:rPr>
                <w:rFonts w:hint="eastAsia" w:ascii="仿宋" w:hAnsi="仿宋" w:eastAsia="仿宋" w:cs="仿宋"/>
                <w:bCs/>
                <w:sz w:val="24"/>
              </w:rPr>
              <w:t>2</w:t>
            </w:r>
          </w:p>
        </w:tc>
        <w:tc>
          <w:tcPr>
            <w:tcW w:w="2034" w:type="dxa"/>
            <w:noWrap w:val="0"/>
            <w:vAlign w:val="center"/>
          </w:tcPr>
          <w:p w14:paraId="327E1A93">
            <w:pPr>
              <w:spacing w:line="360" w:lineRule="auto"/>
              <w:jc w:val="center"/>
              <w:rPr>
                <w:rFonts w:hint="eastAsia" w:ascii="仿宋" w:hAnsi="仿宋" w:eastAsia="仿宋" w:cs="仿宋"/>
                <w:bCs/>
                <w:kern w:val="0"/>
                <w:sz w:val="24"/>
                <w:szCs w:val="28"/>
              </w:rPr>
            </w:pPr>
            <w:r>
              <w:rPr>
                <w:rFonts w:hint="eastAsia" w:ascii="仿宋" w:hAnsi="仿宋" w:eastAsia="仿宋" w:cs="仿宋"/>
                <w:bCs/>
                <w:kern w:val="0"/>
                <w:sz w:val="24"/>
                <w:szCs w:val="28"/>
              </w:rPr>
              <w:t>供货及安装地点</w:t>
            </w:r>
          </w:p>
        </w:tc>
        <w:tc>
          <w:tcPr>
            <w:tcW w:w="5776" w:type="dxa"/>
            <w:noWrap w:val="0"/>
            <w:vAlign w:val="center"/>
          </w:tcPr>
          <w:p w14:paraId="4EA91DB9">
            <w:pPr>
              <w:spacing w:line="360" w:lineRule="auto"/>
              <w:jc w:val="left"/>
              <w:rPr>
                <w:rFonts w:hint="default" w:ascii="仿宋" w:hAnsi="仿宋" w:eastAsia="仿宋" w:cs="仿宋"/>
                <w:sz w:val="24"/>
                <w:lang w:val="en-US" w:eastAsia="zh-CN"/>
              </w:rPr>
            </w:pPr>
            <w:r>
              <w:rPr>
                <w:rFonts w:hint="eastAsia" w:ascii="仿宋" w:hAnsi="仿宋" w:eastAsia="仿宋" w:cs="仿宋"/>
                <w:sz w:val="24"/>
                <w:lang w:val="en-US" w:eastAsia="zh-CN"/>
              </w:rPr>
              <w:t>安徽医科大学新医科中心（新校区）</w:t>
            </w:r>
            <w:r>
              <w:rPr>
                <w:rFonts w:hint="eastAsia" w:ascii="仿宋" w:hAnsi="仿宋" w:eastAsia="仿宋" w:cs="仿宋"/>
                <w:color w:val="auto"/>
                <w:sz w:val="24"/>
                <w:szCs w:val="24"/>
              </w:rPr>
              <w:t>或采购人指定地点</w:t>
            </w:r>
          </w:p>
        </w:tc>
      </w:tr>
      <w:tr w14:paraId="4AC0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3" w:type="dxa"/>
            <w:noWrap w:val="0"/>
            <w:vAlign w:val="center"/>
          </w:tcPr>
          <w:p w14:paraId="55230E23">
            <w:pPr>
              <w:jc w:val="center"/>
              <w:rPr>
                <w:rFonts w:hint="eastAsia" w:ascii="仿宋" w:hAnsi="仿宋" w:eastAsia="仿宋" w:cs="仿宋"/>
                <w:bCs/>
                <w:sz w:val="24"/>
              </w:rPr>
            </w:pPr>
            <w:r>
              <w:rPr>
                <w:rFonts w:hint="eastAsia" w:ascii="仿宋" w:hAnsi="仿宋" w:eastAsia="仿宋" w:cs="仿宋"/>
                <w:bCs/>
                <w:sz w:val="24"/>
              </w:rPr>
              <w:t>3</w:t>
            </w:r>
          </w:p>
        </w:tc>
        <w:tc>
          <w:tcPr>
            <w:tcW w:w="2034" w:type="dxa"/>
            <w:noWrap w:val="0"/>
            <w:vAlign w:val="center"/>
          </w:tcPr>
          <w:p w14:paraId="423D771B">
            <w:pPr>
              <w:spacing w:line="360" w:lineRule="auto"/>
              <w:jc w:val="center"/>
              <w:rPr>
                <w:rFonts w:hint="eastAsia" w:ascii="仿宋" w:hAnsi="仿宋" w:eastAsia="仿宋" w:cs="仿宋"/>
                <w:bCs/>
                <w:kern w:val="0"/>
                <w:sz w:val="24"/>
                <w:szCs w:val="28"/>
              </w:rPr>
            </w:pPr>
            <w:r>
              <w:rPr>
                <w:rFonts w:hint="eastAsia" w:ascii="仿宋" w:hAnsi="仿宋" w:eastAsia="仿宋" w:cs="仿宋"/>
                <w:bCs/>
                <w:kern w:val="0"/>
                <w:sz w:val="24"/>
                <w:szCs w:val="28"/>
              </w:rPr>
              <w:t>供货及安装期限</w:t>
            </w:r>
          </w:p>
        </w:tc>
        <w:tc>
          <w:tcPr>
            <w:tcW w:w="5776" w:type="dxa"/>
            <w:noWrap w:val="0"/>
            <w:vAlign w:val="center"/>
          </w:tcPr>
          <w:p w14:paraId="18D19FA8">
            <w:pPr>
              <w:spacing w:line="360" w:lineRule="auto"/>
              <w:jc w:val="left"/>
              <w:rPr>
                <w:rFonts w:hint="eastAsia" w:ascii="仿宋" w:hAnsi="仿宋" w:eastAsia="仿宋" w:cs="仿宋"/>
                <w:sz w:val="24"/>
              </w:rPr>
            </w:pPr>
            <w:r>
              <w:rPr>
                <w:rFonts w:hint="eastAsia" w:ascii="仿宋" w:hAnsi="仿宋" w:eastAsia="仿宋" w:cs="仿宋"/>
                <w:sz w:val="24"/>
                <w:szCs w:val="24"/>
                <w:lang w:eastAsia="zh-CN"/>
              </w:rPr>
              <w:t>合同生效后，接比选人通知7个日历天内供货到指定具体地点；接比选人进场通知后</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lang w:eastAsia="zh-CN"/>
              </w:rPr>
              <w:t>个</w:t>
            </w:r>
            <w:r>
              <w:rPr>
                <w:rFonts w:hint="eastAsia" w:ascii="仿宋" w:hAnsi="仿宋" w:eastAsia="仿宋" w:cs="仿宋"/>
                <w:sz w:val="24"/>
                <w:szCs w:val="24"/>
                <w:lang w:eastAsia="zh-CN"/>
              </w:rPr>
              <w:t>日历天内完成所有安装、调试、联调、培训工作。</w:t>
            </w:r>
          </w:p>
        </w:tc>
      </w:tr>
      <w:tr w14:paraId="376D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3" w:type="dxa"/>
            <w:noWrap w:val="0"/>
            <w:vAlign w:val="center"/>
          </w:tcPr>
          <w:p w14:paraId="2CF76508">
            <w:pPr>
              <w:jc w:val="center"/>
              <w:rPr>
                <w:rFonts w:hint="eastAsia" w:ascii="仿宋" w:hAnsi="仿宋" w:eastAsia="仿宋" w:cs="仿宋"/>
                <w:bCs/>
                <w:sz w:val="24"/>
              </w:rPr>
            </w:pPr>
            <w:r>
              <w:rPr>
                <w:rFonts w:hint="eastAsia" w:ascii="仿宋" w:hAnsi="仿宋" w:eastAsia="仿宋" w:cs="仿宋"/>
                <w:bCs/>
                <w:sz w:val="24"/>
              </w:rPr>
              <w:t>4</w:t>
            </w:r>
          </w:p>
        </w:tc>
        <w:tc>
          <w:tcPr>
            <w:tcW w:w="2034" w:type="dxa"/>
            <w:noWrap w:val="0"/>
            <w:vAlign w:val="center"/>
          </w:tcPr>
          <w:p w14:paraId="303C243E">
            <w:pPr>
              <w:spacing w:line="360" w:lineRule="auto"/>
              <w:jc w:val="center"/>
              <w:rPr>
                <w:rFonts w:hint="eastAsia" w:ascii="仿宋" w:hAnsi="仿宋" w:eastAsia="仿宋" w:cs="仿宋"/>
                <w:bCs/>
                <w:kern w:val="0"/>
                <w:sz w:val="24"/>
                <w:szCs w:val="28"/>
              </w:rPr>
            </w:pPr>
            <w:r>
              <w:rPr>
                <w:rFonts w:hint="eastAsia" w:ascii="仿宋" w:hAnsi="仿宋" w:eastAsia="仿宋" w:cs="仿宋"/>
                <w:bCs/>
                <w:kern w:val="0"/>
                <w:sz w:val="24"/>
                <w:szCs w:val="28"/>
              </w:rPr>
              <w:t>免费质保期</w:t>
            </w:r>
          </w:p>
        </w:tc>
        <w:tc>
          <w:tcPr>
            <w:tcW w:w="5776" w:type="dxa"/>
            <w:noWrap w:val="0"/>
            <w:vAlign w:val="center"/>
          </w:tcPr>
          <w:p w14:paraId="6AF4C7DC">
            <w:pPr>
              <w:spacing w:line="360" w:lineRule="auto"/>
              <w:jc w:val="left"/>
              <w:rPr>
                <w:rFonts w:hint="eastAsia" w:ascii="仿宋" w:hAnsi="仿宋" w:eastAsia="仿宋" w:cs="仿宋"/>
                <w:sz w:val="24"/>
              </w:rPr>
            </w:pPr>
            <w:r>
              <w:rPr>
                <w:rFonts w:hint="eastAsia" w:ascii="仿宋" w:hAnsi="仿宋" w:eastAsia="仿宋" w:cs="仿宋"/>
                <w:sz w:val="24"/>
                <w:szCs w:val="24"/>
              </w:rPr>
              <w:t>自验收合格之日起</w:t>
            </w:r>
            <w:r>
              <w:rPr>
                <w:rFonts w:hint="eastAsia" w:ascii="仿宋" w:hAnsi="仿宋" w:eastAsia="仿宋" w:cs="仿宋"/>
                <w:sz w:val="24"/>
                <w:szCs w:val="24"/>
                <w:lang w:val="en-US" w:eastAsia="zh-CN"/>
              </w:rPr>
              <w:t>不少于3</w:t>
            </w:r>
            <w:r>
              <w:rPr>
                <w:rFonts w:hint="eastAsia" w:ascii="仿宋" w:hAnsi="仿宋" w:eastAsia="仿宋" w:cs="仿宋"/>
                <w:sz w:val="24"/>
              </w:rPr>
              <w:t>年。</w:t>
            </w:r>
            <w:r>
              <w:rPr>
                <w:rFonts w:hint="eastAsia" w:ascii="仿宋" w:hAnsi="仿宋" w:eastAsia="仿宋" w:cs="仿宋"/>
                <w:b/>
                <w:kern w:val="0"/>
                <w:sz w:val="24"/>
                <w:szCs w:val="28"/>
              </w:rPr>
              <w:t>货物需求中另有要求的，以采购需求为准。</w:t>
            </w:r>
          </w:p>
        </w:tc>
      </w:tr>
    </w:tbl>
    <w:p w14:paraId="0D86BBAC">
      <w:pPr>
        <w:spacing w:line="360" w:lineRule="auto"/>
        <w:ind w:firstLine="437"/>
        <w:jc w:val="left"/>
        <w:rPr>
          <w:rFonts w:hint="eastAsia" w:ascii="仿宋" w:hAnsi="仿宋" w:eastAsia="仿宋" w:cs="仿宋"/>
          <w:b/>
          <w:sz w:val="24"/>
          <w:szCs w:val="24"/>
        </w:rPr>
      </w:pPr>
      <w:r>
        <w:rPr>
          <w:rFonts w:hint="eastAsia" w:ascii="仿宋" w:hAnsi="仿宋" w:eastAsia="仿宋" w:cs="仿宋"/>
          <w:b/>
          <w:sz w:val="24"/>
          <w:szCs w:val="24"/>
        </w:rPr>
        <w:t>二、货物需求</w:t>
      </w:r>
    </w:p>
    <w:p w14:paraId="6840D867">
      <w:pPr>
        <w:widowControl/>
        <w:spacing w:line="360" w:lineRule="auto"/>
        <w:ind w:firstLine="437"/>
        <w:jc w:val="left"/>
        <w:rPr>
          <w:rFonts w:hint="eastAsia" w:ascii="仿宋" w:hAnsi="仿宋" w:eastAsia="仿宋" w:cs="仿宋"/>
          <w:b/>
          <w:sz w:val="24"/>
          <w:szCs w:val="24"/>
        </w:rPr>
      </w:pPr>
      <w:r>
        <w:rPr>
          <w:rFonts w:hint="eastAsia" w:ascii="仿宋" w:hAnsi="仿宋" w:eastAsia="仿宋" w:cs="仿宋"/>
          <w:b/>
          <w:sz w:val="24"/>
          <w:szCs w:val="24"/>
        </w:rPr>
        <w:t>（一）货物指标要求</w:t>
      </w:r>
    </w:p>
    <w:tbl>
      <w:tblPr>
        <w:tblStyle w:val="2"/>
        <w:tblW w:w="50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8"/>
        <w:gridCol w:w="1290"/>
        <w:gridCol w:w="5249"/>
      </w:tblGrid>
      <w:tr w14:paraId="0712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8" w:hRule="atLeast"/>
          <w:jc w:val="center"/>
        </w:trPr>
        <w:tc>
          <w:tcPr>
            <w:tcW w:w="1197" w:type="pct"/>
            <w:noWrap w:val="0"/>
            <w:vAlign w:val="center"/>
          </w:tcPr>
          <w:p w14:paraId="7AE62BDD">
            <w:pPr>
              <w:spacing w:line="360" w:lineRule="auto"/>
              <w:jc w:val="center"/>
              <w:rPr>
                <w:rFonts w:hint="eastAsia" w:ascii="仿宋" w:hAnsi="仿宋" w:eastAsia="仿宋" w:cs="仿宋"/>
                <w:b/>
                <w:bCs/>
                <w:sz w:val="24"/>
                <w:szCs w:val="18"/>
              </w:rPr>
            </w:pPr>
            <w:r>
              <w:rPr>
                <w:rFonts w:hint="eastAsia" w:ascii="仿宋" w:hAnsi="仿宋" w:eastAsia="仿宋" w:cs="仿宋"/>
                <w:b/>
                <w:bCs/>
                <w:sz w:val="24"/>
                <w:szCs w:val="18"/>
              </w:rPr>
              <w:t>标识重要性</w:t>
            </w:r>
          </w:p>
        </w:tc>
        <w:tc>
          <w:tcPr>
            <w:tcW w:w="750" w:type="pct"/>
            <w:noWrap w:val="0"/>
            <w:vAlign w:val="center"/>
          </w:tcPr>
          <w:p w14:paraId="0200C8FD">
            <w:pPr>
              <w:spacing w:line="360" w:lineRule="auto"/>
              <w:jc w:val="center"/>
              <w:rPr>
                <w:rFonts w:hint="eastAsia" w:ascii="仿宋" w:hAnsi="仿宋" w:eastAsia="仿宋" w:cs="仿宋"/>
                <w:b/>
                <w:bCs/>
                <w:sz w:val="24"/>
                <w:szCs w:val="18"/>
              </w:rPr>
            </w:pPr>
            <w:r>
              <w:rPr>
                <w:rFonts w:hint="eastAsia" w:ascii="仿宋" w:hAnsi="仿宋" w:eastAsia="仿宋" w:cs="仿宋"/>
                <w:b/>
                <w:bCs/>
                <w:sz w:val="24"/>
                <w:szCs w:val="18"/>
              </w:rPr>
              <w:t>标识符号</w:t>
            </w:r>
          </w:p>
        </w:tc>
        <w:tc>
          <w:tcPr>
            <w:tcW w:w="3052" w:type="pct"/>
            <w:noWrap w:val="0"/>
            <w:vAlign w:val="center"/>
          </w:tcPr>
          <w:p w14:paraId="3BE6BB99">
            <w:pPr>
              <w:spacing w:line="360" w:lineRule="auto"/>
              <w:jc w:val="center"/>
              <w:rPr>
                <w:rFonts w:hint="eastAsia" w:ascii="仿宋" w:hAnsi="仿宋" w:eastAsia="仿宋" w:cs="仿宋"/>
                <w:b/>
                <w:bCs/>
                <w:sz w:val="24"/>
                <w:szCs w:val="18"/>
              </w:rPr>
            </w:pPr>
            <w:r>
              <w:rPr>
                <w:rFonts w:hint="eastAsia" w:ascii="仿宋" w:hAnsi="仿宋" w:eastAsia="仿宋" w:cs="仿宋"/>
                <w:b/>
                <w:bCs/>
                <w:sz w:val="24"/>
                <w:szCs w:val="18"/>
              </w:rPr>
              <w:t>代表意思</w:t>
            </w:r>
          </w:p>
        </w:tc>
      </w:tr>
      <w:tr w14:paraId="45AD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pct"/>
            <w:noWrap w:val="0"/>
            <w:vAlign w:val="center"/>
          </w:tcPr>
          <w:p w14:paraId="09AF91F2">
            <w:pPr>
              <w:spacing w:line="360" w:lineRule="auto"/>
              <w:jc w:val="center"/>
              <w:rPr>
                <w:rFonts w:hint="eastAsia" w:ascii="仿宋" w:hAnsi="仿宋" w:eastAsia="仿宋" w:cs="仿宋"/>
                <w:sz w:val="24"/>
                <w:szCs w:val="18"/>
              </w:rPr>
            </w:pPr>
            <w:r>
              <w:rPr>
                <w:rFonts w:hint="eastAsia" w:ascii="仿宋" w:hAnsi="仿宋" w:eastAsia="仿宋" w:cs="仿宋"/>
                <w:sz w:val="24"/>
                <w:szCs w:val="18"/>
                <w:lang w:val="en-US" w:eastAsia="zh-CN"/>
              </w:rPr>
              <w:t>核心</w:t>
            </w:r>
            <w:r>
              <w:rPr>
                <w:rFonts w:hint="eastAsia" w:ascii="仿宋" w:hAnsi="仿宋" w:eastAsia="仿宋" w:cs="仿宋"/>
                <w:sz w:val="24"/>
                <w:szCs w:val="18"/>
              </w:rPr>
              <w:t>指标项</w:t>
            </w:r>
          </w:p>
        </w:tc>
        <w:tc>
          <w:tcPr>
            <w:tcW w:w="1304" w:type="dxa"/>
            <w:noWrap w:val="0"/>
            <w:vAlign w:val="center"/>
          </w:tcPr>
          <w:p w14:paraId="638980E5">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18"/>
                <w:lang w:val="en-US" w:eastAsia="zh-CN" w:bidi="ar-SA"/>
              </w:rPr>
            </w:pPr>
            <w:r>
              <w:rPr>
                <w:rFonts w:hint="eastAsia" w:ascii="仿宋" w:hAnsi="仿宋" w:eastAsia="仿宋" w:cs="仿宋"/>
                <w:kern w:val="2"/>
                <w:sz w:val="24"/>
                <w:szCs w:val="18"/>
                <w:lang w:val="en-US" w:eastAsia="zh-CN" w:bidi="ar-SA"/>
              </w:rPr>
              <w:t>■</w:t>
            </w:r>
          </w:p>
        </w:tc>
        <w:tc>
          <w:tcPr>
            <w:tcW w:w="5307" w:type="dxa"/>
            <w:noWrap w:val="0"/>
            <w:vAlign w:val="center"/>
          </w:tcPr>
          <w:p w14:paraId="3BDA6F28">
            <w:pPr>
              <w:pStyle w:val="4"/>
              <w:keepNext w:val="0"/>
              <w:keepLines w:val="0"/>
              <w:pageBreakBefore w:val="0"/>
              <w:widowControl w:val="0"/>
              <w:kinsoku/>
              <w:wordWrap/>
              <w:overflowPunct/>
              <w:topLinePunct w:val="0"/>
              <w:autoSpaceDE/>
              <w:autoSpaceDN/>
              <w:bidi w:val="0"/>
              <w:adjustRightInd/>
              <w:snapToGrid/>
              <w:spacing w:line="240" w:lineRule="auto"/>
              <w:ind w:left="118" w:leftChars="0" w:right="178" w:rightChars="0" w:hanging="3" w:firstLineChars="0"/>
              <w:jc w:val="center"/>
              <w:textAlignment w:val="auto"/>
              <w:rPr>
                <w:rFonts w:hint="eastAsia" w:ascii="仿宋" w:hAnsi="仿宋" w:eastAsia="仿宋" w:cs="仿宋"/>
                <w:kern w:val="2"/>
                <w:sz w:val="24"/>
                <w:szCs w:val="18"/>
                <w:lang w:val="en-US" w:eastAsia="zh-CN" w:bidi="ar-SA"/>
              </w:rPr>
            </w:pPr>
            <w:r>
              <w:rPr>
                <w:rFonts w:hint="default" w:ascii="仿宋" w:hAnsi="仿宋" w:eastAsia="仿宋" w:cs="仿宋"/>
                <w:kern w:val="2"/>
                <w:sz w:val="24"/>
                <w:szCs w:val="18"/>
                <w:lang w:val="en-US" w:eastAsia="zh-CN" w:bidi="ar-SA"/>
              </w:rPr>
              <w:t>标</w:t>
            </w:r>
            <w:r>
              <w:rPr>
                <w:rFonts w:hint="eastAsia" w:ascii="仿宋" w:hAnsi="仿宋" w:eastAsia="仿宋" w:cs="仿宋"/>
                <w:kern w:val="2"/>
                <w:sz w:val="24"/>
                <w:szCs w:val="18"/>
                <w:lang w:val="en-US" w:eastAsia="zh-CN" w:bidi="ar-SA"/>
              </w:rPr>
              <w:t>■</w:t>
            </w:r>
            <w:r>
              <w:rPr>
                <w:rFonts w:hint="default" w:ascii="仿宋" w:hAnsi="仿宋" w:eastAsia="仿宋" w:cs="仿宋"/>
                <w:kern w:val="2"/>
                <w:sz w:val="24"/>
                <w:szCs w:val="18"/>
                <w:lang w:val="en-US" w:eastAsia="zh-CN" w:bidi="ar-SA"/>
              </w:rPr>
              <w:t>项代表实质性要求，不满足（负偏离）该指标项将导致</w:t>
            </w:r>
            <w:r>
              <w:rPr>
                <w:rFonts w:hint="eastAsia" w:ascii="仿宋" w:hAnsi="仿宋" w:eastAsia="仿宋" w:cs="仿宋"/>
                <w:kern w:val="2"/>
                <w:sz w:val="24"/>
                <w:szCs w:val="18"/>
                <w:lang w:val="en-US" w:eastAsia="zh-CN" w:bidi="ar-SA"/>
              </w:rPr>
              <w:t>参选无效</w:t>
            </w:r>
          </w:p>
        </w:tc>
      </w:tr>
      <w:tr w14:paraId="57FE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pct"/>
            <w:noWrap w:val="0"/>
            <w:vAlign w:val="center"/>
          </w:tcPr>
          <w:p w14:paraId="73B28451">
            <w:pPr>
              <w:spacing w:line="360" w:lineRule="auto"/>
              <w:jc w:val="center"/>
              <w:rPr>
                <w:rFonts w:hint="eastAsia" w:ascii="仿宋" w:hAnsi="仿宋" w:eastAsia="仿宋" w:cs="仿宋"/>
                <w:sz w:val="24"/>
                <w:szCs w:val="18"/>
              </w:rPr>
            </w:pPr>
            <w:r>
              <w:rPr>
                <w:rFonts w:hint="eastAsia" w:ascii="仿宋" w:hAnsi="仿宋" w:eastAsia="仿宋" w:cs="仿宋"/>
                <w:sz w:val="24"/>
                <w:szCs w:val="18"/>
                <w:lang w:val="en-US" w:eastAsia="zh-CN"/>
              </w:rPr>
              <w:t>重要</w:t>
            </w:r>
            <w:r>
              <w:rPr>
                <w:rFonts w:hint="eastAsia" w:ascii="仿宋" w:hAnsi="仿宋" w:eastAsia="仿宋" w:cs="仿宋"/>
                <w:sz w:val="24"/>
                <w:szCs w:val="18"/>
              </w:rPr>
              <w:t>指标项</w:t>
            </w:r>
          </w:p>
        </w:tc>
        <w:tc>
          <w:tcPr>
            <w:tcW w:w="1304" w:type="dxa"/>
            <w:noWrap w:val="0"/>
            <w:vAlign w:val="center"/>
          </w:tcPr>
          <w:p w14:paraId="2D482C6D">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18"/>
                <w:lang w:val="en-US" w:eastAsia="zh-CN" w:bidi="ar-SA"/>
              </w:rPr>
            </w:pPr>
            <w:r>
              <w:rPr>
                <w:rFonts w:hint="eastAsia" w:ascii="仿宋" w:hAnsi="仿宋" w:eastAsia="仿宋" w:cs="仿宋"/>
                <w:kern w:val="2"/>
                <w:sz w:val="24"/>
                <w:szCs w:val="18"/>
                <w:lang w:val="en-US" w:eastAsia="zh-CN" w:bidi="ar-SA"/>
              </w:rPr>
              <w:t>★</w:t>
            </w:r>
          </w:p>
        </w:tc>
        <w:tc>
          <w:tcPr>
            <w:tcW w:w="5307" w:type="dxa"/>
            <w:noWrap w:val="0"/>
            <w:vAlign w:val="center"/>
          </w:tcPr>
          <w:p w14:paraId="48109C69">
            <w:pPr>
              <w:pStyle w:val="4"/>
              <w:keepNext w:val="0"/>
              <w:keepLines w:val="0"/>
              <w:pageBreakBefore w:val="0"/>
              <w:widowControl w:val="0"/>
              <w:kinsoku/>
              <w:wordWrap/>
              <w:overflowPunct/>
              <w:topLinePunct w:val="0"/>
              <w:autoSpaceDE/>
              <w:autoSpaceDN/>
              <w:bidi w:val="0"/>
              <w:adjustRightInd/>
              <w:snapToGrid/>
              <w:spacing w:line="240" w:lineRule="auto"/>
              <w:ind w:left="112" w:leftChars="0"/>
              <w:jc w:val="center"/>
              <w:textAlignment w:val="auto"/>
              <w:rPr>
                <w:rFonts w:hint="eastAsia" w:ascii="仿宋" w:hAnsi="仿宋" w:eastAsia="仿宋" w:cs="仿宋"/>
                <w:kern w:val="2"/>
                <w:sz w:val="24"/>
                <w:szCs w:val="18"/>
                <w:lang w:val="en-US" w:eastAsia="zh-CN" w:bidi="ar-SA"/>
              </w:rPr>
            </w:pPr>
            <w:r>
              <w:rPr>
                <w:rFonts w:hint="eastAsia" w:ascii="仿宋" w:hAnsi="仿宋" w:eastAsia="仿宋" w:cs="仿宋"/>
                <w:kern w:val="2"/>
                <w:sz w:val="24"/>
                <w:szCs w:val="18"/>
                <w:lang w:val="en-US" w:eastAsia="zh-CN" w:bidi="ar-SA"/>
              </w:rPr>
              <w:t>评分项，详见评分标准</w:t>
            </w:r>
          </w:p>
        </w:tc>
      </w:tr>
      <w:tr w14:paraId="101F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97" w:type="pct"/>
            <w:noWrap w:val="0"/>
            <w:vAlign w:val="center"/>
          </w:tcPr>
          <w:p w14:paraId="3515C5D0">
            <w:pPr>
              <w:spacing w:line="360" w:lineRule="auto"/>
              <w:jc w:val="center"/>
              <w:rPr>
                <w:rFonts w:hint="eastAsia" w:ascii="仿宋" w:hAnsi="仿宋" w:eastAsia="仿宋" w:cs="仿宋"/>
                <w:b/>
                <w:bCs/>
                <w:sz w:val="24"/>
                <w:szCs w:val="18"/>
              </w:rPr>
            </w:pPr>
            <w:r>
              <w:rPr>
                <w:rFonts w:hint="eastAsia" w:ascii="仿宋" w:hAnsi="仿宋" w:eastAsia="仿宋" w:cs="仿宋"/>
                <w:b/>
                <w:bCs/>
                <w:sz w:val="24"/>
                <w:szCs w:val="18"/>
              </w:rPr>
              <w:t>无标识项</w:t>
            </w:r>
          </w:p>
        </w:tc>
        <w:tc>
          <w:tcPr>
            <w:tcW w:w="1304" w:type="dxa"/>
            <w:noWrap w:val="0"/>
            <w:vAlign w:val="center"/>
          </w:tcPr>
          <w:p w14:paraId="52DDB2B5">
            <w:pPr>
              <w:spacing w:line="360" w:lineRule="auto"/>
              <w:jc w:val="center"/>
              <w:rPr>
                <w:rFonts w:hint="eastAsia" w:ascii="仿宋" w:hAnsi="仿宋" w:eastAsia="仿宋" w:cs="仿宋"/>
                <w:kern w:val="2"/>
                <w:sz w:val="24"/>
                <w:szCs w:val="18"/>
                <w:lang w:val="en-US" w:eastAsia="zh-CN" w:bidi="ar-SA"/>
              </w:rPr>
            </w:pPr>
          </w:p>
        </w:tc>
        <w:tc>
          <w:tcPr>
            <w:tcW w:w="5307" w:type="dxa"/>
            <w:noWrap w:val="0"/>
            <w:vAlign w:val="center"/>
          </w:tcPr>
          <w:p w14:paraId="635AFBAB">
            <w:pPr>
              <w:spacing w:line="360" w:lineRule="auto"/>
              <w:jc w:val="center"/>
              <w:rPr>
                <w:rFonts w:hint="eastAsia" w:ascii="仿宋" w:hAnsi="仿宋" w:eastAsia="仿宋" w:cs="仿宋"/>
                <w:kern w:val="2"/>
                <w:sz w:val="24"/>
                <w:szCs w:val="18"/>
                <w:lang w:val="en-US" w:eastAsia="zh-CN" w:bidi="ar-SA"/>
              </w:rPr>
            </w:pPr>
            <w:r>
              <w:rPr>
                <w:rFonts w:hint="default" w:ascii="仿宋" w:hAnsi="仿宋" w:eastAsia="仿宋" w:cs="仿宋"/>
                <w:kern w:val="2"/>
                <w:sz w:val="24"/>
                <w:szCs w:val="18"/>
                <w:lang w:val="en-US" w:eastAsia="zh-CN" w:bidi="ar-SA"/>
              </w:rPr>
              <w:t>无标识项作为基础指标项，超过</w:t>
            </w:r>
            <w:r>
              <w:rPr>
                <w:rFonts w:hint="eastAsia" w:ascii="仿宋" w:hAnsi="仿宋" w:eastAsia="仿宋" w:cs="仿宋"/>
                <w:kern w:val="2"/>
                <w:sz w:val="24"/>
                <w:szCs w:val="18"/>
                <w:lang w:val="en-US" w:eastAsia="zh-CN" w:bidi="ar-SA"/>
              </w:rPr>
              <w:t>3</w:t>
            </w:r>
            <w:r>
              <w:rPr>
                <w:rFonts w:hint="default" w:ascii="仿宋" w:hAnsi="仿宋" w:eastAsia="仿宋" w:cs="仿宋"/>
                <w:kern w:val="2"/>
                <w:sz w:val="24"/>
                <w:szCs w:val="18"/>
                <w:lang w:val="en-US" w:eastAsia="zh-CN" w:bidi="ar-SA"/>
              </w:rPr>
              <w:t>条</w:t>
            </w:r>
            <w:r>
              <w:rPr>
                <w:rFonts w:hint="eastAsia" w:ascii="仿宋" w:hAnsi="仿宋" w:eastAsia="仿宋" w:cs="仿宋"/>
                <w:kern w:val="2"/>
                <w:sz w:val="24"/>
                <w:szCs w:val="18"/>
                <w:lang w:val="en-US" w:eastAsia="zh-CN" w:bidi="ar-SA"/>
              </w:rPr>
              <w:t>及</w:t>
            </w:r>
            <w:r>
              <w:rPr>
                <w:rFonts w:hint="default" w:ascii="仿宋" w:hAnsi="仿宋" w:eastAsia="仿宋" w:cs="仿宋"/>
                <w:kern w:val="2"/>
                <w:sz w:val="24"/>
                <w:szCs w:val="18"/>
                <w:lang w:val="en-US" w:eastAsia="zh-CN" w:bidi="ar-SA"/>
              </w:rPr>
              <w:t>以上（含</w:t>
            </w:r>
            <w:r>
              <w:rPr>
                <w:rFonts w:hint="eastAsia" w:ascii="仿宋" w:hAnsi="仿宋" w:eastAsia="仿宋" w:cs="仿宋"/>
                <w:kern w:val="2"/>
                <w:sz w:val="24"/>
                <w:szCs w:val="18"/>
                <w:lang w:val="en-US" w:eastAsia="zh-CN" w:bidi="ar-SA"/>
              </w:rPr>
              <w:t>3</w:t>
            </w:r>
            <w:r>
              <w:rPr>
                <w:rFonts w:hint="default" w:ascii="仿宋" w:hAnsi="仿宋" w:eastAsia="仿宋" w:cs="仿宋"/>
                <w:kern w:val="2"/>
                <w:sz w:val="24"/>
                <w:szCs w:val="18"/>
                <w:lang w:val="en-US" w:eastAsia="zh-CN" w:bidi="ar-SA"/>
              </w:rPr>
              <w:t>条）负偏离或未响应将导致</w:t>
            </w:r>
            <w:r>
              <w:rPr>
                <w:rFonts w:hint="eastAsia" w:ascii="仿宋" w:hAnsi="仿宋" w:eastAsia="仿宋" w:cs="仿宋"/>
                <w:kern w:val="2"/>
                <w:sz w:val="24"/>
                <w:szCs w:val="18"/>
                <w:lang w:val="en-US" w:eastAsia="zh-CN" w:bidi="ar-SA"/>
              </w:rPr>
              <w:t>参选无效</w:t>
            </w:r>
            <w:r>
              <w:rPr>
                <w:rFonts w:hint="default" w:ascii="仿宋" w:hAnsi="仿宋" w:eastAsia="仿宋" w:cs="仿宋"/>
                <w:kern w:val="2"/>
                <w:sz w:val="24"/>
                <w:szCs w:val="18"/>
                <w:lang w:val="en-US" w:eastAsia="zh-CN" w:bidi="ar-SA"/>
              </w:rPr>
              <w:t>。</w:t>
            </w:r>
          </w:p>
        </w:tc>
      </w:tr>
      <w:tr w14:paraId="3186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noWrap w:val="0"/>
            <w:vAlign w:val="center"/>
          </w:tcPr>
          <w:p w14:paraId="178210F5">
            <w:pPr>
              <w:spacing w:line="360" w:lineRule="auto"/>
              <w:rPr>
                <w:rFonts w:hint="eastAsia" w:ascii="仿宋" w:hAnsi="仿宋" w:eastAsia="仿宋" w:cs="仿宋"/>
                <w:b/>
                <w:sz w:val="24"/>
                <w:szCs w:val="24"/>
              </w:rPr>
            </w:pPr>
            <w:r>
              <w:rPr>
                <w:rFonts w:hint="eastAsia" w:ascii="仿宋" w:hAnsi="仿宋" w:eastAsia="仿宋" w:cs="仿宋"/>
                <w:b/>
                <w:sz w:val="24"/>
                <w:lang w:val="en-US" w:eastAsia="zh-CN"/>
              </w:rPr>
              <w:t>注：</w:t>
            </w:r>
            <w:r>
              <w:rPr>
                <w:rFonts w:hint="eastAsia" w:ascii="仿宋" w:hAnsi="仿宋" w:eastAsia="仿宋" w:cs="仿宋"/>
                <w:b/>
                <w:sz w:val="24"/>
              </w:rPr>
              <w:t>如某项标识中包含多条技术参数或要求，则该项标识所含内容均需满足或优于比选文件要求，否则不予认可。</w:t>
            </w:r>
          </w:p>
        </w:tc>
      </w:tr>
    </w:tbl>
    <w:p w14:paraId="684D6D4F">
      <w:pPr>
        <w:widowControl/>
        <w:spacing w:line="360" w:lineRule="auto"/>
        <w:ind w:firstLine="437"/>
        <w:jc w:val="left"/>
        <w:rPr>
          <w:rFonts w:hint="eastAsia" w:ascii="仿宋" w:hAnsi="仿宋" w:eastAsia="仿宋" w:cs="仿宋"/>
          <w:b/>
          <w:sz w:val="24"/>
          <w:szCs w:val="24"/>
        </w:rPr>
      </w:pPr>
      <w:r>
        <w:rPr>
          <w:rFonts w:hint="eastAsia" w:ascii="仿宋" w:hAnsi="仿宋" w:eastAsia="仿宋" w:cs="仿宋"/>
          <w:b/>
          <w:sz w:val="24"/>
          <w:szCs w:val="24"/>
        </w:rPr>
        <w:t>（二）货物需求清单</w:t>
      </w:r>
    </w:p>
    <w:tbl>
      <w:tblPr>
        <w:tblStyle w:val="2"/>
        <w:tblpPr w:leftFromText="180" w:rightFromText="180" w:vertAnchor="text" w:horzAnchor="page" w:tblpX="1794" w:tblpY="366"/>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5"/>
        <w:gridCol w:w="987"/>
        <w:gridCol w:w="5720"/>
        <w:gridCol w:w="907"/>
      </w:tblGrid>
      <w:tr w14:paraId="50DE6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47B3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CDB30">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货物名称</w:t>
            </w:r>
          </w:p>
        </w:tc>
        <w:tc>
          <w:tcPr>
            <w:tcW w:w="3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972C">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技术参数及要求</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0F564">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备注</w:t>
            </w:r>
          </w:p>
        </w:tc>
      </w:tr>
      <w:tr w14:paraId="5ACB8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8"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D7DE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0E20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▲智能门锁</w:t>
            </w:r>
          </w:p>
        </w:tc>
        <w:tc>
          <w:tcPr>
            <w:tcW w:w="3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8CFF5">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硬件基础参数：</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■1、供电类型：标配 4 节 AA 干电池，外壳铝合金一体铸造成型；C 级防盗锁芯；标准 6068 锁体，锁舌采用 304 不锈钢；支持刷卡、后台远程、机械钥匙等多种开门方式；把手和锁舌方向可调节,智能门锁把手方向可任意调节左右开方向，锁体锁舌方向可以调节内开和外开方向；</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★2、应急供电：支持充电宝应急供电；低压报警：支持低电量语音报警提示；</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★3、在线升级：门锁支持读卡升级和 OTA 远程升级 2种升级方式；</w:t>
            </w:r>
            <w:r>
              <w:rPr>
                <w:rFonts w:hint="eastAsia" w:ascii="仿宋" w:hAnsi="仿宋" w:eastAsia="仿宋" w:cs="仿宋"/>
                <w:b/>
                <w:bCs/>
                <w:i w:val="0"/>
                <w:iCs w:val="0"/>
                <w:color w:val="auto"/>
                <w:kern w:val="0"/>
                <w:sz w:val="24"/>
                <w:szCs w:val="24"/>
                <w:u w:val="none"/>
                <w:lang w:val="en-US" w:eastAsia="zh-CN" w:bidi="ar"/>
              </w:rPr>
              <w:t>（参选文件中提供第三方有权检测机构出具的检测报告扫描件）</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★4、校园卡防复制，防止校园卡被设备复制开门；</w:t>
            </w:r>
            <w:r>
              <w:rPr>
                <w:rFonts w:hint="eastAsia" w:ascii="仿宋" w:hAnsi="仿宋" w:eastAsia="仿宋" w:cs="仿宋"/>
                <w:b/>
                <w:bCs/>
                <w:i w:val="0"/>
                <w:iCs w:val="0"/>
                <w:color w:val="auto"/>
                <w:kern w:val="0"/>
                <w:sz w:val="24"/>
                <w:szCs w:val="24"/>
                <w:u w:val="none"/>
                <w:lang w:val="en-US" w:eastAsia="zh-CN" w:bidi="ar"/>
              </w:rPr>
              <w:t>（参选文件中提供第三方有权检测机构出具的检测报告扫描件）</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5、设备安装在学生宿舍入户门，安装实施时参选人根据所投门锁进行防盗门改造，具体成本参选人自行评估。（比选人全程配合现场考察，对所有参选人一视同仁）</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978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p>
        </w:tc>
      </w:tr>
      <w:tr w14:paraId="76A6E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1"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867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913A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通讯网关</w:t>
            </w:r>
          </w:p>
        </w:tc>
        <w:tc>
          <w:tcPr>
            <w:tcW w:w="3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909C0">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1、供电方式：采用 DC12V 低压供电；</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2、系统：Linux 系统；</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3、处理性能≥4 核处理器，FLASH 存储≥8Gbyte，RAM内存≥1Gbyte；</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★4、通讯方式：上行采用TCP，下行采用LoRa无线通讯</w:t>
            </w:r>
            <w:r>
              <w:rPr>
                <w:rFonts w:hint="eastAsia" w:ascii="仿宋" w:hAnsi="仿宋" w:eastAsia="仿宋" w:cs="仿宋"/>
                <w:b/>
                <w:bCs/>
                <w:i w:val="0"/>
                <w:iCs w:val="0"/>
                <w:color w:val="auto"/>
                <w:kern w:val="0"/>
                <w:sz w:val="24"/>
                <w:szCs w:val="24"/>
                <w:u w:val="none"/>
                <w:lang w:val="en-US" w:eastAsia="zh-CN" w:bidi="ar"/>
              </w:rPr>
              <w:t>（参选文件中提供第三方有权检测机构出具的检测报告扫描件）</w:t>
            </w:r>
            <w:r>
              <w:rPr>
                <w:rFonts w:hint="eastAsia" w:ascii="仿宋" w:hAnsi="仿宋" w:eastAsia="仿宋" w:cs="仿宋"/>
                <w:b/>
                <w:bCs/>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★5、webServer 模式：通过浏览器远程登陆访问数据采集器 Web 页面查看设备硬件状态及版本信息，通过webServer 配置设备信息</w:t>
            </w:r>
            <w:r>
              <w:rPr>
                <w:rFonts w:hint="eastAsia" w:ascii="仿宋" w:hAnsi="仿宋" w:eastAsia="仿宋" w:cs="仿宋"/>
                <w:b/>
                <w:bCs/>
                <w:i w:val="0"/>
                <w:iCs w:val="0"/>
                <w:color w:val="auto"/>
                <w:kern w:val="0"/>
                <w:sz w:val="24"/>
                <w:szCs w:val="24"/>
                <w:u w:val="none"/>
                <w:lang w:val="en-US" w:eastAsia="zh-CN" w:bidi="ar"/>
              </w:rPr>
              <w:t>（参选文件中提供第三方有权检测机构出具的检测报告扫描件）</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★6、智能门锁和网关采用多级存储机制，网关本地存储门锁已授权名单，并支持通过 web 页面查询所带载设备的授权名单等信息；</w:t>
            </w:r>
            <w:r>
              <w:rPr>
                <w:rFonts w:hint="eastAsia" w:ascii="仿宋" w:hAnsi="仿宋" w:eastAsia="仿宋" w:cs="仿宋"/>
                <w:b/>
                <w:bCs/>
                <w:i w:val="0"/>
                <w:iCs w:val="0"/>
                <w:color w:val="auto"/>
                <w:kern w:val="0"/>
                <w:sz w:val="24"/>
                <w:szCs w:val="24"/>
                <w:u w:val="none"/>
                <w:lang w:val="en-US" w:eastAsia="zh-CN" w:bidi="ar"/>
              </w:rPr>
              <w:t>（参选文件中提供第三方有权检测机构出具的检测报告扫描件）</w:t>
            </w:r>
            <w:r>
              <w:rPr>
                <w:rFonts w:hint="eastAsia" w:ascii="仿宋" w:hAnsi="仿宋" w:eastAsia="仿宋" w:cs="仿宋"/>
                <w:b/>
                <w:bCs/>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★7、在线升级：支持 OTA 无线升级带载终端嵌入式软件，增加设备功能；</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8、网关安装位置在宿舍楼楼道顶部，安装时强电、弱电施工组网（如交换机等）及辅材费用由参选人自行评估。（比选人全程配合现场考察，对所有参选人一视同仁）</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658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p>
        </w:tc>
      </w:tr>
      <w:tr w14:paraId="0D315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B90E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D3FB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维保服务</w:t>
            </w:r>
          </w:p>
        </w:tc>
        <w:tc>
          <w:tcPr>
            <w:tcW w:w="3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54749">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■1、中选人提供免费上门维护服务，服务期自项目验收之日起3年，处理该项目全部维保事务</w:t>
            </w:r>
            <w:r>
              <w:rPr>
                <w:rFonts w:hint="eastAsia" w:ascii="仿宋" w:hAnsi="仿宋" w:eastAsia="仿宋" w:cs="仿宋"/>
                <w:b/>
                <w:bCs/>
                <w:i w:val="0"/>
                <w:iCs w:val="0"/>
                <w:color w:val="auto"/>
                <w:kern w:val="0"/>
                <w:sz w:val="24"/>
                <w:szCs w:val="24"/>
                <w:u w:val="none"/>
                <w:lang w:val="en-US" w:eastAsia="zh-CN" w:bidi="ar"/>
              </w:rPr>
              <w:t>（合同签订后进场服务前由比选人核实人员配备情况）</w:t>
            </w:r>
            <w:r>
              <w:rPr>
                <w:rFonts w:hint="eastAsia" w:ascii="仿宋" w:hAnsi="仿宋" w:eastAsia="仿宋" w:cs="仿宋"/>
                <w:i w:val="0"/>
                <w:iCs w:val="0"/>
                <w:color w:val="auto"/>
                <w:kern w:val="0"/>
                <w:sz w:val="24"/>
                <w:szCs w:val="24"/>
                <w:u w:val="none"/>
                <w:lang w:val="en-US" w:eastAsia="zh-CN" w:bidi="ar"/>
              </w:rPr>
              <w:t>。</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■2、中选人提供自项目验收之日起3年免费更换智能门锁电池服务，现场配备足量备用电池，若有门锁低电量报警即刻更换。</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■3、中选人提供自项目验收之日起3年免费软件所有版本升级和软件补丁服务，保持系统的优越性。</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DF43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p>
        </w:tc>
      </w:tr>
      <w:tr w14:paraId="462CA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44A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B94C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系统对接</w:t>
            </w:r>
          </w:p>
        </w:tc>
        <w:tc>
          <w:tcPr>
            <w:tcW w:w="3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2D9E7">
            <w:pPr>
              <w:keepNext w:val="0"/>
              <w:keepLines w:val="0"/>
              <w:widowControl/>
              <w:suppressLineNumbers w:val="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★1、与学校现有校园一卡通系统（品牌：新中新）、门锁管理系统（品牌：新开普）及智慧后勤公寓管理系统对接，具有师生用户使用现有校园卡刷卡开门功能；</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■2、与人社厅社保卡系统对接，具有第三代社保卡刷卡开门功能。</w:t>
            </w:r>
          </w:p>
          <w:p w14:paraId="15E58778">
            <w:pPr>
              <w:keepNext w:val="0"/>
              <w:keepLines w:val="0"/>
              <w:widowControl/>
              <w:suppressLineNumbers w:val="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系统对接后，进行功能新增，增加手机端开门功能，最终实现门锁可手机端开门，并以H5方式，嵌入学校指定移动端，实现统一身份认证对接和免密登录，为了避免重复建设，不得重新部署门锁相关管理软件。同时保证完成新功能同时，原有门锁管理系统功能及相关对接不受任何影响</w:t>
            </w:r>
            <w:r>
              <w:rPr>
                <w:rFonts w:hint="eastAsia" w:ascii="仿宋" w:hAnsi="仿宋" w:eastAsia="仿宋" w:cs="仿宋"/>
                <w:b/>
                <w:bCs/>
                <w:i w:val="0"/>
                <w:iCs w:val="0"/>
                <w:color w:val="auto"/>
                <w:kern w:val="0"/>
                <w:sz w:val="24"/>
                <w:szCs w:val="24"/>
                <w:u w:val="none"/>
                <w:lang w:val="en-US" w:eastAsia="zh-CN" w:bidi="ar"/>
              </w:rPr>
              <w:t>（参选文件中提供满足该要求的承诺函，承诺函格式自拟）</w:t>
            </w:r>
            <w:r>
              <w:rPr>
                <w:rFonts w:hint="eastAsia" w:ascii="仿宋" w:hAnsi="仿宋" w:eastAsia="仿宋" w:cs="仿宋"/>
                <w:i w:val="0"/>
                <w:iCs w:val="0"/>
                <w:color w:val="auto"/>
                <w:kern w:val="0"/>
                <w:sz w:val="24"/>
                <w:szCs w:val="24"/>
                <w:u w:val="none"/>
                <w:lang w:val="en-US" w:eastAsia="zh-CN" w:bidi="ar"/>
              </w:rPr>
              <w:t>。</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791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p>
        </w:tc>
      </w:tr>
    </w:tbl>
    <w:p w14:paraId="1F42CCB4">
      <w:pPr>
        <w:pStyle w:val="5"/>
        <w:ind w:firstLine="482"/>
        <w:rPr>
          <w:rFonts w:hint="eastAsia" w:ascii="仿宋" w:hAnsi="仿宋" w:eastAsia="仿宋" w:cs="仿宋"/>
          <w:b/>
          <w:szCs w:val="24"/>
        </w:rPr>
      </w:pPr>
      <w:r>
        <w:rPr>
          <w:rFonts w:hint="eastAsia" w:ascii="仿宋" w:hAnsi="仿宋" w:eastAsia="仿宋" w:cs="仿宋"/>
          <w:b/>
          <w:szCs w:val="24"/>
        </w:rPr>
        <w:t>三、报价要求</w:t>
      </w:r>
    </w:p>
    <w:p w14:paraId="0B941236">
      <w:pPr>
        <w:spacing w:line="360" w:lineRule="auto"/>
        <w:ind w:firstLine="480" w:firstLineChars="200"/>
        <w:outlineLvl w:val="9"/>
        <w:rPr>
          <w:rFonts w:hint="eastAsia" w:ascii="仿宋" w:hAnsi="仿宋" w:eastAsia="仿宋" w:cs="仿宋"/>
          <w:b/>
          <w:bCs/>
          <w:color w:val="000000"/>
          <w:sz w:val="24"/>
          <w:szCs w:val="24"/>
        </w:rPr>
      </w:pPr>
      <w:r>
        <w:rPr>
          <w:rFonts w:hint="eastAsia" w:ascii="仿宋" w:hAnsi="仿宋" w:eastAsia="仿宋" w:cs="仿宋"/>
          <w:color w:val="000000"/>
          <w:sz w:val="24"/>
          <w:szCs w:val="24"/>
        </w:rPr>
        <w:t>本项目报总价，比选报价包括本项目需求（包含比选文件要求内容、参选文件承诺内容、评审过程澄清修改内容等）的全部货物及所需附件购置费、包装费、运输费、人工费、保险费、不同系统平台间对接费用、安装调试费、各种税费、资料费、售后服务费及完成项目应有的全部费用，中选后比选人不再另行支付任何费用，</w:t>
      </w:r>
      <w:r>
        <w:rPr>
          <w:rFonts w:hint="eastAsia" w:ascii="仿宋" w:hAnsi="仿宋" w:eastAsia="仿宋" w:cs="仿宋"/>
          <w:b/>
          <w:bCs/>
          <w:color w:val="000000"/>
          <w:sz w:val="24"/>
          <w:szCs w:val="24"/>
        </w:rPr>
        <w:t>比选分项报价表中须明确列出所投产品所含货物名称、品牌、型号规格、原产地及生产厂商，否则可能导致响应无效。</w:t>
      </w:r>
    </w:p>
    <w:p w14:paraId="5ECA3E1F">
      <w:pPr>
        <w:spacing w:line="360" w:lineRule="auto"/>
        <w:ind w:firstLine="482" w:firstLineChars="200"/>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lang w:val="en-US" w:eastAsia="zh-CN"/>
        </w:rPr>
        <w:t>四、</w:t>
      </w:r>
      <w:r>
        <w:rPr>
          <w:rFonts w:hint="eastAsia" w:ascii="仿宋" w:hAnsi="仿宋" w:eastAsia="仿宋" w:cs="仿宋"/>
          <w:b/>
          <w:bCs/>
          <w:color w:val="000000"/>
          <w:sz w:val="24"/>
          <w:szCs w:val="24"/>
        </w:rPr>
        <w:t>安装调试、质保及售后服务要求</w:t>
      </w:r>
    </w:p>
    <w:p w14:paraId="0565EED7">
      <w:pPr>
        <w:spacing w:line="360" w:lineRule="auto"/>
        <w:ind w:firstLine="480" w:firstLineChars="200"/>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1.在质保期内，因中选人自身产品和安装质量原因而出现的质量问题由中选人负责包修、包换或包退，并承担修理、调换或退货的实际费用。 </w:t>
      </w:r>
    </w:p>
    <w:p w14:paraId="2B303FF0">
      <w:pPr>
        <w:spacing w:line="360" w:lineRule="auto"/>
        <w:ind w:firstLine="480" w:firstLineChars="200"/>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中选人必须为比选人提供上门服务。中选人须自接到报修后1小时响应，2小时内组织实施维修。若不能及时响应并开展维修，可由比选人直接派员进行处理，若确属中选人原因造成，则所需费用由中选人承担（价格以实际支付为准）。由此造成的损失，比选人保留索赔的权利。如果中选人在收到报修通知后1天内没有弥补缺陷，比选人可采取必要的补救措施，但费用和风险由中选人承担。其中产生的拆除、运输、包装、安装、配件等相关的所有费用由中选人自行承担。</w:t>
      </w:r>
    </w:p>
    <w:p w14:paraId="756F537C">
      <w:pPr>
        <w:spacing w:line="360" w:lineRule="auto"/>
        <w:ind w:firstLine="480" w:firstLineChars="200"/>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3.中选人中标后须实地勘察测量，确定精准尺寸，防止安装空间实际尺寸不符或有误差而导致货物无法安装等情况。若因中选人未勘察或勘察不清造成无法安装带来的一切损失由中选人自行承担。</w:t>
      </w:r>
    </w:p>
    <w:p w14:paraId="1F6B2301">
      <w:pPr>
        <w:spacing w:line="360" w:lineRule="auto"/>
        <w:ind w:firstLine="480" w:firstLineChars="200"/>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中选人在运输和安装智能门锁过程中，必须文明施工，符合消防规范要求，做好成品保护，不得在地板砖上拖滑，不准破坏墙面，安装完毕要将所有的垃圾清理干净，否则，除及时修复破损外，中选人承担一切造成的损失。同时，中选人需按照现场物业管理要求办理相关进场手续。</w:t>
      </w:r>
    </w:p>
    <w:p w14:paraId="5399C02E">
      <w:pPr>
        <w:spacing w:line="360" w:lineRule="auto"/>
        <w:ind w:firstLine="480" w:firstLineChars="200"/>
        <w:outlineLvl w:val="9"/>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5.免费质保期限：自项目验收合格之日起3年。 免费质保期服务内容 ：设备巡检服务、应急故障处理、重要通讯保障服务、现场技术支持、电话技术支持服务、技术资料服务等。</w:t>
      </w:r>
    </w:p>
    <w:p w14:paraId="073A64E3">
      <w:pPr>
        <w:spacing w:line="360" w:lineRule="auto"/>
        <w:ind w:firstLine="482" w:firstLineChars="200"/>
        <w:outlineLvl w:val="9"/>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五、其他要求</w:t>
      </w:r>
    </w:p>
    <w:p w14:paraId="3180CDFA">
      <w:r>
        <w:rPr>
          <w:rFonts w:hint="eastAsia" w:ascii="仿宋" w:hAnsi="仿宋" w:eastAsia="仿宋" w:cs="仿宋"/>
          <w:color w:val="000000"/>
          <w:sz w:val="24"/>
          <w:szCs w:val="24"/>
          <w:lang w:val="en-US" w:eastAsia="zh-CN"/>
        </w:rPr>
        <w:t>智能门锁信息可视化与多种身份认证方式，终端设备须配套管理系统，管理系统服务器由学校校园一卡通超融合平台提供，终端设备和网络设备接入到校园 一卡通专网管理，门锁可使用校园卡、第三代社保卡、钥匙及后台控制等多种开门方式；支持低电量语音报警提示、充电宝应急供电；支持防复制卡，禁止手机、手环等设备 NFC 复制校园卡物理卡号开门。新医科中心（新校区）目前处于在建状态，中选人在智能门锁施工过程中需根据门锁尺寸改造防盗门，具体费用自行评估与承担。</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E8021D"/>
    <w:rsid w:val="08E80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宋体" w:cs="@仿宋_GB2312"/>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宋体" w:hAnsi="宋体" w:eastAsia="宋体" w:cs="宋体"/>
      <w:sz w:val="24"/>
      <w:szCs w:val="24"/>
      <w:lang w:val="en-US" w:eastAsia="en-US" w:bidi="ar-SA"/>
    </w:rPr>
  </w:style>
  <w:style w:type="paragraph" w:customStyle="1" w:styleId="5">
    <w:name w:val="段落"/>
    <w:basedOn w:val="1"/>
    <w:qFormat/>
    <w:uiPriority w:val="0"/>
    <w:pPr>
      <w:spacing w:line="360" w:lineRule="auto"/>
      <w:ind w:firstLine="420" w:firstLineChars="200"/>
      <w:jc w:val="left"/>
    </w:pPr>
    <w:rPr>
      <w:rFonts w:ascii="宋体" w:hAnsi="宋体" w:cs="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2026-07-24T01:20:00Z</dcterms:created>
  <dc:creator>森</dc:creator>
  <cp:lastModifiedBy>森</cp:lastModifiedBy>
  <dcterms:modified xsi:type="dcterms:W3CDTF">2026-07-24T01:21:19Z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F83E699A8096425E9C10104D0321E8B9_11</vt:lpwstr>
  </property>
  <property fmtid="{D5CDD505-2E9C-101B-9397-08002B2CF9AE}" pid="4" name="KSOTemplateDocerSaveRecord">
    <vt:lpwstr>eyJoZGlkIjoiOTc3M2Y5NzIzMDFlZjAyY2Q4Njk5ODkyYjFjNzBiNTQiLCJ1c2VySWQiOiI0MzAwMTYzNzkifQ==</vt:lpwstr>
  </property>
</Properties>
</file>