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87B7D">
      <w:pPr>
        <w:spacing w:line="360" w:lineRule="auto"/>
        <w:jc w:val="center"/>
        <w:outlineLvl w:val="1"/>
        <w:rPr>
          <w:rFonts w:hint="eastAsia" w:ascii="仿宋" w:hAnsi="仿宋" w:eastAsia="仿宋" w:cs="仿宋"/>
          <w:b/>
          <w:sz w:val="28"/>
        </w:rPr>
      </w:pPr>
      <w:bookmarkStart w:id="0" w:name="_Toc25969"/>
      <w:r>
        <w:rPr>
          <w:rFonts w:hint="eastAsia" w:ascii="仿宋" w:hAnsi="仿宋" w:eastAsia="仿宋" w:cs="仿宋"/>
          <w:b/>
          <w:sz w:val="28"/>
        </w:rPr>
        <w:t>第三章  采购需求</w:t>
      </w:r>
      <w:bookmarkEnd w:id="0"/>
    </w:p>
    <w:p w14:paraId="335D612B">
      <w:pPr>
        <w:spacing w:line="360" w:lineRule="auto"/>
        <w:jc w:val="left"/>
        <w:rPr>
          <w:rFonts w:hint="eastAsia" w:ascii="仿宋" w:hAnsi="仿宋" w:eastAsia="仿宋" w:cs="仿宋"/>
          <w:b/>
          <w:sz w:val="24"/>
          <w:szCs w:val="24"/>
        </w:rPr>
      </w:pPr>
      <w:r>
        <w:rPr>
          <w:rFonts w:hint="eastAsia" w:ascii="仿宋" w:hAnsi="仿宋" w:eastAsia="仿宋" w:cs="仿宋"/>
          <w:b/>
          <w:sz w:val="24"/>
          <w:szCs w:val="24"/>
        </w:rPr>
        <w:t>前注：</w:t>
      </w:r>
    </w:p>
    <w:p w14:paraId="6DFBDF1B">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本说明中提出的服务方案仅为参考，如无明确限制，参选人可以进行优化，提供满足用户实际需要的更优（或者性能实质上不低于的）服务方案，且此方案须经评审小组评审认可。</w:t>
      </w:r>
    </w:p>
    <w:p w14:paraId="77F36A21">
      <w:pPr>
        <w:spacing w:line="360" w:lineRule="auto"/>
        <w:ind w:firstLine="437"/>
        <w:jc w:val="left"/>
        <w:rPr>
          <w:rFonts w:hint="eastAsia" w:ascii="仿宋" w:hAnsi="仿宋" w:eastAsia="仿宋" w:cs="仿宋"/>
          <w:b/>
          <w:sz w:val="24"/>
          <w:szCs w:val="18"/>
        </w:rPr>
      </w:pPr>
      <w:r>
        <w:rPr>
          <w:rFonts w:hint="eastAsia" w:ascii="仿宋" w:hAnsi="仿宋" w:eastAsia="仿宋" w:cs="仿宋"/>
          <w:b/>
          <w:sz w:val="24"/>
          <w:szCs w:val="18"/>
        </w:rPr>
        <w:t>一、采购需求前附表</w:t>
      </w:r>
    </w:p>
    <w:tbl>
      <w:tblPr>
        <w:tblStyle w:val="4"/>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2022"/>
        <w:gridCol w:w="4980"/>
      </w:tblGrid>
      <w:tr w14:paraId="3BD3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4F1AC4C5">
            <w:pPr>
              <w:pStyle w:val="6"/>
              <w:pBdr>
                <w:bottom w:val="none" w:color="auto" w:sz="0" w:space="0"/>
              </w:pBdr>
              <w:tabs>
                <w:tab w:val="clear" w:pos="4153"/>
                <w:tab w:val="clear" w:pos="8306"/>
              </w:tabs>
              <w:adjustRightInd/>
              <w:spacing w:line="360" w:lineRule="auto"/>
              <w:textAlignment w:val="auto"/>
              <w:rPr>
                <w:rFonts w:hint="eastAsia" w:ascii="仿宋" w:hAnsi="仿宋" w:eastAsia="仿宋" w:cs="仿宋"/>
                <w:b/>
                <w:kern w:val="2"/>
                <w:sz w:val="24"/>
                <w:szCs w:val="24"/>
              </w:rPr>
            </w:pPr>
            <w:bookmarkStart w:id="1" w:name="_Hlk16461016"/>
            <w:r>
              <w:rPr>
                <w:rFonts w:hint="eastAsia" w:ascii="仿宋" w:hAnsi="仿宋" w:eastAsia="仿宋" w:cs="仿宋"/>
                <w:b/>
                <w:kern w:val="2"/>
                <w:sz w:val="24"/>
                <w:szCs w:val="24"/>
              </w:rPr>
              <w:t>序号</w:t>
            </w:r>
          </w:p>
        </w:tc>
        <w:tc>
          <w:tcPr>
            <w:tcW w:w="2053" w:type="dxa"/>
            <w:noWrap w:val="0"/>
            <w:vAlign w:val="center"/>
          </w:tcPr>
          <w:p w14:paraId="163F1A1D">
            <w:pPr>
              <w:pStyle w:val="7"/>
              <w:widowControl w:val="0"/>
              <w:spacing w:before="0" w:beforeAutospacing="0" w:after="0" w:afterAutospacing="0" w:line="360" w:lineRule="auto"/>
              <w:rPr>
                <w:rFonts w:hint="eastAsia" w:ascii="仿宋" w:hAnsi="仿宋" w:eastAsia="仿宋" w:cs="仿宋"/>
                <w:bCs w:val="0"/>
                <w:sz w:val="24"/>
                <w:szCs w:val="24"/>
              </w:rPr>
            </w:pPr>
            <w:r>
              <w:rPr>
                <w:rFonts w:hint="eastAsia" w:ascii="仿宋" w:hAnsi="仿宋" w:eastAsia="仿宋" w:cs="仿宋"/>
                <w:bCs w:val="0"/>
                <w:sz w:val="24"/>
                <w:szCs w:val="24"/>
              </w:rPr>
              <w:t>条款名称</w:t>
            </w:r>
          </w:p>
        </w:tc>
        <w:tc>
          <w:tcPr>
            <w:tcW w:w="5028" w:type="dxa"/>
            <w:noWrap w:val="0"/>
            <w:vAlign w:val="center"/>
          </w:tcPr>
          <w:p w14:paraId="2C92F6DD">
            <w:pPr>
              <w:pStyle w:val="7"/>
              <w:widowControl w:val="0"/>
              <w:spacing w:before="0" w:beforeAutospacing="0" w:after="0" w:afterAutospacing="0" w:line="360" w:lineRule="auto"/>
              <w:rPr>
                <w:rFonts w:hint="eastAsia" w:ascii="仿宋" w:hAnsi="仿宋" w:eastAsia="仿宋" w:cs="仿宋"/>
                <w:bCs w:val="0"/>
                <w:sz w:val="24"/>
                <w:szCs w:val="24"/>
              </w:rPr>
            </w:pPr>
            <w:r>
              <w:rPr>
                <w:rFonts w:hint="eastAsia" w:ascii="仿宋" w:hAnsi="仿宋" w:eastAsia="仿宋" w:cs="仿宋"/>
                <w:bCs w:val="0"/>
                <w:sz w:val="24"/>
                <w:szCs w:val="24"/>
              </w:rPr>
              <w:t>内容、说明与要求</w:t>
            </w:r>
          </w:p>
        </w:tc>
      </w:tr>
      <w:tr w14:paraId="41BB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61AD9B1D">
            <w:pPr>
              <w:pStyle w:val="6"/>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1</w:t>
            </w:r>
          </w:p>
        </w:tc>
        <w:tc>
          <w:tcPr>
            <w:tcW w:w="2053" w:type="dxa"/>
            <w:noWrap w:val="0"/>
            <w:vAlign w:val="center"/>
          </w:tcPr>
          <w:p w14:paraId="01433ADB">
            <w:pPr>
              <w:pStyle w:val="7"/>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付款方式</w:t>
            </w:r>
          </w:p>
        </w:tc>
        <w:tc>
          <w:tcPr>
            <w:tcW w:w="5028" w:type="dxa"/>
            <w:noWrap w:val="0"/>
            <w:vAlign w:val="center"/>
          </w:tcPr>
          <w:p w14:paraId="273C5EB6">
            <w:pPr>
              <w:pStyle w:val="7"/>
              <w:widowControl w:val="0"/>
              <w:spacing w:before="0" w:beforeAutospacing="0" w:after="0" w:afterAutospacing="0"/>
              <w:jc w:val="both"/>
              <w:rPr>
                <w:rFonts w:hint="eastAsia" w:ascii="仿宋" w:hAnsi="仿宋" w:eastAsia="仿宋" w:cs="仿宋"/>
                <w:b/>
                <w:bCs/>
                <w:kern w:val="0"/>
                <w:sz w:val="24"/>
                <w:szCs w:val="24"/>
              </w:rPr>
            </w:pPr>
            <w:r>
              <w:rPr>
                <w:rFonts w:hint="eastAsia" w:ascii="仿宋" w:hAnsi="仿宋" w:eastAsia="仿宋" w:cs="仿宋"/>
                <w:b w:val="0"/>
                <w:sz w:val="24"/>
                <w:szCs w:val="24"/>
                <w:lang w:eastAsia="zh-CN"/>
              </w:rPr>
              <w:t>单价1</w:t>
            </w:r>
            <w:r>
              <w:rPr>
                <w:rFonts w:hint="eastAsia" w:ascii="仿宋" w:hAnsi="仿宋" w:eastAsia="仿宋" w:cs="仿宋"/>
                <w:b w:val="0"/>
                <w:sz w:val="24"/>
                <w:szCs w:val="24"/>
                <w:lang w:val="en-US" w:eastAsia="zh-CN"/>
              </w:rPr>
              <w:t>2</w:t>
            </w:r>
            <w:r>
              <w:rPr>
                <w:rFonts w:hint="eastAsia" w:ascii="仿宋" w:hAnsi="仿宋" w:eastAsia="仿宋" w:cs="仿宋"/>
                <w:b w:val="0"/>
                <w:sz w:val="24"/>
                <w:szCs w:val="24"/>
                <w:lang w:eastAsia="zh-CN"/>
              </w:rPr>
              <w:t>5元/人，预算40万，最终据实结算（如一个人只检测部分项目，按照部分项目占取总项目比例进行支付，举例：张三只检测血脂四项，按照30/</w:t>
            </w:r>
            <w:r>
              <w:rPr>
                <w:rFonts w:hint="eastAsia" w:ascii="仿宋" w:hAnsi="仿宋" w:eastAsia="仿宋" w:cs="仿宋"/>
                <w:b w:val="0"/>
                <w:sz w:val="24"/>
                <w:szCs w:val="24"/>
                <w:lang w:val="en-US" w:eastAsia="zh-CN"/>
              </w:rPr>
              <w:t>318.5</w:t>
            </w:r>
            <w:r>
              <w:rPr>
                <w:rFonts w:hint="eastAsia" w:ascii="仿宋" w:hAnsi="仿宋" w:eastAsia="仿宋" w:cs="仿宋"/>
                <w:b w:val="0"/>
                <w:sz w:val="24"/>
                <w:szCs w:val="24"/>
                <w:lang w:eastAsia="zh-CN"/>
              </w:rPr>
              <w:t>*1</w:t>
            </w:r>
            <w:r>
              <w:rPr>
                <w:rFonts w:hint="eastAsia" w:ascii="仿宋" w:hAnsi="仿宋" w:eastAsia="仿宋" w:cs="仿宋"/>
                <w:b w:val="0"/>
                <w:sz w:val="24"/>
                <w:szCs w:val="24"/>
                <w:lang w:val="en-US" w:eastAsia="zh-CN"/>
              </w:rPr>
              <w:t>2</w:t>
            </w:r>
            <w:r>
              <w:rPr>
                <w:rFonts w:hint="eastAsia" w:ascii="仿宋" w:hAnsi="仿宋" w:eastAsia="仿宋" w:cs="仿宋"/>
                <w:b w:val="0"/>
                <w:sz w:val="24"/>
                <w:szCs w:val="24"/>
                <w:lang w:eastAsia="zh-CN"/>
              </w:rPr>
              <w:t>5=</w:t>
            </w:r>
            <w:r>
              <w:rPr>
                <w:rFonts w:hint="eastAsia" w:ascii="仿宋" w:hAnsi="仿宋" w:eastAsia="仿宋" w:cs="仿宋"/>
                <w:b w:val="0"/>
                <w:sz w:val="24"/>
                <w:szCs w:val="24"/>
                <w:lang w:val="en-US" w:eastAsia="zh-CN"/>
              </w:rPr>
              <w:t>11.774</w:t>
            </w:r>
            <w:r>
              <w:rPr>
                <w:rFonts w:hint="eastAsia" w:ascii="仿宋" w:hAnsi="仿宋" w:eastAsia="仿宋" w:cs="仿宋"/>
                <w:b w:val="0"/>
                <w:sz w:val="24"/>
                <w:szCs w:val="24"/>
                <w:lang w:eastAsia="zh-CN"/>
              </w:rPr>
              <w:t>元支付），所有检测结束一次性支付。</w:t>
            </w:r>
          </w:p>
        </w:tc>
      </w:tr>
      <w:tr w14:paraId="3132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486B8670">
            <w:pPr>
              <w:pStyle w:val="6"/>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2</w:t>
            </w:r>
          </w:p>
        </w:tc>
        <w:tc>
          <w:tcPr>
            <w:tcW w:w="2053" w:type="dxa"/>
            <w:noWrap w:val="0"/>
            <w:vAlign w:val="center"/>
          </w:tcPr>
          <w:p w14:paraId="41B6B2DE">
            <w:pPr>
              <w:pStyle w:val="7"/>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服务地点</w:t>
            </w:r>
          </w:p>
        </w:tc>
        <w:tc>
          <w:tcPr>
            <w:tcW w:w="5028" w:type="dxa"/>
            <w:noWrap w:val="0"/>
            <w:vAlign w:val="center"/>
          </w:tcPr>
          <w:p w14:paraId="5FE0EA42">
            <w:pPr>
              <w:pStyle w:val="7"/>
              <w:widowControl w:val="0"/>
              <w:spacing w:before="0" w:beforeAutospacing="0" w:after="0" w:afterAutospacing="0"/>
              <w:jc w:val="both"/>
              <w:rPr>
                <w:rFonts w:hint="eastAsia" w:ascii="仿宋" w:hAnsi="仿宋" w:eastAsia="仿宋" w:cs="仿宋"/>
                <w:b w:val="0"/>
                <w:bCs/>
                <w:kern w:val="0"/>
                <w:sz w:val="24"/>
                <w:szCs w:val="24"/>
                <w:lang w:val="en-US" w:eastAsia="zh-CN" w:bidi="ar-SA"/>
              </w:rPr>
            </w:pPr>
            <w:r>
              <w:rPr>
                <w:rFonts w:hint="eastAsia" w:ascii="仿宋" w:hAnsi="仿宋" w:eastAsia="仿宋" w:cs="仿宋"/>
                <w:b w:val="0"/>
                <w:bCs/>
                <w:kern w:val="0"/>
                <w:sz w:val="24"/>
                <w:szCs w:val="24"/>
                <w:lang w:val="en-US" w:eastAsia="zh-CN" w:bidi="ar-SA"/>
              </w:rPr>
              <w:t>安徽六安或采购人指定地点。</w:t>
            </w:r>
          </w:p>
        </w:tc>
      </w:tr>
      <w:tr w14:paraId="04DD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7AF28059">
            <w:pPr>
              <w:pStyle w:val="6"/>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3</w:t>
            </w:r>
          </w:p>
        </w:tc>
        <w:tc>
          <w:tcPr>
            <w:tcW w:w="2053" w:type="dxa"/>
            <w:noWrap w:val="0"/>
            <w:vAlign w:val="center"/>
          </w:tcPr>
          <w:p w14:paraId="010FA347">
            <w:pPr>
              <w:pStyle w:val="7"/>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服务期限</w:t>
            </w:r>
          </w:p>
        </w:tc>
        <w:tc>
          <w:tcPr>
            <w:tcW w:w="5028" w:type="dxa"/>
            <w:noWrap w:val="0"/>
            <w:vAlign w:val="center"/>
          </w:tcPr>
          <w:p w14:paraId="5BC570E6">
            <w:pPr>
              <w:pStyle w:val="2"/>
              <w:rPr>
                <w:rFonts w:hint="eastAsia" w:ascii="仿宋" w:hAnsi="仿宋" w:eastAsia="仿宋" w:cs="仿宋"/>
                <w:b w:val="0"/>
                <w:bCs/>
                <w:kern w:val="0"/>
                <w:sz w:val="24"/>
                <w:szCs w:val="24"/>
                <w:lang w:val="en-US" w:eastAsia="zh-CN" w:bidi="ar-SA"/>
              </w:rPr>
            </w:pPr>
            <w:r>
              <w:rPr>
                <w:rFonts w:hint="eastAsia" w:ascii="仿宋" w:hAnsi="仿宋" w:eastAsia="仿宋" w:cs="仿宋"/>
                <w:sz w:val="24"/>
                <w:szCs w:val="24"/>
                <w:lang w:eastAsia="zh-CN"/>
              </w:rPr>
              <w:t>合同签订之日起至</w:t>
            </w:r>
            <w:r>
              <w:rPr>
                <w:rFonts w:hint="eastAsia" w:ascii="仿宋" w:hAnsi="仿宋" w:eastAsia="仿宋" w:cs="仿宋"/>
                <w:sz w:val="24"/>
                <w:szCs w:val="24"/>
                <w:lang w:val="en-US" w:eastAsia="zh-CN"/>
              </w:rPr>
              <w:t>六安</w:t>
            </w:r>
            <w:r>
              <w:rPr>
                <w:rFonts w:hint="eastAsia" w:ascii="仿宋" w:hAnsi="仿宋" w:eastAsia="仿宋" w:cs="仿宋"/>
                <w:sz w:val="24"/>
                <w:szCs w:val="24"/>
                <w:lang w:eastAsia="zh-CN"/>
              </w:rPr>
              <w:t>家庭队列</w:t>
            </w:r>
            <w:r>
              <w:rPr>
                <w:rFonts w:hint="eastAsia" w:ascii="仿宋" w:hAnsi="仿宋" w:eastAsia="仿宋" w:cs="仿宋"/>
                <w:sz w:val="24"/>
                <w:szCs w:val="24"/>
                <w:lang w:val="en-US" w:eastAsia="zh-CN"/>
              </w:rPr>
              <w:t>常驻点</w:t>
            </w:r>
            <w:r>
              <w:rPr>
                <w:rFonts w:hint="eastAsia" w:ascii="仿宋" w:hAnsi="仿宋" w:eastAsia="仿宋" w:cs="仿宋"/>
                <w:sz w:val="24"/>
                <w:szCs w:val="24"/>
                <w:lang w:eastAsia="zh-CN"/>
              </w:rPr>
              <w:t>服务结束（</w:t>
            </w:r>
            <w:r>
              <w:rPr>
                <w:rFonts w:hint="eastAsia" w:ascii="仿宋" w:hAnsi="仿宋" w:eastAsia="仿宋" w:cs="仿宋"/>
                <w:sz w:val="24"/>
                <w:szCs w:val="24"/>
                <w:lang w:val="en-US" w:eastAsia="zh-CN"/>
              </w:rPr>
              <w:t>预计2026年9月底</w:t>
            </w:r>
            <w:r>
              <w:rPr>
                <w:rFonts w:hint="eastAsia" w:ascii="仿宋" w:hAnsi="仿宋" w:eastAsia="仿宋" w:cs="仿宋"/>
                <w:sz w:val="24"/>
                <w:szCs w:val="24"/>
                <w:lang w:eastAsia="zh-CN"/>
              </w:rPr>
              <w:t>）</w:t>
            </w:r>
            <w:r>
              <w:rPr>
                <w:rFonts w:hint="eastAsia" w:ascii="仿宋" w:hAnsi="仿宋" w:eastAsia="仿宋" w:cs="仿宋"/>
                <w:b w:val="0"/>
                <w:bCs/>
                <w:kern w:val="0"/>
                <w:sz w:val="24"/>
                <w:szCs w:val="24"/>
                <w:lang w:val="en-US" w:eastAsia="zh-CN" w:bidi="ar-SA"/>
              </w:rPr>
              <w:t>。</w:t>
            </w:r>
          </w:p>
        </w:tc>
      </w:tr>
      <w:bookmarkEnd w:id="1"/>
    </w:tbl>
    <w:p w14:paraId="61F2AC2B">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eastAsia="zh-CN"/>
        </w:rPr>
        <w:t>二</w:t>
      </w:r>
      <w:r>
        <w:rPr>
          <w:rFonts w:hint="eastAsia" w:ascii="仿宋" w:hAnsi="仿宋" w:eastAsia="仿宋" w:cs="仿宋"/>
          <w:b/>
          <w:bCs/>
          <w:sz w:val="24"/>
          <w:szCs w:val="24"/>
        </w:rPr>
        <w:t>、服务内容</w:t>
      </w:r>
    </w:p>
    <w:p w14:paraId="2374786E">
      <w:pPr>
        <w:spacing w:line="360" w:lineRule="auto"/>
        <w:ind w:firstLine="482" w:firstLineChars="200"/>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1.项目概况</w:t>
      </w:r>
    </w:p>
    <w:p w14:paraId="5850AE87">
      <w:pPr>
        <w:spacing w:line="360" w:lineRule="auto"/>
        <w:ind w:firstLine="492" w:firstLineChars="200"/>
        <w:rPr>
          <w:rFonts w:hint="eastAsia" w:ascii="Times New Roman" w:hAnsi="Times New Roman" w:eastAsia="仿宋" w:cs="Times New Roman"/>
          <w:spacing w:val="3"/>
          <w:sz w:val="24"/>
          <w:szCs w:val="24"/>
          <w:lang w:eastAsia="zh-CN"/>
        </w:rPr>
      </w:pPr>
      <w:r>
        <w:rPr>
          <w:rFonts w:hint="eastAsia" w:ascii="Times New Roman" w:hAnsi="Times New Roman" w:eastAsia="仿宋" w:cs="Times New Roman"/>
          <w:spacing w:val="3"/>
          <w:sz w:val="24"/>
          <w:szCs w:val="24"/>
        </w:rPr>
        <w:t>根据</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rPr>
        <w:t>未来健康促进</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rPr>
        <w:t>家庭队列研究的需要，为全面评估参与者健康状况，项目组拟对队列样本进行多项检测，包括血脂四项、肾功四项、肝功五项、胆红素三项、葡萄糖、糖化血红蛋白、胰岛素、C-反应蛋白、</w:t>
      </w:r>
      <w:r>
        <w:rPr>
          <w:rFonts w:hint="eastAsia" w:ascii="Times New Roman" w:hAnsi="Times New Roman" w:eastAsia="仿宋" w:cs="Times New Roman"/>
          <w:spacing w:val="3"/>
          <w:sz w:val="24"/>
          <w:szCs w:val="24"/>
          <w:lang w:val="en-US" w:eastAsia="zh-CN"/>
        </w:rPr>
        <w:t>肿瘤标志物三项</w:t>
      </w:r>
      <w:r>
        <w:rPr>
          <w:rFonts w:hint="eastAsia" w:ascii="Times New Roman" w:hAnsi="Times New Roman" w:eastAsia="仿宋" w:cs="Times New Roman"/>
          <w:spacing w:val="3"/>
          <w:sz w:val="24"/>
          <w:szCs w:val="24"/>
        </w:rPr>
        <w:t>。</w:t>
      </w:r>
    </w:p>
    <w:p w14:paraId="2261A47C">
      <w:pPr>
        <w:spacing w:line="360" w:lineRule="auto"/>
        <w:ind w:firstLine="482" w:firstLineChars="200"/>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2.服务范围</w:t>
      </w:r>
    </w:p>
    <w:tbl>
      <w:tblPr>
        <w:tblStyle w:val="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197"/>
        <w:gridCol w:w="3689"/>
        <w:gridCol w:w="1434"/>
        <w:gridCol w:w="903"/>
        <w:gridCol w:w="756"/>
        <w:gridCol w:w="890"/>
      </w:tblGrid>
      <w:tr w14:paraId="65CB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91" w:type="dxa"/>
            <w:noWrap/>
            <w:vAlign w:val="center"/>
          </w:tcPr>
          <w:p w14:paraId="15448DD6">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序号</w:t>
            </w:r>
          </w:p>
        </w:tc>
        <w:tc>
          <w:tcPr>
            <w:tcW w:w="1197" w:type="dxa"/>
            <w:noWrap/>
            <w:vAlign w:val="center"/>
          </w:tcPr>
          <w:p w14:paraId="7A0EF3D3">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组合项目信息</w:t>
            </w:r>
          </w:p>
        </w:tc>
        <w:tc>
          <w:tcPr>
            <w:tcW w:w="3689" w:type="dxa"/>
            <w:noWrap w:val="0"/>
            <w:vAlign w:val="center"/>
          </w:tcPr>
          <w:p w14:paraId="4BD0B378">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项目细项</w:t>
            </w:r>
          </w:p>
        </w:tc>
        <w:tc>
          <w:tcPr>
            <w:tcW w:w="1434" w:type="dxa"/>
            <w:noWrap w:val="0"/>
            <w:vAlign w:val="center"/>
          </w:tcPr>
          <w:p w14:paraId="2C7ABFF4">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物价编码</w:t>
            </w:r>
          </w:p>
        </w:tc>
        <w:tc>
          <w:tcPr>
            <w:tcW w:w="903" w:type="dxa"/>
            <w:noWrap w:val="0"/>
            <w:vAlign w:val="center"/>
          </w:tcPr>
          <w:p w14:paraId="5B356E06">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标准收费（元）</w:t>
            </w:r>
          </w:p>
        </w:tc>
        <w:tc>
          <w:tcPr>
            <w:tcW w:w="756" w:type="dxa"/>
            <w:noWrap/>
            <w:vAlign w:val="center"/>
          </w:tcPr>
          <w:p w14:paraId="28CC96F2">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收费（元）</w:t>
            </w:r>
          </w:p>
        </w:tc>
        <w:tc>
          <w:tcPr>
            <w:tcW w:w="890" w:type="dxa"/>
            <w:noWrap/>
            <w:vAlign w:val="center"/>
          </w:tcPr>
          <w:p w14:paraId="77C07290">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样本要求</w:t>
            </w:r>
          </w:p>
        </w:tc>
      </w:tr>
      <w:tr w14:paraId="2E6A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restart"/>
            <w:noWrap/>
            <w:vAlign w:val="center"/>
          </w:tcPr>
          <w:p w14:paraId="5F06EC51">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1197" w:type="dxa"/>
            <w:vMerge w:val="restart"/>
            <w:noWrap w:val="0"/>
            <w:vAlign w:val="center"/>
          </w:tcPr>
          <w:p w14:paraId="7ACA0537">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血脂四项</w:t>
            </w:r>
            <w:r>
              <w:rPr>
                <w:rFonts w:hint="eastAsia" w:ascii="仿宋" w:hAnsi="仿宋" w:eastAsia="仿宋" w:cs="仿宋"/>
                <w:i w:val="0"/>
                <w:iCs w:val="0"/>
                <w:color w:val="auto"/>
                <w:kern w:val="0"/>
                <w:sz w:val="21"/>
                <w:szCs w:val="21"/>
                <w:u w:val="none"/>
                <w:lang w:val="en-US" w:eastAsia="zh-CN" w:bidi="ar"/>
              </w:rPr>
              <w:br w:type="textWrapping"/>
            </w:r>
          </w:p>
        </w:tc>
        <w:tc>
          <w:tcPr>
            <w:tcW w:w="3689" w:type="dxa"/>
            <w:noWrap w:val="0"/>
            <w:vAlign w:val="center"/>
          </w:tcPr>
          <w:p w14:paraId="134C68EA">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高密度脂蛋白胆固醇(HDL-C)测定,直接法</w:t>
            </w:r>
          </w:p>
        </w:tc>
        <w:tc>
          <w:tcPr>
            <w:tcW w:w="1434" w:type="dxa"/>
            <w:noWrap w:val="0"/>
            <w:vAlign w:val="center"/>
          </w:tcPr>
          <w:p w14:paraId="7A0031AD">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250303004</w:t>
            </w:r>
          </w:p>
        </w:tc>
        <w:tc>
          <w:tcPr>
            <w:tcW w:w="903" w:type="dxa"/>
            <w:noWrap w:val="0"/>
            <w:vAlign w:val="center"/>
          </w:tcPr>
          <w:p w14:paraId="5D75C498">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w:t>
            </w:r>
          </w:p>
        </w:tc>
        <w:tc>
          <w:tcPr>
            <w:tcW w:w="756" w:type="dxa"/>
            <w:vMerge w:val="restart"/>
            <w:noWrap/>
            <w:vAlign w:val="center"/>
          </w:tcPr>
          <w:p w14:paraId="051772E4">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890" w:type="dxa"/>
            <w:vMerge w:val="restart"/>
            <w:noWrap/>
            <w:vAlign w:val="center"/>
          </w:tcPr>
          <w:p w14:paraId="10EC40C4">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血清1ml</w:t>
            </w:r>
          </w:p>
        </w:tc>
      </w:tr>
      <w:tr w14:paraId="4A5B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5C2D7339">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22C6048E">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4C348B70">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低密度脂蛋白胆固醇(LDL-C)测定,直接法</w:t>
            </w:r>
          </w:p>
        </w:tc>
        <w:tc>
          <w:tcPr>
            <w:tcW w:w="1434" w:type="dxa"/>
            <w:noWrap w:val="0"/>
            <w:vAlign w:val="center"/>
          </w:tcPr>
          <w:p w14:paraId="0FD78C17">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250303005</w:t>
            </w:r>
          </w:p>
        </w:tc>
        <w:tc>
          <w:tcPr>
            <w:tcW w:w="903" w:type="dxa"/>
            <w:noWrap w:val="0"/>
            <w:vAlign w:val="center"/>
          </w:tcPr>
          <w:p w14:paraId="6689C0B6">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w:t>
            </w:r>
          </w:p>
        </w:tc>
        <w:tc>
          <w:tcPr>
            <w:tcW w:w="756" w:type="dxa"/>
            <w:vMerge w:val="continue"/>
            <w:noWrap/>
            <w:vAlign w:val="center"/>
          </w:tcPr>
          <w:p w14:paraId="38945EFA">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2533163F">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340A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209A07C3">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647D695E">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6B73C723">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甘油三酯(TG)测定,酶法</w:t>
            </w:r>
          </w:p>
        </w:tc>
        <w:tc>
          <w:tcPr>
            <w:tcW w:w="1434" w:type="dxa"/>
            <w:noWrap w:val="0"/>
            <w:vAlign w:val="center"/>
          </w:tcPr>
          <w:p w14:paraId="1BC52FC9">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250303002</w:t>
            </w:r>
          </w:p>
        </w:tc>
        <w:tc>
          <w:tcPr>
            <w:tcW w:w="903" w:type="dxa"/>
            <w:noWrap w:val="0"/>
            <w:vAlign w:val="center"/>
          </w:tcPr>
          <w:p w14:paraId="579B14EE">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756" w:type="dxa"/>
            <w:vMerge w:val="continue"/>
            <w:noWrap/>
            <w:vAlign w:val="center"/>
          </w:tcPr>
          <w:p w14:paraId="5D607129">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22A0BB11">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6D1F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387A5C0F">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5F63CFCD">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1ED9CD92">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总胆固醇(TC)测定,酶法</w:t>
            </w:r>
          </w:p>
        </w:tc>
        <w:tc>
          <w:tcPr>
            <w:tcW w:w="1434" w:type="dxa"/>
            <w:noWrap w:val="0"/>
            <w:vAlign w:val="center"/>
          </w:tcPr>
          <w:p w14:paraId="3934F2DF">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250303001</w:t>
            </w:r>
          </w:p>
        </w:tc>
        <w:tc>
          <w:tcPr>
            <w:tcW w:w="903" w:type="dxa"/>
            <w:noWrap w:val="0"/>
            <w:vAlign w:val="center"/>
          </w:tcPr>
          <w:p w14:paraId="5CDB5F2A">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756" w:type="dxa"/>
            <w:vMerge w:val="continue"/>
            <w:noWrap/>
            <w:vAlign w:val="center"/>
          </w:tcPr>
          <w:p w14:paraId="56943AAC">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1D375CD1">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23DA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restart"/>
            <w:noWrap/>
            <w:vAlign w:val="center"/>
          </w:tcPr>
          <w:p w14:paraId="03294201">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1197" w:type="dxa"/>
            <w:vMerge w:val="restart"/>
            <w:noWrap w:val="0"/>
            <w:vAlign w:val="center"/>
          </w:tcPr>
          <w:p w14:paraId="5D6BF9C0">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肾功四项</w:t>
            </w:r>
          </w:p>
          <w:p w14:paraId="5E99E13A">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p>
        </w:tc>
        <w:tc>
          <w:tcPr>
            <w:tcW w:w="3689" w:type="dxa"/>
            <w:noWrap w:val="0"/>
            <w:vAlign w:val="center"/>
          </w:tcPr>
          <w:p w14:paraId="651AA995">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胱抑素(Cys-C)测定,免疫比浊法</w:t>
            </w:r>
          </w:p>
        </w:tc>
        <w:tc>
          <w:tcPr>
            <w:tcW w:w="1434" w:type="dxa"/>
            <w:noWrap w:val="0"/>
            <w:vAlign w:val="center"/>
          </w:tcPr>
          <w:p w14:paraId="00B68D81">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250307028</w:t>
            </w:r>
          </w:p>
        </w:tc>
        <w:tc>
          <w:tcPr>
            <w:tcW w:w="903" w:type="dxa"/>
            <w:noWrap w:val="0"/>
            <w:vAlign w:val="center"/>
          </w:tcPr>
          <w:p w14:paraId="1505E268">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28</w:t>
            </w:r>
          </w:p>
        </w:tc>
        <w:tc>
          <w:tcPr>
            <w:tcW w:w="756" w:type="dxa"/>
            <w:vMerge w:val="restart"/>
            <w:noWrap/>
            <w:vAlign w:val="center"/>
          </w:tcPr>
          <w:p w14:paraId="1CA14ECE">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45.5</w:t>
            </w:r>
          </w:p>
        </w:tc>
        <w:tc>
          <w:tcPr>
            <w:tcW w:w="890" w:type="dxa"/>
            <w:vMerge w:val="restart"/>
            <w:noWrap/>
            <w:vAlign w:val="center"/>
          </w:tcPr>
          <w:p w14:paraId="52CFC1C2">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血清1ml</w:t>
            </w:r>
          </w:p>
        </w:tc>
      </w:tr>
      <w:tr w14:paraId="6D49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36817673">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65413FB6">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7098F5A9">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尿素(Urea)测定,酶法</w:t>
            </w:r>
          </w:p>
        </w:tc>
        <w:tc>
          <w:tcPr>
            <w:tcW w:w="1434" w:type="dxa"/>
            <w:noWrap w:val="0"/>
            <w:vAlign w:val="center"/>
          </w:tcPr>
          <w:p w14:paraId="24EC72F7">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250307001</w:t>
            </w:r>
          </w:p>
        </w:tc>
        <w:tc>
          <w:tcPr>
            <w:tcW w:w="903" w:type="dxa"/>
            <w:noWrap w:val="0"/>
            <w:vAlign w:val="center"/>
          </w:tcPr>
          <w:p w14:paraId="73839CD0">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7.5</w:t>
            </w:r>
          </w:p>
        </w:tc>
        <w:tc>
          <w:tcPr>
            <w:tcW w:w="756" w:type="dxa"/>
            <w:vMerge w:val="continue"/>
            <w:noWrap/>
            <w:vAlign w:val="center"/>
          </w:tcPr>
          <w:p w14:paraId="3FA9767E">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14413D4D">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0EBF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4A537288">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78866E86">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59DFA3A8">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尿酸(UA)测定,酶法</w:t>
            </w:r>
          </w:p>
        </w:tc>
        <w:tc>
          <w:tcPr>
            <w:tcW w:w="1434" w:type="dxa"/>
            <w:noWrap w:val="0"/>
            <w:vAlign w:val="center"/>
          </w:tcPr>
          <w:p w14:paraId="2F674E3E">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250307005</w:t>
            </w:r>
          </w:p>
        </w:tc>
        <w:tc>
          <w:tcPr>
            <w:tcW w:w="903" w:type="dxa"/>
            <w:noWrap w:val="0"/>
            <w:vAlign w:val="center"/>
          </w:tcPr>
          <w:p w14:paraId="41433B93">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756" w:type="dxa"/>
            <w:vMerge w:val="continue"/>
            <w:noWrap/>
            <w:vAlign w:val="center"/>
          </w:tcPr>
          <w:p w14:paraId="2A1D4878">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1EA0B8A5">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45B0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3D4EFE0D">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5048F599">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48C3C936">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肌酐(Cr)测定,酶法</w:t>
            </w:r>
          </w:p>
        </w:tc>
        <w:tc>
          <w:tcPr>
            <w:tcW w:w="1434" w:type="dxa"/>
            <w:noWrap w:val="0"/>
            <w:vAlign w:val="center"/>
          </w:tcPr>
          <w:p w14:paraId="2C0364F2">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250307002</w:t>
            </w:r>
          </w:p>
        </w:tc>
        <w:tc>
          <w:tcPr>
            <w:tcW w:w="903" w:type="dxa"/>
            <w:noWrap w:val="0"/>
            <w:vAlign w:val="center"/>
          </w:tcPr>
          <w:p w14:paraId="72C0CD2B">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756" w:type="dxa"/>
            <w:vMerge w:val="continue"/>
            <w:noWrap/>
            <w:vAlign w:val="center"/>
          </w:tcPr>
          <w:p w14:paraId="450DE267">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3D6D5732">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65F3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restart"/>
            <w:noWrap/>
            <w:vAlign w:val="center"/>
          </w:tcPr>
          <w:p w14:paraId="5A42D402">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1197" w:type="dxa"/>
            <w:vMerge w:val="restart"/>
            <w:noWrap w:val="0"/>
            <w:vAlign w:val="center"/>
          </w:tcPr>
          <w:p w14:paraId="6B80EC3F">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肝功能五项</w:t>
            </w:r>
          </w:p>
        </w:tc>
        <w:tc>
          <w:tcPr>
            <w:tcW w:w="3689" w:type="dxa"/>
            <w:noWrap w:val="0"/>
            <w:vAlign w:val="center"/>
          </w:tcPr>
          <w:p w14:paraId="34830A98">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总蛋白(TP)测定,,双缩尿法</w:t>
            </w:r>
          </w:p>
        </w:tc>
        <w:tc>
          <w:tcPr>
            <w:tcW w:w="1434" w:type="dxa"/>
            <w:noWrap w:val="0"/>
            <w:vAlign w:val="center"/>
          </w:tcPr>
          <w:p w14:paraId="73050CB1">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kern w:val="0"/>
                <w:sz w:val="21"/>
                <w:szCs w:val="21"/>
                <w:u w:val="none"/>
                <w:lang w:val="en-US" w:eastAsia="zh-CN" w:bidi="ar"/>
              </w:rPr>
              <w:t>250301001</w:t>
            </w:r>
          </w:p>
        </w:tc>
        <w:tc>
          <w:tcPr>
            <w:tcW w:w="903" w:type="dxa"/>
            <w:noWrap w:val="0"/>
            <w:vAlign w:val="center"/>
          </w:tcPr>
          <w:p w14:paraId="72F703A1">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756" w:type="dxa"/>
            <w:vMerge w:val="restart"/>
            <w:noWrap/>
            <w:vAlign w:val="center"/>
          </w:tcPr>
          <w:p w14:paraId="092F14D2">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27</w:t>
            </w:r>
          </w:p>
        </w:tc>
        <w:tc>
          <w:tcPr>
            <w:tcW w:w="890" w:type="dxa"/>
            <w:vMerge w:val="restart"/>
            <w:noWrap/>
            <w:vAlign w:val="center"/>
          </w:tcPr>
          <w:p w14:paraId="381E2497">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血清1ml</w:t>
            </w:r>
          </w:p>
        </w:tc>
      </w:tr>
      <w:tr w14:paraId="6FBD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719DD550">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0CD2202B">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090EA5AD">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白蛋白(Alb)测定,溴甲酚绿法</w:t>
            </w:r>
          </w:p>
        </w:tc>
        <w:tc>
          <w:tcPr>
            <w:tcW w:w="1434" w:type="dxa"/>
            <w:noWrap w:val="0"/>
            <w:vAlign w:val="center"/>
          </w:tcPr>
          <w:p w14:paraId="4D1F5249">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250301002</w:t>
            </w:r>
          </w:p>
        </w:tc>
        <w:tc>
          <w:tcPr>
            <w:tcW w:w="903" w:type="dxa"/>
            <w:noWrap w:val="0"/>
            <w:vAlign w:val="center"/>
          </w:tcPr>
          <w:p w14:paraId="150D8395">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756" w:type="dxa"/>
            <w:vMerge w:val="continue"/>
            <w:noWrap/>
            <w:vAlign w:val="center"/>
          </w:tcPr>
          <w:p w14:paraId="0B5DA84E">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7C6EDAEF">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105B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45DF18C3">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78B6D829">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39633573">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γ-谷氨酰基转移酶(GGT)测定,速率法</w:t>
            </w:r>
          </w:p>
        </w:tc>
        <w:tc>
          <w:tcPr>
            <w:tcW w:w="1434" w:type="dxa"/>
            <w:noWrap w:val="0"/>
            <w:vAlign w:val="center"/>
          </w:tcPr>
          <w:p w14:paraId="715C063A">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250305009</w:t>
            </w:r>
          </w:p>
        </w:tc>
        <w:tc>
          <w:tcPr>
            <w:tcW w:w="903" w:type="dxa"/>
            <w:noWrap w:val="0"/>
            <w:vAlign w:val="center"/>
          </w:tcPr>
          <w:p w14:paraId="7D532938">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w:t>
            </w:r>
          </w:p>
        </w:tc>
        <w:tc>
          <w:tcPr>
            <w:tcW w:w="756" w:type="dxa"/>
            <w:vMerge w:val="continue"/>
            <w:noWrap/>
            <w:vAlign w:val="center"/>
          </w:tcPr>
          <w:p w14:paraId="56228DA7">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7DAEDA33">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60DB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0D5F4197">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056DCCC9">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51E568D6">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天门冬氨酸氨基转移酶 (AST)测定,速率法</w:t>
            </w:r>
          </w:p>
        </w:tc>
        <w:tc>
          <w:tcPr>
            <w:tcW w:w="1434" w:type="dxa"/>
            <w:noWrap w:val="0"/>
            <w:vAlign w:val="center"/>
          </w:tcPr>
          <w:p w14:paraId="0A94F864">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250305008</w:t>
            </w:r>
          </w:p>
        </w:tc>
        <w:tc>
          <w:tcPr>
            <w:tcW w:w="903" w:type="dxa"/>
            <w:noWrap w:val="0"/>
            <w:vAlign w:val="center"/>
          </w:tcPr>
          <w:p w14:paraId="40A85198">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w:t>
            </w:r>
          </w:p>
        </w:tc>
        <w:tc>
          <w:tcPr>
            <w:tcW w:w="756" w:type="dxa"/>
            <w:vMerge w:val="continue"/>
            <w:noWrap/>
            <w:vAlign w:val="center"/>
          </w:tcPr>
          <w:p w14:paraId="10A78551">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4E5E13DE">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7913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7CA88271">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4384B974">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33A9C7ED">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丙氨酸氨基转移酶(ALT)测定,速率法</w:t>
            </w:r>
          </w:p>
        </w:tc>
        <w:tc>
          <w:tcPr>
            <w:tcW w:w="1434" w:type="dxa"/>
            <w:noWrap w:val="0"/>
            <w:vAlign w:val="center"/>
          </w:tcPr>
          <w:p w14:paraId="489FCD84">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250305007</w:t>
            </w:r>
          </w:p>
        </w:tc>
        <w:tc>
          <w:tcPr>
            <w:tcW w:w="903" w:type="dxa"/>
            <w:noWrap w:val="0"/>
            <w:vAlign w:val="center"/>
          </w:tcPr>
          <w:p w14:paraId="4C2EB4B2">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w:t>
            </w:r>
          </w:p>
        </w:tc>
        <w:tc>
          <w:tcPr>
            <w:tcW w:w="756" w:type="dxa"/>
            <w:vMerge w:val="continue"/>
            <w:noWrap/>
            <w:vAlign w:val="center"/>
          </w:tcPr>
          <w:p w14:paraId="1F173948">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27DF8443">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3AAC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49CB4B9C">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74EB8E0C">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0B51C825">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白蛋白/球蛋白比值(A/G),计算法</w:t>
            </w:r>
          </w:p>
        </w:tc>
        <w:tc>
          <w:tcPr>
            <w:tcW w:w="1434" w:type="dxa"/>
            <w:noWrap w:val="0"/>
            <w:vAlign w:val="center"/>
          </w:tcPr>
          <w:p w14:paraId="6AFDEBAA">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w:t>
            </w:r>
          </w:p>
        </w:tc>
        <w:tc>
          <w:tcPr>
            <w:tcW w:w="903" w:type="dxa"/>
            <w:noWrap w:val="0"/>
            <w:vAlign w:val="center"/>
          </w:tcPr>
          <w:p w14:paraId="1F5CC0F8">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756" w:type="dxa"/>
            <w:vMerge w:val="continue"/>
            <w:noWrap/>
            <w:vAlign w:val="center"/>
          </w:tcPr>
          <w:p w14:paraId="7B63DBAE">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578379D8">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4DB0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1E22CA11">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19EAAE34">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443A084D">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天门冬氨酸氨基转移酶/丙氨酸氨基转移(S/L),计算法</w:t>
            </w:r>
          </w:p>
        </w:tc>
        <w:tc>
          <w:tcPr>
            <w:tcW w:w="1434" w:type="dxa"/>
            <w:noWrap w:val="0"/>
            <w:vAlign w:val="center"/>
          </w:tcPr>
          <w:p w14:paraId="7C20BB36">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w:t>
            </w:r>
          </w:p>
        </w:tc>
        <w:tc>
          <w:tcPr>
            <w:tcW w:w="903" w:type="dxa"/>
            <w:noWrap w:val="0"/>
            <w:vAlign w:val="center"/>
          </w:tcPr>
          <w:p w14:paraId="0A87EBC2">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756" w:type="dxa"/>
            <w:vMerge w:val="continue"/>
            <w:noWrap/>
            <w:vAlign w:val="center"/>
          </w:tcPr>
          <w:p w14:paraId="7B1469D5">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251BF271">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617D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5E6DAA19">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5C7EFFFF">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3293FDC2">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rPr>
              <w:t>球蛋白(GLOB),计算法</w:t>
            </w:r>
          </w:p>
        </w:tc>
        <w:tc>
          <w:tcPr>
            <w:tcW w:w="1434" w:type="dxa"/>
            <w:noWrap w:val="0"/>
            <w:vAlign w:val="center"/>
          </w:tcPr>
          <w:p w14:paraId="7FCA3618">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w:t>
            </w:r>
          </w:p>
        </w:tc>
        <w:tc>
          <w:tcPr>
            <w:tcW w:w="903" w:type="dxa"/>
            <w:noWrap w:val="0"/>
            <w:vAlign w:val="center"/>
          </w:tcPr>
          <w:p w14:paraId="54624479">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0</w:t>
            </w:r>
          </w:p>
        </w:tc>
        <w:tc>
          <w:tcPr>
            <w:tcW w:w="756" w:type="dxa"/>
            <w:vMerge w:val="continue"/>
            <w:noWrap/>
            <w:vAlign w:val="center"/>
          </w:tcPr>
          <w:p w14:paraId="1CD2111F">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45ACAE2A">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6962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restart"/>
            <w:noWrap/>
            <w:vAlign w:val="center"/>
          </w:tcPr>
          <w:p w14:paraId="50B15746">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1197" w:type="dxa"/>
            <w:vMerge w:val="restart"/>
            <w:noWrap w:val="0"/>
            <w:vAlign w:val="center"/>
          </w:tcPr>
          <w:p w14:paraId="7811DA52">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胆红素三项</w:t>
            </w:r>
          </w:p>
        </w:tc>
        <w:tc>
          <w:tcPr>
            <w:tcW w:w="3689" w:type="dxa"/>
            <w:noWrap w:val="0"/>
            <w:vAlign w:val="center"/>
          </w:tcPr>
          <w:p w14:paraId="555D53DD">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间接胆红素 (I-Bil)测定,计算法</w:t>
            </w:r>
          </w:p>
        </w:tc>
        <w:tc>
          <w:tcPr>
            <w:tcW w:w="1434" w:type="dxa"/>
            <w:noWrap w:val="0"/>
            <w:vAlign w:val="center"/>
          </w:tcPr>
          <w:p w14:paraId="5F8DF2E8">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w:t>
            </w:r>
          </w:p>
        </w:tc>
        <w:tc>
          <w:tcPr>
            <w:tcW w:w="903" w:type="dxa"/>
            <w:noWrap w:val="0"/>
            <w:vAlign w:val="center"/>
          </w:tcPr>
          <w:p w14:paraId="58058526">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756" w:type="dxa"/>
            <w:vMerge w:val="restart"/>
            <w:noWrap/>
            <w:vAlign w:val="center"/>
          </w:tcPr>
          <w:p w14:paraId="439797B3">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w:t>
            </w:r>
          </w:p>
        </w:tc>
        <w:tc>
          <w:tcPr>
            <w:tcW w:w="890" w:type="dxa"/>
            <w:vMerge w:val="restart"/>
            <w:noWrap/>
            <w:vAlign w:val="center"/>
          </w:tcPr>
          <w:p w14:paraId="23BBE4B6">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血清1ml</w:t>
            </w:r>
          </w:p>
        </w:tc>
      </w:tr>
      <w:tr w14:paraId="1D05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61BF5F7F">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7BF17657">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00B46350">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直接胆红素(D-Bil)测定,钒酸盐氧化法</w:t>
            </w:r>
          </w:p>
        </w:tc>
        <w:tc>
          <w:tcPr>
            <w:tcW w:w="1434" w:type="dxa"/>
            <w:noWrap w:val="0"/>
            <w:vAlign w:val="center"/>
          </w:tcPr>
          <w:p w14:paraId="355FA0E5">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250305002</w:t>
            </w:r>
          </w:p>
        </w:tc>
        <w:tc>
          <w:tcPr>
            <w:tcW w:w="903" w:type="dxa"/>
            <w:noWrap w:val="0"/>
            <w:vAlign w:val="center"/>
          </w:tcPr>
          <w:p w14:paraId="4A671916">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756" w:type="dxa"/>
            <w:vMerge w:val="continue"/>
            <w:noWrap/>
            <w:vAlign w:val="center"/>
          </w:tcPr>
          <w:p w14:paraId="3C35B78D">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52EFC4DB">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6028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57037C9C">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0"/>
            <w:vAlign w:val="center"/>
          </w:tcPr>
          <w:p w14:paraId="5FCA3354">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3133BA4E">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总胆红素(T- Bil)测定,钒酸盐氧化法</w:t>
            </w:r>
          </w:p>
        </w:tc>
        <w:tc>
          <w:tcPr>
            <w:tcW w:w="1434" w:type="dxa"/>
            <w:noWrap w:val="0"/>
            <w:vAlign w:val="center"/>
          </w:tcPr>
          <w:p w14:paraId="57726328">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250305001</w:t>
            </w:r>
          </w:p>
        </w:tc>
        <w:tc>
          <w:tcPr>
            <w:tcW w:w="903" w:type="dxa"/>
            <w:noWrap w:val="0"/>
            <w:vAlign w:val="center"/>
          </w:tcPr>
          <w:p w14:paraId="5BF4CAF0">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756" w:type="dxa"/>
            <w:vMerge w:val="continue"/>
            <w:noWrap/>
            <w:vAlign w:val="center"/>
          </w:tcPr>
          <w:p w14:paraId="5665CCAE">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ign w:val="center"/>
          </w:tcPr>
          <w:p w14:paraId="4DEE9AF9">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1BC6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noWrap w:val="0"/>
            <w:vAlign w:val="center"/>
          </w:tcPr>
          <w:p w14:paraId="3C5099B7">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1197" w:type="dxa"/>
            <w:noWrap w:val="0"/>
            <w:vAlign w:val="center"/>
          </w:tcPr>
          <w:p w14:paraId="6E8B6DBF">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葡萄糖</w:t>
            </w:r>
          </w:p>
        </w:tc>
        <w:tc>
          <w:tcPr>
            <w:tcW w:w="3689" w:type="dxa"/>
            <w:noWrap w:val="0"/>
            <w:vAlign w:val="center"/>
          </w:tcPr>
          <w:p w14:paraId="10D126FF">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葡萄糖(Glu)测定,[空腹],己糖激酶法</w:t>
            </w:r>
          </w:p>
        </w:tc>
        <w:tc>
          <w:tcPr>
            <w:tcW w:w="1434" w:type="dxa"/>
            <w:noWrap w:val="0"/>
            <w:vAlign w:val="center"/>
          </w:tcPr>
          <w:p w14:paraId="6DF2A212">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250302001</w:t>
            </w:r>
          </w:p>
        </w:tc>
        <w:tc>
          <w:tcPr>
            <w:tcW w:w="903" w:type="dxa"/>
            <w:noWrap w:val="0"/>
            <w:vAlign w:val="center"/>
          </w:tcPr>
          <w:p w14:paraId="76CB52F4">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756" w:type="dxa"/>
            <w:noWrap w:val="0"/>
            <w:vAlign w:val="center"/>
          </w:tcPr>
          <w:p w14:paraId="5B1F613D">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890" w:type="dxa"/>
            <w:noWrap w:val="0"/>
            <w:vAlign w:val="center"/>
          </w:tcPr>
          <w:p w14:paraId="4C630835">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血清1ml</w:t>
            </w:r>
          </w:p>
        </w:tc>
      </w:tr>
      <w:tr w14:paraId="524A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noWrap w:val="0"/>
            <w:vAlign w:val="center"/>
          </w:tcPr>
          <w:p w14:paraId="79F2365D">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w:t>
            </w:r>
          </w:p>
        </w:tc>
        <w:tc>
          <w:tcPr>
            <w:tcW w:w="1197" w:type="dxa"/>
            <w:noWrap w:val="0"/>
            <w:vAlign w:val="center"/>
          </w:tcPr>
          <w:p w14:paraId="7CFC082C">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糖化血红蛋白</w:t>
            </w:r>
          </w:p>
        </w:tc>
        <w:tc>
          <w:tcPr>
            <w:tcW w:w="3689" w:type="dxa"/>
            <w:noWrap w:val="0"/>
            <w:vAlign w:val="center"/>
          </w:tcPr>
          <w:p w14:paraId="541A1B1F">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糖化血红蛋白（HbA1C）,高效液相色谱法</w:t>
            </w:r>
          </w:p>
        </w:tc>
        <w:tc>
          <w:tcPr>
            <w:tcW w:w="1434" w:type="dxa"/>
            <w:noWrap w:val="0"/>
            <w:vAlign w:val="center"/>
          </w:tcPr>
          <w:p w14:paraId="6EEDD4ED">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250302003</w:t>
            </w:r>
          </w:p>
        </w:tc>
        <w:tc>
          <w:tcPr>
            <w:tcW w:w="903" w:type="dxa"/>
            <w:noWrap w:val="0"/>
            <w:vAlign w:val="center"/>
          </w:tcPr>
          <w:p w14:paraId="5009A47D">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756" w:type="dxa"/>
            <w:noWrap w:val="0"/>
            <w:vAlign w:val="center"/>
          </w:tcPr>
          <w:p w14:paraId="77C1C558">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30</w:t>
            </w:r>
          </w:p>
        </w:tc>
        <w:tc>
          <w:tcPr>
            <w:tcW w:w="890" w:type="dxa"/>
            <w:noWrap w:val="0"/>
            <w:vAlign w:val="center"/>
          </w:tcPr>
          <w:p w14:paraId="3E626FA4">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全血2ml</w:t>
            </w:r>
          </w:p>
        </w:tc>
      </w:tr>
      <w:tr w14:paraId="7CBA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noWrap w:val="0"/>
            <w:vAlign w:val="center"/>
          </w:tcPr>
          <w:p w14:paraId="6196830C">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w:t>
            </w:r>
          </w:p>
        </w:tc>
        <w:tc>
          <w:tcPr>
            <w:tcW w:w="1197" w:type="dxa"/>
            <w:noWrap w:val="0"/>
            <w:vAlign w:val="center"/>
          </w:tcPr>
          <w:p w14:paraId="0BD916D1">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胰岛素</w:t>
            </w:r>
          </w:p>
        </w:tc>
        <w:tc>
          <w:tcPr>
            <w:tcW w:w="3689" w:type="dxa"/>
            <w:noWrap w:val="0"/>
            <w:vAlign w:val="center"/>
          </w:tcPr>
          <w:p w14:paraId="02AD342A">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胰岛素(空腹),化学发光法</w:t>
            </w:r>
          </w:p>
        </w:tc>
        <w:tc>
          <w:tcPr>
            <w:tcW w:w="1434" w:type="dxa"/>
            <w:noWrap w:val="0"/>
            <w:vAlign w:val="center"/>
          </w:tcPr>
          <w:p w14:paraId="5FB93A1E">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250310039</w:t>
            </w:r>
          </w:p>
        </w:tc>
        <w:tc>
          <w:tcPr>
            <w:tcW w:w="903" w:type="dxa"/>
            <w:noWrap w:val="0"/>
            <w:vAlign w:val="center"/>
          </w:tcPr>
          <w:p w14:paraId="0C691223">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37</w:t>
            </w:r>
          </w:p>
        </w:tc>
        <w:tc>
          <w:tcPr>
            <w:tcW w:w="756" w:type="dxa"/>
            <w:noWrap w:val="0"/>
            <w:vAlign w:val="center"/>
          </w:tcPr>
          <w:p w14:paraId="737BA46A">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37</w:t>
            </w:r>
          </w:p>
        </w:tc>
        <w:tc>
          <w:tcPr>
            <w:tcW w:w="890" w:type="dxa"/>
            <w:noWrap w:val="0"/>
            <w:vAlign w:val="center"/>
          </w:tcPr>
          <w:p w14:paraId="7BBDAE72">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血清1ml</w:t>
            </w:r>
          </w:p>
        </w:tc>
      </w:tr>
      <w:tr w14:paraId="3C5F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noWrap w:val="0"/>
            <w:vAlign w:val="center"/>
          </w:tcPr>
          <w:p w14:paraId="2560F5A0">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1197" w:type="dxa"/>
            <w:noWrap w:val="0"/>
            <w:vAlign w:val="center"/>
          </w:tcPr>
          <w:p w14:paraId="525CB999">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C-反应蛋白</w:t>
            </w:r>
          </w:p>
        </w:tc>
        <w:tc>
          <w:tcPr>
            <w:tcW w:w="3689" w:type="dxa"/>
            <w:noWrap w:val="0"/>
            <w:vAlign w:val="center"/>
          </w:tcPr>
          <w:p w14:paraId="7FA1F368">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C-反应蛋白(CRP),免疫比浊法</w:t>
            </w:r>
          </w:p>
        </w:tc>
        <w:tc>
          <w:tcPr>
            <w:tcW w:w="1434" w:type="dxa"/>
            <w:noWrap w:val="0"/>
            <w:vAlign w:val="center"/>
          </w:tcPr>
          <w:p w14:paraId="4D86FCA5">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250401025</w:t>
            </w:r>
          </w:p>
        </w:tc>
        <w:tc>
          <w:tcPr>
            <w:tcW w:w="903" w:type="dxa"/>
            <w:noWrap w:val="0"/>
            <w:vAlign w:val="center"/>
          </w:tcPr>
          <w:p w14:paraId="3E546A7B">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20</w:t>
            </w:r>
          </w:p>
        </w:tc>
        <w:tc>
          <w:tcPr>
            <w:tcW w:w="756" w:type="dxa"/>
            <w:noWrap w:val="0"/>
            <w:vAlign w:val="center"/>
          </w:tcPr>
          <w:p w14:paraId="76CD21C5">
            <w:pPr>
              <w:keepNext/>
              <w:keepLines w:val="0"/>
              <w:widowControl/>
              <w:suppressLineNumbers w:val="0"/>
              <w:snapToGrid w:val="0"/>
              <w:spacing w:line="240" w:lineRule="auto"/>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20</w:t>
            </w:r>
          </w:p>
        </w:tc>
        <w:tc>
          <w:tcPr>
            <w:tcW w:w="890" w:type="dxa"/>
            <w:noWrap w:val="0"/>
            <w:vAlign w:val="center"/>
          </w:tcPr>
          <w:p w14:paraId="3069BDCD">
            <w:pPr>
              <w:keepNext/>
              <w:keepLines w:val="0"/>
              <w:widowControl/>
              <w:suppressLineNumbers w:val="0"/>
              <w:snapToGrid w:val="0"/>
              <w:spacing w:line="240" w:lineRule="auto"/>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血清1ml</w:t>
            </w:r>
          </w:p>
        </w:tc>
      </w:tr>
      <w:tr w14:paraId="6E5E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restart"/>
            <w:noWrap/>
            <w:vAlign w:val="center"/>
          </w:tcPr>
          <w:p w14:paraId="0A41CD81">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9</w:t>
            </w:r>
          </w:p>
        </w:tc>
        <w:tc>
          <w:tcPr>
            <w:tcW w:w="1197" w:type="dxa"/>
            <w:vMerge w:val="restart"/>
            <w:noWrap/>
            <w:vAlign w:val="center"/>
          </w:tcPr>
          <w:p w14:paraId="6233972C">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肿瘤标志物三项</w:t>
            </w:r>
          </w:p>
        </w:tc>
        <w:tc>
          <w:tcPr>
            <w:tcW w:w="3689" w:type="dxa"/>
            <w:noWrap w:val="0"/>
            <w:vAlign w:val="center"/>
          </w:tcPr>
          <w:p w14:paraId="39FDB7C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癌胚抗原(CEA),化学发光法</w:t>
            </w:r>
          </w:p>
        </w:tc>
        <w:tc>
          <w:tcPr>
            <w:tcW w:w="1434" w:type="dxa"/>
            <w:noWrap w:val="0"/>
            <w:vAlign w:val="center"/>
          </w:tcPr>
          <w:p w14:paraId="53D3BB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250404001</w:t>
            </w:r>
          </w:p>
        </w:tc>
        <w:tc>
          <w:tcPr>
            <w:tcW w:w="903" w:type="dxa"/>
            <w:noWrap w:val="0"/>
            <w:vAlign w:val="center"/>
          </w:tcPr>
          <w:p w14:paraId="58C507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756" w:type="dxa"/>
            <w:vMerge w:val="restart"/>
            <w:noWrap w:val="0"/>
            <w:vAlign w:val="center"/>
          </w:tcPr>
          <w:p w14:paraId="2FD110DA">
            <w:pPr>
              <w:keepNext/>
              <w:snapToGrid w:val="0"/>
              <w:spacing w:line="240" w:lineRule="auto"/>
              <w:ind w:left="0" w:leftChars="0" w:right="0" w:rightChars="0" w:firstLine="0" w:firstLineChars="0"/>
              <w:jc w:val="center"/>
              <w:rPr>
                <w:rFonts w:hint="eastAsia" w:ascii="仿宋" w:hAnsi="仿宋" w:eastAsia="仿宋" w:cs="仿宋"/>
                <w:i w:val="0"/>
                <w:iCs w:val="0"/>
                <w:color w:val="000000"/>
                <w:kern w:val="0"/>
                <w:sz w:val="21"/>
                <w:szCs w:val="21"/>
                <w:u w:val="none"/>
                <w:lang w:val="en-US" w:eastAsia="zh-CN" w:bidi="ar"/>
              </w:rPr>
            </w:pPr>
          </w:p>
          <w:p w14:paraId="3489E7F1">
            <w:pPr>
              <w:keepNext/>
              <w:snapToGrid w:val="0"/>
              <w:spacing w:line="240" w:lineRule="auto"/>
              <w:ind w:left="0" w:leftChars="0" w:right="0" w:rightChars="0" w:firstLine="0" w:firstLineChars="0"/>
              <w:jc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114</w:t>
            </w:r>
          </w:p>
          <w:p w14:paraId="207FDD9F">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restart"/>
            <w:noWrap w:val="0"/>
            <w:vAlign w:val="center"/>
          </w:tcPr>
          <w:p w14:paraId="7AC1ED9D">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血清1ml</w:t>
            </w:r>
          </w:p>
        </w:tc>
      </w:tr>
      <w:tr w14:paraId="4B0A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0D3FE6C0">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ign w:val="center"/>
          </w:tcPr>
          <w:p w14:paraId="5B5F77A2">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5A5DBBD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糖链抗原199(CA199),化学发光法</w:t>
            </w:r>
          </w:p>
        </w:tc>
        <w:tc>
          <w:tcPr>
            <w:tcW w:w="1434" w:type="dxa"/>
            <w:noWrap w:val="0"/>
            <w:vAlign w:val="center"/>
          </w:tcPr>
          <w:p w14:paraId="35A360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250404011</w:t>
            </w:r>
          </w:p>
        </w:tc>
        <w:tc>
          <w:tcPr>
            <w:tcW w:w="903" w:type="dxa"/>
            <w:noWrap w:val="0"/>
            <w:vAlign w:val="center"/>
          </w:tcPr>
          <w:p w14:paraId="298AF1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50</w:t>
            </w:r>
          </w:p>
        </w:tc>
        <w:tc>
          <w:tcPr>
            <w:tcW w:w="756" w:type="dxa"/>
            <w:vMerge w:val="continue"/>
            <w:noWrap w:val="0"/>
            <w:vAlign w:val="center"/>
          </w:tcPr>
          <w:p w14:paraId="065AB296">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0"/>
            <w:vAlign w:val="center"/>
          </w:tcPr>
          <w:p w14:paraId="6AB2269C">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39E1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 w:type="dxa"/>
            <w:vMerge w:val="continue"/>
            <w:noWrap/>
            <w:vAlign w:val="center"/>
          </w:tcPr>
          <w:p w14:paraId="344B2546">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1197" w:type="dxa"/>
            <w:vMerge w:val="continue"/>
            <w:noWrap/>
            <w:vAlign w:val="center"/>
          </w:tcPr>
          <w:p w14:paraId="17C5B592">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c>
          <w:tcPr>
            <w:tcW w:w="3689" w:type="dxa"/>
            <w:noWrap w:val="0"/>
            <w:vAlign w:val="center"/>
          </w:tcPr>
          <w:p w14:paraId="7111B32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甲胎蛋白(AFP),化学发光法</w:t>
            </w:r>
          </w:p>
        </w:tc>
        <w:tc>
          <w:tcPr>
            <w:tcW w:w="1434" w:type="dxa"/>
            <w:noWrap w:val="0"/>
            <w:vAlign w:val="center"/>
          </w:tcPr>
          <w:p w14:paraId="64AEFE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250404002</w:t>
            </w:r>
          </w:p>
        </w:tc>
        <w:tc>
          <w:tcPr>
            <w:tcW w:w="903" w:type="dxa"/>
            <w:noWrap w:val="0"/>
            <w:vAlign w:val="center"/>
          </w:tcPr>
          <w:p w14:paraId="4E6D28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756" w:type="dxa"/>
            <w:vMerge w:val="continue"/>
            <w:noWrap w:val="0"/>
            <w:vAlign w:val="center"/>
          </w:tcPr>
          <w:p w14:paraId="1346D9E3">
            <w:pPr>
              <w:keepNext/>
              <w:snapToGrid w:val="0"/>
              <w:spacing w:line="240" w:lineRule="auto"/>
              <w:ind w:left="0" w:leftChars="0" w:right="0" w:rightChars="0" w:firstLine="0" w:firstLineChars="0"/>
              <w:jc w:val="center"/>
              <w:rPr>
                <w:rFonts w:hint="eastAsia" w:ascii="仿宋" w:hAnsi="仿宋" w:eastAsia="仿宋" w:cs="仿宋"/>
                <w:i w:val="0"/>
                <w:iCs w:val="0"/>
                <w:color w:val="auto"/>
                <w:sz w:val="21"/>
                <w:szCs w:val="21"/>
                <w:u w:val="none"/>
              </w:rPr>
            </w:pPr>
          </w:p>
        </w:tc>
        <w:tc>
          <w:tcPr>
            <w:tcW w:w="890" w:type="dxa"/>
            <w:vMerge w:val="continue"/>
            <w:noWrap w:val="0"/>
            <w:vAlign w:val="center"/>
          </w:tcPr>
          <w:p w14:paraId="6394F8B2">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p>
        </w:tc>
      </w:tr>
      <w:tr w14:paraId="47B8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91" w:type="dxa"/>
            <w:noWrap/>
            <w:vAlign w:val="center"/>
          </w:tcPr>
          <w:p w14:paraId="4CC17A0B">
            <w:pPr>
              <w:keepNext/>
              <w:snapToGrid w:val="0"/>
              <w:spacing w:line="240" w:lineRule="auto"/>
              <w:ind w:left="0" w:leftChars="0" w:right="0" w:rightChars="0" w:firstLine="0" w:firstLineChars="0"/>
              <w:jc w:val="center"/>
              <w:rPr>
                <w:rFonts w:hint="default"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10</w:t>
            </w:r>
          </w:p>
        </w:tc>
        <w:tc>
          <w:tcPr>
            <w:tcW w:w="7223" w:type="dxa"/>
            <w:gridSpan w:val="4"/>
            <w:noWrap/>
            <w:vAlign w:val="center"/>
          </w:tcPr>
          <w:p w14:paraId="5F7671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sz w:val="21"/>
                <w:szCs w:val="21"/>
                <w:u w:val="none"/>
                <w:lang w:val="en-US" w:eastAsia="zh-CN"/>
              </w:rPr>
              <w:t>合计</w:t>
            </w:r>
          </w:p>
        </w:tc>
        <w:tc>
          <w:tcPr>
            <w:tcW w:w="756" w:type="dxa"/>
            <w:noWrap w:val="0"/>
            <w:vAlign w:val="center"/>
          </w:tcPr>
          <w:p w14:paraId="19BE60E6">
            <w:pPr>
              <w:keepNext/>
              <w:tabs>
                <w:tab w:val="left" w:pos="215"/>
              </w:tabs>
              <w:snapToGrid w:val="0"/>
              <w:spacing w:line="240" w:lineRule="auto"/>
              <w:ind w:left="0" w:leftChars="0" w:right="0" w:rightChars="0" w:firstLine="0" w:firstLineChars="0"/>
              <w:jc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sz w:val="21"/>
                <w:szCs w:val="21"/>
                <w:u w:val="none"/>
                <w:lang w:val="en-US" w:eastAsia="zh-CN"/>
              </w:rPr>
              <w:t>318.5</w:t>
            </w:r>
          </w:p>
        </w:tc>
        <w:tc>
          <w:tcPr>
            <w:tcW w:w="890" w:type="dxa"/>
            <w:noWrap w:val="0"/>
            <w:vAlign w:val="center"/>
          </w:tcPr>
          <w:p w14:paraId="1CCC569A">
            <w:pPr>
              <w:keepNext/>
              <w:snapToGrid w:val="0"/>
              <w:spacing w:line="240" w:lineRule="auto"/>
              <w:ind w:left="0" w:leftChars="0" w:right="0" w:rightChars="0" w:firstLine="0" w:firstLineChars="0"/>
              <w:jc w:val="lef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w:t>
            </w:r>
          </w:p>
        </w:tc>
      </w:tr>
    </w:tbl>
    <w:p w14:paraId="30E9EB38">
      <w:pPr>
        <w:spacing w:line="360" w:lineRule="auto"/>
        <w:ind w:firstLine="492" w:firstLineChars="200"/>
        <w:rPr>
          <w:rFonts w:hint="default" w:ascii="Times New Roman" w:hAnsi="Times New Roman" w:eastAsia="仿宋" w:cs="Times New Roman"/>
          <w:spacing w:val="3"/>
          <w:sz w:val="24"/>
          <w:szCs w:val="24"/>
          <w:lang w:val="en-US" w:eastAsia="zh-CN"/>
        </w:rPr>
      </w:pPr>
      <w:r>
        <w:rPr>
          <w:rFonts w:hint="eastAsia" w:ascii="Times New Roman" w:hAnsi="Times New Roman" w:eastAsia="仿宋" w:cs="Times New Roman"/>
          <w:spacing w:val="3"/>
          <w:sz w:val="24"/>
          <w:szCs w:val="24"/>
          <w:lang w:val="en-US" w:eastAsia="zh-CN"/>
        </w:rPr>
        <w:t>备注：包括但不限于以上项目，可根据实际情况，进行项目的增减。</w:t>
      </w:r>
    </w:p>
    <w:p w14:paraId="68855961">
      <w:pPr>
        <w:spacing w:line="360" w:lineRule="auto"/>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3.服务要求</w:t>
      </w:r>
    </w:p>
    <w:p w14:paraId="0DA6C073">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（1）本项目信息化建设及项目管理能力要求</w:t>
      </w:r>
    </w:p>
    <w:p w14:paraId="0824B868">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★①参选人应具有信息安全管理体系认证证书，信息安全管理体系符合ISO/IEC 27001:2022标准，同时具备</w:t>
      </w:r>
      <w:r>
        <w:rPr>
          <w:rFonts w:hint="eastAsia" w:ascii="仿宋" w:hAnsi="仿宋" w:eastAsia="仿宋" w:cs="仿宋"/>
          <w:b/>
          <w:bCs/>
          <w:color w:val="000000"/>
          <w:kern w:val="0"/>
          <w:sz w:val="24"/>
          <w:szCs w:val="24"/>
          <w:lang w:val="en-US" w:eastAsia="zh-CN" w:bidi="ar"/>
        </w:rPr>
        <w:t>类似于</w:t>
      </w:r>
      <w:r>
        <w:rPr>
          <w:rFonts w:hint="eastAsia" w:ascii="仿宋" w:hAnsi="仿宋" w:eastAsia="仿宋" w:cs="仿宋"/>
          <w:color w:val="000000"/>
          <w:kern w:val="0"/>
          <w:sz w:val="24"/>
          <w:szCs w:val="24"/>
          <w:lang w:val="en-US" w:eastAsia="zh-CN" w:bidi="ar"/>
        </w:rPr>
        <w:t>标本数据对接系统、查询分析系统和在线打印系统的软件著作权登记证书（具体效果一致即可）。</w:t>
      </w:r>
      <w:r>
        <w:rPr>
          <w:rFonts w:hint="eastAsia" w:ascii="仿宋" w:hAnsi="仿宋" w:eastAsia="仿宋" w:cs="仿宋"/>
          <w:b/>
          <w:bCs/>
          <w:color w:val="000000"/>
          <w:kern w:val="0"/>
          <w:sz w:val="24"/>
          <w:szCs w:val="24"/>
          <w:lang w:val="en-US" w:eastAsia="zh-CN" w:bidi="ar"/>
        </w:rPr>
        <w:t>（参选文件中须提供证书扫描件）</w:t>
      </w:r>
    </w:p>
    <w:p w14:paraId="763A4BB3">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（2）本项目冷链物流运输服务要求</w:t>
      </w:r>
    </w:p>
    <w:p w14:paraId="5D62760A">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★①参选人应具有冷链物流运输资质，提供《医学检验生物样本冷链物流运作规范》国家标准达标证书。</w:t>
      </w:r>
      <w:r>
        <w:rPr>
          <w:rFonts w:hint="eastAsia" w:ascii="仿宋" w:hAnsi="仿宋" w:eastAsia="仿宋" w:cs="仿宋"/>
          <w:b/>
          <w:bCs/>
          <w:color w:val="000000"/>
          <w:kern w:val="0"/>
          <w:sz w:val="24"/>
          <w:szCs w:val="24"/>
          <w:lang w:val="en-US" w:eastAsia="zh-CN" w:bidi="ar"/>
        </w:rPr>
        <w:t>（参选文件中须提供证书扫描件）</w:t>
      </w:r>
    </w:p>
    <w:p w14:paraId="1245C590">
      <w:pPr>
        <w:spacing w:line="360" w:lineRule="auto"/>
        <w:ind w:firstLine="480"/>
        <w:rPr>
          <w:rFonts w:hint="eastAsia" w:ascii="仿宋" w:hAnsi="仿宋" w:eastAsia="仿宋" w:cs="仿宋"/>
          <w:b/>
          <w:bCs/>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★②为保障医疗样本的可追溯性，参选人应可实现实时收样位置管理、标本全流程可视化和收样轨迹可视化管理等功能。</w:t>
      </w:r>
      <w:r>
        <w:rPr>
          <w:rFonts w:hint="eastAsia" w:ascii="仿宋" w:hAnsi="仿宋" w:eastAsia="仿宋" w:cs="仿宋"/>
          <w:b/>
          <w:bCs/>
          <w:color w:val="000000"/>
          <w:kern w:val="0"/>
          <w:sz w:val="24"/>
          <w:szCs w:val="24"/>
          <w:lang w:val="en-US" w:eastAsia="zh-CN" w:bidi="ar"/>
        </w:rPr>
        <w:t>（参选文件中须提供管理界面截图和可视化系统软件著作权登记证书扫描件）</w:t>
      </w:r>
    </w:p>
    <w:p w14:paraId="7282E7DC">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★③参选人应具备冷链运输能力和资质，需要投入1辆冷链物流车，参选人配备的物流运输人员应持有道路运输从业资格证。</w:t>
      </w:r>
      <w:r>
        <w:rPr>
          <w:rFonts w:hint="eastAsia" w:ascii="仿宋" w:hAnsi="仿宋" w:eastAsia="仿宋" w:cs="仿宋"/>
          <w:b/>
          <w:bCs/>
          <w:color w:val="000000"/>
          <w:kern w:val="0"/>
          <w:sz w:val="24"/>
          <w:szCs w:val="24"/>
          <w:lang w:val="en-US" w:eastAsia="zh-CN" w:bidi="ar"/>
        </w:rPr>
        <w:t>（参选文件中须提供冷链物流车发票，道路经营许可证含冷藏保鲜设备，物流人员道路运输从业资格证书、身份证及参选人为其缴纳的近三个月的社保证明；如租赁须再额外提供租赁合同）</w:t>
      </w:r>
    </w:p>
    <w:p w14:paraId="104B6B61">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（3）本项目服务时效要求</w:t>
      </w:r>
    </w:p>
    <w:p w14:paraId="4A2B2926">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①此项目为健康队列科研项目，为保证医疗样本报告的时效性，以及保证标本后续的其他检测，生化检验项目应在接收样本后4小时内发单；医学检验样本应全程冷链物流运输，运输时间应≤2小时，标本运输时间指样本从收样所在地出发至参选人实验室。收样地点为安徽省六安市分路口镇。</w:t>
      </w:r>
      <w:r>
        <w:rPr>
          <w:rFonts w:hint="eastAsia" w:ascii="仿宋" w:hAnsi="仿宋" w:eastAsia="仿宋" w:cs="仿宋"/>
          <w:b/>
          <w:bCs/>
          <w:color w:val="000000"/>
          <w:kern w:val="0"/>
          <w:sz w:val="24"/>
          <w:szCs w:val="24"/>
          <w:lang w:val="en-US" w:eastAsia="zh-CN" w:bidi="ar"/>
        </w:rPr>
        <w:t>（参选文件中须提供参选人实验室名称、地址、第三方导航软件截图作为佐证材料）</w:t>
      </w:r>
    </w:p>
    <w:p w14:paraId="5859D55F">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（4）人员配备</w:t>
      </w:r>
    </w:p>
    <w:p w14:paraId="681C4992">
      <w:pPr>
        <w:spacing w:line="360" w:lineRule="auto"/>
        <w:ind w:firstLine="480"/>
        <w:rPr>
          <w:rFonts w:hint="eastAsia" w:ascii="仿宋" w:hAnsi="仿宋" w:eastAsia="仿宋" w:cs="仿宋"/>
          <w:b/>
          <w:bCs/>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★①为了保证信息的保密性，参选人拟派本项目的信息系统管理负责人应具有项目管理的能力，具有中级及以上的网络工程师证书。</w:t>
      </w:r>
      <w:r>
        <w:rPr>
          <w:rFonts w:hint="eastAsia" w:ascii="仿宋" w:hAnsi="仿宋" w:eastAsia="仿宋" w:cs="仿宋"/>
          <w:b/>
          <w:bCs/>
          <w:color w:val="000000"/>
          <w:kern w:val="0"/>
          <w:sz w:val="24"/>
          <w:szCs w:val="24"/>
          <w:lang w:val="en-US" w:eastAsia="zh-CN" w:bidi="ar"/>
        </w:rPr>
        <w:t>（参选文件中须提供该项目负责人的身份证、相关证书扫描件及参选人为其缴纳的近三个月的社保证明）</w:t>
      </w:r>
    </w:p>
    <w:p w14:paraId="5A4560BA">
      <w:pPr>
        <w:spacing w:line="360" w:lineRule="auto"/>
        <w:ind w:firstLine="480"/>
        <w:rPr>
          <w:rFonts w:hint="eastAsia" w:ascii="仿宋" w:hAnsi="仿宋" w:eastAsia="仿宋" w:cs="仿宋"/>
          <w:b/>
          <w:bCs/>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★②为了保证实验前的标本质量，参选人拟派1名固定的物流人员进行标本的收取等工作。</w:t>
      </w:r>
      <w:r>
        <w:rPr>
          <w:rFonts w:hint="eastAsia" w:ascii="仿宋" w:hAnsi="仿宋" w:eastAsia="仿宋" w:cs="仿宋"/>
          <w:b/>
          <w:bCs/>
          <w:color w:val="000000"/>
          <w:kern w:val="0"/>
          <w:sz w:val="24"/>
          <w:szCs w:val="24"/>
          <w:lang w:val="en-US" w:eastAsia="zh-CN" w:bidi="ar"/>
        </w:rPr>
        <w:t>（参选文件中须提供参选人为其缴纳的近三个月的社保证明）</w:t>
      </w:r>
    </w:p>
    <w:p w14:paraId="27DB6CB9">
      <w:pPr>
        <w:spacing w:line="360" w:lineRule="auto"/>
        <w:ind w:firstLine="480"/>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★③为了保证实验结果的准确性，参选人实验室要提供至少2名临床医学检验技术专业的副高及以上资质的人员。</w:t>
      </w:r>
      <w:r>
        <w:rPr>
          <w:rFonts w:hint="eastAsia" w:ascii="仿宋" w:hAnsi="仿宋" w:eastAsia="仿宋" w:cs="仿宋"/>
          <w:b/>
          <w:bCs/>
          <w:color w:val="000000"/>
          <w:kern w:val="0"/>
          <w:sz w:val="24"/>
          <w:szCs w:val="24"/>
          <w:lang w:val="en-US" w:eastAsia="zh-CN" w:bidi="ar"/>
        </w:rPr>
        <w:t>（参选文件中须提供参选人为其缴纳的近三个月的社保证明）</w:t>
      </w:r>
    </w:p>
    <w:p w14:paraId="1A1C03FF">
      <w:pPr>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三</w:t>
      </w:r>
      <w:r>
        <w:rPr>
          <w:rFonts w:hint="eastAsia" w:ascii="仿宋" w:hAnsi="仿宋" w:eastAsia="仿宋" w:cs="仿宋"/>
          <w:b/>
          <w:bCs/>
          <w:sz w:val="24"/>
          <w:szCs w:val="24"/>
          <w:highlight w:val="none"/>
        </w:rPr>
        <w:t>、报价要求</w:t>
      </w:r>
    </w:p>
    <w:p w14:paraId="3FFDCEA3">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本项目报单价，所报单价包含人工、材料、机械、措施、税金、一定范围内风险费等完成本项目服务内容的全部费用，最终结算金额不得超过本项目预算，参选人自行考虑报价风险。</w:t>
      </w:r>
    </w:p>
    <w:p w14:paraId="04DD4C8C">
      <w:pPr>
        <w:spacing w:line="360" w:lineRule="auto"/>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四、考核办法</w:t>
      </w:r>
    </w:p>
    <w:p w14:paraId="786E14BB">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本项目是基于人群调研的健康队列，重点考核时效性、服务质量和履约能力，中选人须严格按照比选文件要求执行，比选人将根据中选人所提供服务，对其进行考核，考核未通过的，比选人有权单方面解除本项目合同，由此产生的后果由中选人自行承担，具体考核方案如下：</w:t>
      </w:r>
    </w:p>
    <w:p w14:paraId="6FF46648">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1、基本服务要求：</w:t>
      </w:r>
    </w:p>
    <w:p w14:paraId="5D26B952">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①快速响应度(时间量化):周一至周日收取常规采集标本，其它应急标本随时上门收取。</w:t>
      </w:r>
    </w:p>
    <w:p w14:paraId="71000149">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②准确率：(导致医疗事故的误差，于合同中约定“视情节轻重予以责罚，或追究刑事责任”)</w:t>
      </w:r>
    </w:p>
    <w:p w14:paraId="49998A61">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检验结果差错比：低于万分之一。</w:t>
      </w:r>
    </w:p>
    <w:p w14:paraId="12218161">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检验结果与临床资料相符程度：高于95%。</w:t>
      </w:r>
    </w:p>
    <w:p w14:paraId="419AAD09">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检验结果与诊断报告相符程度(不可前后矛盾):高于99%。</w:t>
      </w:r>
    </w:p>
    <w:p w14:paraId="791B0BF6">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报告内容与报告结论是否吻合：是</w:t>
      </w:r>
    </w:p>
    <w:p w14:paraId="5EFAD205">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检测标本丢失、运送错误(次数累计/月/季度):季度不能高于1%。</w:t>
      </w:r>
    </w:p>
    <w:p w14:paraId="0D244490">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报告的延误送达(次数累计/月/季度):每月度不高于5例，每季度不高于20例。</w:t>
      </w:r>
    </w:p>
    <w:p w14:paraId="6A141A7E">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检测项目是否与院方开单项目吻合：是</w:t>
      </w:r>
    </w:p>
    <w:p w14:paraId="1A6F82A3">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运送条件(专车、专线运送):专线运送</w:t>
      </w:r>
    </w:p>
    <w:p w14:paraId="6DFD810B">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2、技术管理要求：</w:t>
      </w:r>
    </w:p>
    <w:p w14:paraId="6C3C51A9">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①检测项目使用的检测方法、试剂和仪器，要求采用目前主流的方法、试剂和仪器，保证标本的可靠性和有效性负责，并要求从接收样本开始1个工作日发放报告，保证检测报告的准确性和及时性。</w:t>
      </w:r>
    </w:p>
    <w:p w14:paraId="74C1A648">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②对检测的标本进行妥善保存，以便检测结果有疑义时进行免费复查或再委托第三方检测，这种情况所发生的费用，由参选人自行承担。</w:t>
      </w:r>
    </w:p>
    <w:p w14:paraId="5034C341">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③按照检测质控要求，提供所有外送项目的室内质控、室间质控报告。</w:t>
      </w:r>
    </w:p>
    <w:p w14:paraId="7766CA73">
      <w:pPr>
        <w:spacing w:line="360" w:lineRule="auto"/>
        <w:ind w:firstLine="480"/>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④按照检测质控要求，提供检测仪器设备性能验证报告。</w:t>
      </w:r>
    </w:p>
    <w:p w14:paraId="15E42FE3">
      <w:r>
        <w:rPr>
          <w:rFonts w:hint="eastAsia" w:ascii="仿宋" w:hAnsi="仿宋" w:eastAsia="仿宋" w:cs="仿宋"/>
          <w:color w:val="000000"/>
          <w:kern w:val="0"/>
          <w:sz w:val="24"/>
          <w:szCs w:val="24"/>
          <w:lang w:val="en-US" w:eastAsia="zh-CN" w:bidi="ar"/>
        </w:rPr>
        <w:t>⑤每日固定时间收取标本，按标本保存条件进行运输，及时响应物流运输要求，标本必须控制在2小时内送达实验室，同时配备冷链物流、干冰物流和常温物流，可以保持温度跟踪及追溯。特殊情况根据科室要求随时收检。</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265781"/>
    <w:rsid w:val="30265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仿宋_GB2312" w:hAnsi="@仿宋_GB2312" w:eastAsia="宋体"/>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D&amp;L"/>
    <w:basedOn w:val="3"/>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2026-07-17T06:56:00Z</dcterms:created>
  <dc:creator>森</dc:creator>
  <cp:lastModifiedBy>森</cp:lastModifiedBy>
  <dcterms:modified xsi:type="dcterms:W3CDTF">2026-07-17T06:56:29Z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7737EA1FCA5C49A299F29B3C759AD368_11</vt:lpwstr>
  </property>
  <property fmtid="{D5CDD505-2E9C-101B-9397-08002B2CF9AE}" pid="4" name="KSOTemplateDocerSaveRecord">
    <vt:lpwstr>eyJoZGlkIjoiOTc3M2Y5NzIzMDFlZjAyY2Q4Njk5ODkyYjFjNzBiNTQiLCJ1c2VySWQiOiI0MzAwMTYzNzkifQ==</vt:lpwstr>
  </property>
</Properties>
</file>