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717939">
      <w:pPr>
        <w:wordWrap w:val="0"/>
        <w:spacing w:line="360" w:lineRule="auto"/>
        <w:jc w:val="center"/>
        <w:outlineLvl w:val="1"/>
        <w:rPr>
          <w:rFonts w:hint="eastAsia" w:ascii="华文中宋" w:hAnsi="华文中宋" w:eastAsia="华文中宋" w:cs="Times New Roman"/>
          <w:b/>
          <w:bCs/>
          <w:kern w:val="44"/>
          <w:sz w:val="44"/>
          <w:szCs w:val="44"/>
        </w:rPr>
      </w:pPr>
      <w:bookmarkStart w:id="0" w:name="_Toc18843"/>
      <w:bookmarkStart w:id="1" w:name="_Toc17676"/>
      <w:r>
        <w:rPr>
          <w:rFonts w:hint="eastAsia" w:ascii="华文中宋" w:hAnsi="华文中宋" w:eastAsia="华文中宋" w:cs="Times New Roman"/>
          <w:b/>
          <w:bCs/>
          <w:kern w:val="44"/>
          <w:sz w:val="44"/>
          <w:szCs w:val="44"/>
        </w:rPr>
        <w:t>第三章  采购需求</w:t>
      </w:r>
      <w:bookmarkEnd w:id="0"/>
      <w:bookmarkEnd w:id="1"/>
    </w:p>
    <w:p w14:paraId="48B66B0D">
      <w:pPr>
        <w:wordWrap w:val="0"/>
        <w:spacing w:line="440" w:lineRule="exact"/>
        <w:rPr>
          <w:rFonts w:hint="eastAsia" w:ascii="宋体" w:hAnsi="宋体" w:eastAsia="宋体" w:cs="宋体"/>
          <w:b/>
          <w:sz w:val="24"/>
        </w:rPr>
      </w:pPr>
      <w:r>
        <w:rPr>
          <w:rFonts w:hint="eastAsia" w:ascii="宋体" w:hAnsi="宋体" w:eastAsia="宋体" w:cs="宋体"/>
          <w:b/>
          <w:sz w:val="24"/>
        </w:rPr>
        <w:t>前注：</w:t>
      </w:r>
    </w:p>
    <w:p w14:paraId="4DAFB6EB">
      <w:pPr>
        <w:wordWrap w:val="0"/>
        <w:spacing w:line="440" w:lineRule="exact"/>
        <w:ind w:firstLine="435"/>
        <w:rPr>
          <w:rFonts w:hint="eastAsia" w:ascii="宋体" w:hAnsi="宋体" w:eastAsia="宋体" w:cs="宋体"/>
          <w:sz w:val="24"/>
        </w:rPr>
      </w:pPr>
      <w:r>
        <w:rPr>
          <w:rFonts w:hint="eastAsia" w:ascii="宋体" w:hAnsi="宋体" w:eastAsia="宋体" w:cs="宋体"/>
          <w:sz w:val="24"/>
        </w:rPr>
        <w:t>1、本采购需求中提出的方案仅为参考，如无明确限制，投标人可以进行适当优化，提供满足采购人实际需要的更优（或者性能实质上不低于的）方案或者配置，且此方案或配置须经评标委员会评审认可。</w:t>
      </w:r>
    </w:p>
    <w:p w14:paraId="5DB2CB8C">
      <w:pPr>
        <w:wordWrap w:val="0"/>
        <w:spacing w:line="440" w:lineRule="exact"/>
        <w:ind w:firstLine="435"/>
        <w:rPr>
          <w:rFonts w:hint="eastAsia" w:ascii="宋体" w:hAnsi="宋体" w:eastAsia="宋体" w:cs="宋体"/>
          <w:sz w:val="24"/>
        </w:rPr>
      </w:pPr>
      <w:r>
        <w:rPr>
          <w:rFonts w:hint="eastAsia" w:ascii="宋体" w:hAnsi="宋体" w:eastAsia="宋体" w:cs="宋体"/>
          <w:sz w:val="24"/>
        </w:rPr>
        <w:t>2、为鼓励不同品牌的充分竞争，如某设备的某技术参数或要求属于个别品牌专有，则该技术参数及要求不具有限制性，投标人可对该参数或要求进行适当调整，并应当说明调整的理由，且此调整须经评标委员会评审认可。</w:t>
      </w:r>
    </w:p>
    <w:p w14:paraId="63967115">
      <w:pPr>
        <w:wordWrap w:val="0"/>
        <w:spacing w:line="440" w:lineRule="exact"/>
        <w:ind w:firstLine="435"/>
        <w:rPr>
          <w:rFonts w:hint="eastAsia" w:ascii="宋体" w:hAnsi="宋体" w:eastAsia="宋体" w:cs="宋体"/>
          <w:sz w:val="24"/>
        </w:rPr>
      </w:pPr>
      <w:r>
        <w:rPr>
          <w:rFonts w:hint="eastAsia" w:ascii="宋体" w:hAnsi="宋体" w:eastAsia="宋体" w:cs="宋体"/>
          <w:sz w:val="24"/>
        </w:rPr>
        <w:t>3、为有助于投标人选择投标产品，本项目需求中可能提供了参考样图或以具体品牌（型号）进行技术指标描述等，这些样图、品牌（型号）仅供参考，并无限制性。投标人可以选择外观类似样图、性能不低于推荐（或参考）的品牌（或型号）的其他品牌产品，但投标时应当提供有关技术证明资料证明其功能满足采购人实际使用，且须经评标委员会认可，未提供证明材料的可能导致评委不予认可。</w:t>
      </w:r>
    </w:p>
    <w:p w14:paraId="64657339">
      <w:pPr>
        <w:wordWrap w:val="0"/>
        <w:spacing w:line="440" w:lineRule="exact"/>
        <w:ind w:firstLine="435"/>
        <w:rPr>
          <w:rFonts w:hint="eastAsia" w:ascii="宋体" w:hAnsi="宋体" w:eastAsia="宋体" w:cs="宋体"/>
          <w:sz w:val="24"/>
        </w:rPr>
      </w:pPr>
      <w:r>
        <w:rPr>
          <w:rFonts w:hint="eastAsia" w:ascii="宋体" w:hAnsi="宋体" w:eastAsia="宋体" w:cs="宋体"/>
          <w:sz w:val="24"/>
        </w:rPr>
        <w:t>4、投标人应自行踏勘项目现场，并在投标文件中列出完成本项目并通过验收所需的各项货物及服务的费用。如投标人因未及时踏勘现场而导致的报价缺项漏项或中标后无法完工，投标人自行承担一切后果；中标人必须确保整体通过采购人及有关部门验收，所发生的验收费用由中标人承担。</w:t>
      </w:r>
    </w:p>
    <w:p w14:paraId="312B6573">
      <w:pPr>
        <w:wordWrap w:val="0"/>
        <w:spacing w:line="440" w:lineRule="exact"/>
        <w:ind w:firstLine="435"/>
        <w:rPr>
          <w:rFonts w:hint="eastAsia" w:ascii="宋体" w:hAnsi="宋体" w:eastAsia="宋体" w:cs="宋体"/>
          <w:sz w:val="24"/>
        </w:rPr>
      </w:pPr>
      <w:r>
        <w:rPr>
          <w:rFonts w:hint="eastAsia" w:ascii="宋体" w:hAnsi="宋体" w:eastAsia="宋体" w:cs="宋体"/>
          <w:sz w:val="24"/>
        </w:rPr>
        <w:t>5、根据《关于规范政府采购进口产品有关工作的通知》及政府采购管理部门的相关规定，下列采购需求中标注进口产品的货物均已履行相关论证手续，经核准采购进口产品，但不限制满足招标文件要求的国内产品参与竞争。未标注进口产品的货物均为拒绝采购进口产品。</w:t>
      </w:r>
    </w:p>
    <w:p w14:paraId="5DE0DBD0">
      <w:pPr>
        <w:wordWrap w:val="0"/>
        <w:spacing w:line="440" w:lineRule="exact"/>
        <w:ind w:firstLine="435"/>
        <w:rPr>
          <w:rFonts w:hint="eastAsia" w:ascii="宋体" w:hAnsi="宋体" w:eastAsia="宋体" w:cs="宋体"/>
          <w:sz w:val="24"/>
        </w:rPr>
      </w:pPr>
      <w:r>
        <w:rPr>
          <w:rFonts w:hint="eastAsia" w:ascii="宋体" w:hAnsi="宋体" w:eastAsia="宋体" w:cs="宋体"/>
          <w:sz w:val="24"/>
        </w:rPr>
        <w:t>6、下列采购需求中：标注</w:t>
      </w:r>
      <w:bookmarkStart w:id="2" w:name="OLE_LINK1"/>
      <w:r>
        <w:rPr>
          <w:rFonts w:hint="eastAsia" w:ascii="宋体" w:hAnsi="宋体" w:eastAsia="宋体" w:cs="宋体"/>
          <w:sz w:val="24"/>
        </w:rPr>
        <w:t>▲</w:t>
      </w:r>
      <w:bookmarkEnd w:id="2"/>
      <w:r>
        <w:rPr>
          <w:rFonts w:hint="eastAsia" w:ascii="宋体" w:hAnsi="宋体" w:eastAsia="宋体" w:cs="宋体"/>
          <w:sz w:val="24"/>
        </w:rPr>
        <w:t>的产品为核心产品，系采购人根据采购项目技术构成、产品价格比重等合理确定的。投标人在投标文件《主要中标标的承诺函》中填写名称、规格、型号、数量、单价等信息，承诺函随评审结果一并公吿。</w:t>
      </w:r>
    </w:p>
    <w:p w14:paraId="44944F0D">
      <w:pPr>
        <w:wordWrap w:val="0"/>
        <w:spacing w:line="440" w:lineRule="exact"/>
        <w:ind w:firstLine="435"/>
        <w:rPr>
          <w:rFonts w:hint="eastAsia" w:ascii="宋体" w:hAnsi="宋体" w:eastAsia="宋体" w:cs="宋体"/>
          <w:sz w:val="24"/>
        </w:rPr>
      </w:pPr>
      <w:r>
        <w:rPr>
          <w:rFonts w:hint="eastAsia" w:ascii="宋体" w:hAnsi="宋体" w:eastAsia="宋体" w:cs="宋体"/>
          <w:sz w:val="24"/>
        </w:rPr>
        <w:t>7、建议投标人在证明材料中将关键评审要素重点标注出来，以便于评审。</w:t>
      </w:r>
    </w:p>
    <w:p w14:paraId="33974B30">
      <w:pPr>
        <w:wordWrap w:val="0"/>
        <w:spacing w:line="440" w:lineRule="exact"/>
        <w:ind w:firstLine="435"/>
        <w:rPr>
          <w:rFonts w:hint="eastAsia" w:ascii="宋体" w:hAnsi="宋体" w:eastAsia="宋体" w:cs="宋体"/>
          <w:sz w:val="24"/>
        </w:rPr>
      </w:pPr>
    </w:p>
    <w:p w14:paraId="6A3E6282">
      <w:pPr>
        <w:wordWrap w:val="0"/>
        <w:spacing w:line="440" w:lineRule="exact"/>
        <w:ind w:firstLine="435"/>
        <w:rPr>
          <w:rFonts w:hint="eastAsia" w:ascii="宋体" w:hAnsi="宋体" w:eastAsia="宋体" w:cs="宋体"/>
          <w:sz w:val="24"/>
        </w:rPr>
        <w:sectPr>
          <w:pgSz w:w="11906" w:h="16838"/>
          <w:pgMar w:top="1440" w:right="1800" w:bottom="1440" w:left="1800" w:header="851" w:footer="992" w:gutter="0"/>
          <w:cols w:space="720" w:num="1"/>
          <w:docGrid w:type="lines" w:linePitch="312" w:charSpace="0"/>
        </w:sectPr>
      </w:pPr>
    </w:p>
    <w:p w14:paraId="0066AC13">
      <w:pPr>
        <w:wordWrap w:val="0"/>
        <w:spacing w:line="360" w:lineRule="auto"/>
        <w:jc w:val="center"/>
        <w:outlineLvl w:val="2"/>
        <w:rPr>
          <w:rFonts w:ascii="Arial" w:hAnsi="Arial" w:eastAsia="宋体" w:cs="Arial"/>
          <w:b/>
          <w:bCs/>
          <w:sz w:val="28"/>
          <w:szCs w:val="28"/>
        </w:rPr>
      </w:pPr>
      <w:r>
        <w:rPr>
          <w:rFonts w:ascii="Arial" w:hAnsi="Arial" w:eastAsia="宋体" w:cs="Arial"/>
          <w:b/>
          <w:bCs/>
          <w:sz w:val="28"/>
          <w:szCs w:val="28"/>
        </w:rPr>
        <w:t>一、采购需求前附表</w:t>
      </w:r>
    </w:p>
    <w:tbl>
      <w:tblPr>
        <w:tblStyle w:val="7"/>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130"/>
        <w:gridCol w:w="6284"/>
      </w:tblGrid>
      <w:tr w14:paraId="4099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74" w:type="dxa"/>
            <w:vAlign w:val="center"/>
          </w:tcPr>
          <w:p w14:paraId="3FEC5FF5">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
                <w:kern w:val="2"/>
              </w:rPr>
            </w:pPr>
            <w:r>
              <w:rPr>
                <w:rFonts w:hint="eastAsia" w:ascii="宋体" w:hAnsi="宋体" w:eastAsia="宋体"/>
                <w:b/>
                <w:kern w:val="2"/>
              </w:rPr>
              <w:t>序号</w:t>
            </w:r>
          </w:p>
        </w:tc>
        <w:tc>
          <w:tcPr>
            <w:tcW w:w="2130" w:type="dxa"/>
            <w:vAlign w:val="center"/>
          </w:tcPr>
          <w:p w14:paraId="125EE70A">
            <w:pPr>
              <w:pStyle w:val="10"/>
              <w:widowControl w:val="0"/>
              <w:wordWrap w:val="0"/>
              <w:spacing w:before="0" w:beforeAutospacing="0" w:after="0" w:afterAutospacing="0"/>
              <w:rPr>
                <w:rFonts w:hint="eastAsia" w:ascii="宋体" w:hAnsi="宋体" w:eastAsia="宋体"/>
                <w:bCs w:val="0"/>
                <w:sz w:val="24"/>
              </w:rPr>
            </w:pPr>
            <w:r>
              <w:rPr>
                <w:rFonts w:hint="eastAsia" w:ascii="宋体" w:hAnsi="宋体" w:eastAsia="宋体"/>
                <w:bCs w:val="0"/>
                <w:sz w:val="24"/>
              </w:rPr>
              <w:t>条款名称</w:t>
            </w:r>
          </w:p>
        </w:tc>
        <w:tc>
          <w:tcPr>
            <w:tcW w:w="6284" w:type="dxa"/>
            <w:vAlign w:val="center"/>
          </w:tcPr>
          <w:p w14:paraId="5C10B6D8">
            <w:pPr>
              <w:pStyle w:val="10"/>
              <w:widowControl w:val="0"/>
              <w:wordWrap w:val="0"/>
              <w:spacing w:before="0" w:beforeAutospacing="0" w:after="0" w:afterAutospacing="0"/>
              <w:rPr>
                <w:rFonts w:hint="eastAsia" w:ascii="宋体" w:hAnsi="宋体" w:eastAsia="宋体"/>
                <w:bCs w:val="0"/>
                <w:sz w:val="24"/>
              </w:rPr>
            </w:pPr>
            <w:r>
              <w:rPr>
                <w:rFonts w:hint="eastAsia" w:ascii="宋体" w:hAnsi="宋体" w:eastAsia="宋体"/>
                <w:bCs w:val="0"/>
                <w:sz w:val="24"/>
              </w:rPr>
              <w:t>内容、说明与要求</w:t>
            </w:r>
          </w:p>
        </w:tc>
      </w:tr>
      <w:tr w14:paraId="6B8B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874" w:type="dxa"/>
            <w:vAlign w:val="center"/>
          </w:tcPr>
          <w:p w14:paraId="52DB0869">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1</w:t>
            </w:r>
          </w:p>
        </w:tc>
        <w:tc>
          <w:tcPr>
            <w:tcW w:w="2130" w:type="dxa"/>
            <w:vAlign w:val="center"/>
          </w:tcPr>
          <w:p w14:paraId="7CDAB5BB">
            <w:pPr>
              <w:pStyle w:val="10"/>
              <w:widowControl w:val="0"/>
              <w:wordWrap w:val="0"/>
              <w:spacing w:before="0" w:beforeAutospacing="0" w:after="0" w:afterAutospacing="0"/>
              <w:rPr>
                <w:rFonts w:hint="eastAsia" w:ascii="宋体" w:hAnsi="宋体" w:eastAsia="宋体"/>
                <w:b w:val="0"/>
                <w:sz w:val="24"/>
              </w:rPr>
            </w:pPr>
            <w:r>
              <w:rPr>
                <w:rFonts w:hint="eastAsia" w:ascii="宋体" w:hAnsi="宋体" w:eastAsia="宋体"/>
                <w:b w:val="0"/>
                <w:sz w:val="24"/>
              </w:rPr>
              <w:t>付款方式</w:t>
            </w:r>
          </w:p>
        </w:tc>
        <w:tc>
          <w:tcPr>
            <w:tcW w:w="6284" w:type="dxa"/>
            <w:vAlign w:val="center"/>
          </w:tcPr>
          <w:p w14:paraId="5F58C559">
            <w:pPr>
              <w:pStyle w:val="10"/>
              <w:widowControl w:val="0"/>
              <w:spacing w:before="0" w:beforeAutospacing="0" w:after="0" w:afterAutospacing="0"/>
              <w:ind w:firstLine="480" w:firstLineChars="200"/>
              <w:jc w:val="both"/>
              <w:rPr>
                <w:rFonts w:hint="eastAsia" w:ascii="宋体" w:hAnsi="宋体" w:eastAsia="宋体"/>
                <w:b w:val="0"/>
                <w:sz w:val="24"/>
                <w:u w:val="single"/>
              </w:rPr>
            </w:pPr>
            <w:r>
              <w:rPr>
                <w:rFonts w:hint="eastAsia" w:ascii="宋体" w:hAnsi="宋体" w:eastAsia="宋体"/>
                <w:b w:val="0"/>
                <w:sz w:val="24"/>
              </w:rPr>
              <w:t>签订合同后预付合同总金额的60%，设备收到且验收合格后支付剩余40%。</w:t>
            </w:r>
          </w:p>
        </w:tc>
      </w:tr>
      <w:tr w14:paraId="1676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74" w:type="dxa"/>
            <w:vAlign w:val="center"/>
          </w:tcPr>
          <w:p w14:paraId="407CBA31">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2</w:t>
            </w:r>
          </w:p>
        </w:tc>
        <w:tc>
          <w:tcPr>
            <w:tcW w:w="2130" w:type="dxa"/>
            <w:vAlign w:val="center"/>
          </w:tcPr>
          <w:p w14:paraId="66DE0477">
            <w:pPr>
              <w:pStyle w:val="10"/>
              <w:widowControl w:val="0"/>
              <w:wordWrap w:val="0"/>
              <w:spacing w:before="0" w:beforeAutospacing="0" w:after="0" w:afterAutospacing="0"/>
              <w:rPr>
                <w:rFonts w:hint="eastAsia" w:ascii="宋体" w:hAnsi="宋体" w:eastAsia="宋体"/>
                <w:b w:val="0"/>
                <w:sz w:val="24"/>
              </w:rPr>
            </w:pPr>
            <w:r>
              <w:rPr>
                <w:rFonts w:hint="eastAsia" w:ascii="宋体" w:hAnsi="宋体" w:eastAsia="宋体"/>
                <w:b w:val="0"/>
                <w:sz w:val="24"/>
              </w:rPr>
              <w:t>供货及安装地点</w:t>
            </w:r>
          </w:p>
        </w:tc>
        <w:tc>
          <w:tcPr>
            <w:tcW w:w="6284" w:type="dxa"/>
            <w:vAlign w:val="center"/>
          </w:tcPr>
          <w:p w14:paraId="3B911A9C">
            <w:pPr>
              <w:pStyle w:val="10"/>
              <w:widowControl w:val="0"/>
              <w:spacing w:before="0" w:beforeAutospacing="0" w:after="0" w:afterAutospacing="0"/>
              <w:ind w:firstLine="480" w:firstLineChars="200"/>
              <w:jc w:val="both"/>
              <w:rPr>
                <w:rFonts w:hint="eastAsia" w:ascii="宋体" w:hAnsi="宋体" w:eastAsia="宋体"/>
                <w:b w:val="0"/>
                <w:sz w:val="24"/>
              </w:rPr>
            </w:pPr>
            <w:r>
              <w:rPr>
                <w:rFonts w:hint="eastAsia" w:ascii="宋体" w:hAnsi="宋体" w:eastAsia="宋体" w:cs="宋体"/>
                <w:b w:val="0"/>
                <w:sz w:val="24"/>
              </w:rPr>
              <w:t>中国科学技术大学指定项目现场。</w:t>
            </w:r>
          </w:p>
        </w:tc>
      </w:tr>
      <w:tr w14:paraId="41D4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874" w:type="dxa"/>
            <w:vAlign w:val="center"/>
          </w:tcPr>
          <w:p w14:paraId="1F0BB63D">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3</w:t>
            </w:r>
          </w:p>
        </w:tc>
        <w:tc>
          <w:tcPr>
            <w:tcW w:w="2130" w:type="dxa"/>
            <w:vAlign w:val="center"/>
          </w:tcPr>
          <w:p w14:paraId="6FF29F93">
            <w:pPr>
              <w:pStyle w:val="10"/>
              <w:widowControl w:val="0"/>
              <w:wordWrap w:val="0"/>
              <w:spacing w:before="0" w:beforeAutospacing="0" w:after="0" w:afterAutospacing="0"/>
              <w:rPr>
                <w:rFonts w:hint="eastAsia" w:ascii="宋体" w:hAnsi="宋体" w:eastAsia="宋体"/>
                <w:b w:val="0"/>
                <w:sz w:val="24"/>
              </w:rPr>
            </w:pPr>
            <w:r>
              <w:rPr>
                <w:rFonts w:hint="eastAsia" w:ascii="宋体" w:hAnsi="宋体" w:eastAsia="宋体"/>
                <w:b w:val="0"/>
                <w:sz w:val="24"/>
              </w:rPr>
              <w:t>供货及安装期限</w:t>
            </w:r>
          </w:p>
        </w:tc>
        <w:tc>
          <w:tcPr>
            <w:tcW w:w="6284" w:type="dxa"/>
            <w:vAlign w:val="center"/>
          </w:tcPr>
          <w:p w14:paraId="6AB8711A">
            <w:pPr>
              <w:pStyle w:val="10"/>
              <w:widowControl w:val="0"/>
              <w:spacing w:before="0" w:beforeAutospacing="0" w:after="0" w:afterAutospacing="0"/>
              <w:ind w:firstLine="480" w:firstLineChars="200"/>
              <w:jc w:val="both"/>
              <w:rPr>
                <w:rFonts w:hint="eastAsia" w:ascii="宋体" w:hAnsi="宋体" w:eastAsia="宋体" w:cs="宋体"/>
                <w:b w:val="0"/>
                <w:sz w:val="24"/>
              </w:rPr>
            </w:pPr>
            <w:r>
              <w:rPr>
                <w:rFonts w:hint="eastAsia" w:ascii="宋体" w:hAnsi="宋体" w:eastAsia="宋体" w:cs="宋体"/>
                <w:b w:val="0"/>
                <w:sz w:val="24"/>
              </w:rPr>
              <w:t>合同签订后 150 个工作日内交货。</w:t>
            </w:r>
          </w:p>
          <w:p w14:paraId="7CE9AE47">
            <w:pPr>
              <w:pStyle w:val="10"/>
              <w:widowControl w:val="0"/>
              <w:spacing w:before="0" w:beforeAutospacing="0" w:after="0" w:afterAutospacing="0"/>
              <w:ind w:firstLine="480" w:firstLineChars="200"/>
              <w:jc w:val="both"/>
              <w:rPr>
                <w:rFonts w:hint="eastAsia" w:ascii="宋体" w:hAnsi="宋体" w:eastAsia="宋体"/>
                <w:b w:val="0"/>
                <w:sz w:val="24"/>
              </w:rPr>
            </w:pPr>
            <w:r>
              <w:rPr>
                <w:rFonts w:hint="eastAsia" w:ascii="宋体" w:hAnsi="宋体" w:eastAsia="宋体" w:cs="宋体"/>
                <w:b w:val="0"/>
                <w:sz w:val="24"/>
              </w:rPr>
              <w:t>备注：投标人应充分考虑到项目实施过程中的各种风险因素，并视为已含在投标总报价中，中标后不再因此另行增加费用。</w:t>
            </w:r>
          </w:p>
        </w:tc>
      </w:tr>
      <w:tr w14:paraId="1B4C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874" w:type="dxa"/>
            <w:vAlign w:val="center"/>
          </w:tcPr>
          <w:p w14:paraId="5378225F">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bCs/>
                <w:kern w:val="2"/>
              </w:rPr>
              <w:t>4</w:t>
            </w:r>
          </w:p>
        </w:tc>
        <w:tc>
          <w:tcPr>
            <w:tcW w:w="2130" w:type="dxa"/>
            <w:vAlign w:val="center"/>
          </w:tcPr>
          <w:p w14:paraId="2FC4C06E">
            <w:pPr>
              <w:pStyle w:val="10"/>
              <w:widowControl w:val="0"/>
              <w:wordWrap w:val="0"/>
              <w:spacing w:before="0" w:beforeAutospacing="0" w:after="0" w:afterAutospacing="0"/>
              <w:rPr>
                <w:rFonts w:hint="eastAsia" w:ascii="宋体" w:hAnsi="宋体" w:eastAsia="宋体"/>
                <w:b w:val="0"/>
                <w:sz w:val="24"/>
              </w:rPr>
            </w:pPr>
            <w:r>
              <w:rPr>
                <w:rFonts w:hint="eastAsia" w:ascii="宋体" w:hAnsi="宋体" w:eastAsia="宋体"/>
                <w:b w:val="0"/>
                <w:sz w:val="24"/>
              </w:rPr>
              <w:t>免费保修期</w:t>
            </w:r>
          </w:p>
        </w:tc>
        <w:tc>
          <w:tcPr>
            <w:tcW w:w="6284" w:type="dxa"/>
            <w:vAlign w:val="center"/>
          </w:tcPr>
          <w:p w14:paraId="3A4B976C">
            <w:pPr>
              <w:pStyle w:val="11"/>
              <w:ind w:firstLine="480" w:firstLineChars="200"/>
              <w:rPr>
                <w:rFonts w:hint="eastAsia" w:ascii="宋体" w:hAnsi="宋体"/>
              </w:rPr>
            </w:pPr>
            <w:r>
              <w:rPr>
                <w:rFonts w:hint="eastAsia" w:ascii="宋体" w:hAnsi="宋体" w:cs="宋体"/>
              </w:rPr>
              <w:t>自项目验收合格之日起不低于 1 年。</w:t>
            </w:r>
          </w:p>
        </w:tc>
      </w:tr>
      <w:tr w14:paraId="3CCF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874" w:type="dxa"/>
            <w:vAlign w:val="center"/>
          </w:tcPr>
          <w:p w14:paraId="69E18F99">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bCs/>
                <w:kern w:val="2"/>
              </w:rPr>
            </w:pPr>
            <w:r>
              <w:rPr>
                <w:rFonts w:hint="eastAsia" w:ascii="宋体" w:hAnsi="宋体" w:eastAsia="宋体" w:cs="宋体"/>
                <w:bCs/>
                <w:kern w:val="2"/>
                <w:szCs w:val="24"/>
              </w:rPr>
              <w:t>5</w:t>
            </w:r>
          </w:p>
        </w:tc>
        <w:tc>
          <w:tcPr>
            <w:tcW w:w="2130" w:type="dxa"/>
            <w:vAlign w:val="center"/>
          </w:tcPr>
          <w:p w14:paraId="13F56D13">
            <w:pPr>
              <w:jc w:val="center"/>
              <w:rPr>
                <w:rFonts w:hint="eastAsia" w:ascii="宋体" w:hAnsi="宋体" w:eastAsia="宋体"/>
                <w:sz w:val="24"/>
              </w:rPr>
            </w:pPr>
            <w:r>
              <w:rPr>
                <w:rFonts w:hint="eastAsia" w:ascii="宋体" w:hAnsi="宋体" w:eastAsia="宋体" w:cs="宋体"/>
                <w:sz w:val="24"/>
                <w:szCs w:val="24"/>
              </w:rPr>
              <w:t>服务要求</w:t>
            </w:r>
          </w:p>
        </w:tc>
        <w:tc>
          <w:tcPr>
            <w:tcW w:w="6284" w:type="dxa"/>
            <w:vAlign w:val="center"/>
          </w:tcPr>
          <w:p w14:paraId="25E82A41">
            <w:pPr>
              <w:pStyle w:val="4"/>
              <w:ind w:firstLine="480" w:firstLineChars="200"/>
              <w:rPr>
                <w:rFonts w:hint="eastAsia" w:ascii="宋体" w:hAnsi="宋体" w:eastAsia="宋体" w:cs="宋体"/>
                <w:sz w:val="24"/>
              </w:rPr>
            </w:pPr>
            <w:r>
              <w:rPr>
                <w:rFonts w:hint="eastAsia" w:ascii="宋体" w:hAnsi="宋体" w:eastAsia="宋体" w:cs="宋体"/>
                <w:sz w:val="24"/>
              </w:rPr>
              <w:t>1.本项目要求由中标人提供免费保修服务，包括：人工、维修及零件等费用。在合同期内，供货商需要及时提供维修服务，包括设备的正常检修、维护和调试等。保修期自仪器验收签字之日算起，保修期内因质量问题而导致仪器停用的时间从保修期中扣除。保修期满前1个月厂家负责一次免费全面检查，出具正式报告，并负责排除潜在问题。</w:t>
            </w:r>
          </w:p>
          <w:p w14:paraId="648E0942">
            <w:pPr>
              <w:pStyle w:val="11"/>
              <w:ind w:firstLine="480" w:firstLineChars="200"/>
              <w:rPr>
                <w:rFonts w:hint="eastAsia" w:ascii="宋体" w:hAnsi="宋体" w:cs="宋体"/>
              </w:rPr>
            </w:pPr>
            <w:r>
              <w:rPr>
                <w:rFonts w:hint="eastAsia" w:ascii="宋体" w:hAnsi="宋体" w:cs="宋体"/>
              </w:rPr>
              <w:t>2.厂家在仪器设备故障报修申请24小时内做出相应；常规问题在48小时内解决；较大问题应在3天内解决或提出明确的解决方案，经用户认可后，在预定期限内解决问题。否则，厂家应赔偿由此造成的损失。</w:t>
            </w:r>
          </w:p>
          <w:p w14:paraId="39B4109B">
            <w:pPr>
              <w:pStyle w:val="11"/>
              <w:ind w:firstLine="480" w:firstLineChars="200"/>
              <w:rPr>
                <w:rFonts w:hint="eastAsia" w:ascii="宋体" w:hAnsi="宋体" w:cs="宋体"/>
              </w:rPr>
            </w:pPr>
            <w:r>
              <w:rPr>
                <w:rFonts w:hint="eastAsia" w:ascii="宋体" w:hAnsi="宋体" w:cs="宋体"/>
              </w:rPr>
              <w:t>3.厂家常年提供技术支持，以及所需零部件的供应；厂家终身提供免费的应用咨询和技术帮助。</w:t>
            </w:r>
          </w:p>
          <w:p w14:paraId="7A2C73B6">
            <w:pPr>
              <w:pStyle w:val="11"/>
              <w:ind w:firstLine="480" w:firstLineChars="200"/>
              <w:rPr>
                <w:rFonts w:hint="eastAsia" w:ascii="宋体" w:hAnsi="宋体" w:cs="宋体"/>
              </w:rPr>
            </w:pPr>
            <w:r>
              <w:rPr>
                <w:rFonts w:hint="eastAsia" w:ascii="宋体" w:hAnsi="宋体" w:cs="宋体"/>
              </w:rPr>
              <w:t>备注：上述各项费用包含在投标总价内，后期不再单独支付。</w:t>
            </w:r>
          </w:p>
        </w:tc>
      </w:tr>
      <w:tr w14:paraId="5BAE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874" w:type="dxa"/>
            <w:vAlign w:val="center"/>
          </w:tcPr>
          <w:p w14:paraId="44617C24">
            <w:pPr>
              <w:pStyle w:val="9"/>
              <w:pBdr>
                <w:bottom w:val="none" w:color="auto" w:sz="0" w:space="0"/>
              </w:pBdr>
              <w:tabs>
                <w:tab w:val="clear" w:pos="4153"/>
                <w:tab w:val="clear" w:pos="8306"/>
              </w:tabs>
              <w:wordWrap w:val="0"/>
              <w:adjustRightInd/>
              <w:spacing w:line="240" w:lineRule="auto"/>
              <w:textAlignment w:val="auto"/>
              <w:rPr>
                <w:rFonts w:hint="eastAsia" w:ascii="宋体" w:hAnsi="宋体" w:eastAsia="宋体" w:cs="宋体"/>
                <w:bCs/>
                <w:kern w:val="2"/>
                <w:szCs w:val="24"/>
              </w:rPr>
            </w:pPr>
            <w:r>
              <w:rPr>
                <w:rFonts w:hint="eastAsia" w:ascii="宋体" w:hAnsi="宋体" w:eastAsia="宋体" w:cs="宋体"/>
                <w:bCs/>
                <w:kern w:val="2"/>
                <w:szCs w:val="24"/>
              </w:rPr>
              <w:t>6</w:t>
            </w:r>
          </w:p>
        </w:tc>
        <w:tc>
          <w:tcPr>
            <w:tcW w:w="2130" w:type="dxa"/>
            <w:vAlign w:val="center"/>
          </w:tcPr>
          <w:p w14:paraId="14493EB5">
            <w:pPr>
              <w:jc w:val="center"/>
              <w:rPr>
                <w:rFonts w:hint="eastAsia" w:ascii="宋体" w:hAnsi="宋体" w:eastAsia="宋体" w:cs="宋体"/>
                <w:sz w:val="24"/>
                <w:szCs w:val="24"/>
                <w:lang w:val="zh-CN"/>
              </w:rPr>
            </w:pPr>
            <w:r>
              <w:rPr>
                <w:rFonts w:hint="eastAsia" w:ascii="宋体" w:hAnsi="宋体" w:eastAsia="宋体" w:cs="宋体"/>
                <w:sz w:val="24"/>
                <w:lang w:val="zh-CN"/>
              </w:rPr>
              <w:t>备注</w:t>
            </w:r>
          </w:p>
        </w:tc>
        <w:tc>
          <w:tcPr>
            <w:tcW w:w="6284" w:type="dxa"/>
            <w:vAlign w:val="center"/>
          </w:tcPr>
          <w:p w14:paraId="74593C33">
            <w:pPr>
              <w:pStyle w:val="11"/>
              <w:ind w:firstLine="480" w:firstLineChars="200"/>
              <w:rPr>
                <w:rFonts w:hint="eastAsia" w:ascii="宋体" w:hAnsi="宋体" w:cs="宋体"/>
                <w:szCs w:val="24"/>
              </w:rPr>
            </w:pPr>
            <w:r>
              <w:rPr>
                <w:rFonts w:hint="eastAsia" w:ascii="宋体" w:hAnsi="宋体" w:cs="宋体"/>
              </w:rPr>
              <w:t>以下采购产品，按照国家相关规定，其所属行业均为</w:t>
            </w:r>
            <w:r>
              <w:rPr>
                <w:rFonts w:hint="eastAsia" w:ascii="宋体" w:hAnsi="宋体" w:cs="宋体"/>
                <w:highlight w:val="none"/>
              </w:rPr>
              <w:t>工业。</w:t>
            </w:r>
          </w:p>
        </w:tc>
      </w:tr>
    </w:tbl>
    <w:p w14:paraId="241AED24">
      <w:pPr>
        <w:wordWrap w:val="0"/>
        <w:spacing w:line="440" w:lineRule="exact"/>
        <w:rPr>
          <w:rFonts w:ascii="Arial" w:hAnsi="Arial" w:eastAsia="宋体" w:cs="Arial"/>
          <w:b/>
          <w:sz w:val="24"/>
          <w:szCs w:val="18"/>
        </w:rPr>
      </w:pPr>
    </w:p>
    <w:p w14:paraId="4CEE432D">
      <w:pPr>
        <w:wordWrap w:val="0"/>
        <w:spacing w:line="440" w:lineRule="exact"/>
        <w:rPr>
          <w:rFonts w:ascii="Arial" w:hAnsi="Arial" w:eastAsia="宋体" w:cs="Arial"/>
          <w:b/>
          <w:sz w:val="24"/>
          <w:szCs w:val="18"/>
        </w:rPr>
      </w:pPr>
    </w:p>
    <w:p w14:paraId="77601D6C">
      <w:pPr>
        <w:wordWrap w:val="0"/>
        <w:spacing w:line="360" w:lineRule="auto"/>
        <w:jc w:val="center"/>
        <w:outlineLvl w:val="2"/>
        <w:rPr>
          <w:rFonts w:ascii="Arial" w:hAnsi="Arial" w:eastAsia="宋体" w:cs="Arial"/>
          <w:b/>
          <w:bCs/>
          <w:sz w:val="28"/>
          <w:szCs w:val="28"/>
        </w:rPr>
      </w:pPr>
      <w:r>
        <w:rPr>
          <w:rFonts w:ascii="Arial" w:hAnsi="Arial" w:eastAsia="宋体" w:cs="Arial"/>
          <w:b/>
          <w:bCs/>
          <w:sz w:val="28"/>
          <w:szCs w:val="28"/>
        </w:rPr>
        <w:t>二、</w:t>
      </w:r>
      <w:r>
        <w:rPr>
          <w:rFonts w:hint="eastAsia" w:ascii="Arial" w:hAnsi="Arial" w:eastAsia="宋体" w:cs="Arial"/>
          <w:b/>
          <w:bCs/>
          <w:sz w:val="28"/>
          <w:szCs w:val="28"/>
        </w:rPr>
        <w:t>货物需求一览表</w:t>
      </w:r>
    </w:p>
    <w:p w14:paraId="061B681D">
      <w:pPr>
        <w:spacing w:line="360" w:lineRule="auto"/>
        <w:ind w:firstLine="482" w:firstLineChars="200"/>
        <w:jc w:val="left"/>
        <w:rPr>
          <w:rFonts w:hint="eastAsia" w:ascii="宋体" w:hAnsi="宋体" w:eastAsia="宋体" w:cs="宋体"/>
          <w:b/>
          <w:sz w:val="24"/>
          <w:szCs w:val="18"/>
          <w:highlight w:val="none"/>
        </w:rPr>
      </w:pPr>
      <w:r>
        <w:rPr>
          <w:rFonts w:hint="eastAsia" w:ascii="宋体" w:hAnsi="宋体" w:eastAsia="宋体" w:cs="宋体"/>
          <w:b/>
          <w:sz w:val="24"/>
          <w:szCs w:val="18"/>
          <w:highlight w:val="none"/>
        </w:rPr>
        <w:t>前注：</w:t>
      </w:r>
    </w:p>
    <w:tbl>
      <w:tblPr>
        <w:tblStyle w:val="7"/>
        <w:tblW w:w="51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9"/>
      </w:tblGrid>
      <w:tr w14:paraId="1C60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5000" w:type="pct"/>
            <w:vAlign w:val="center"/>
          </w:tcPr>
          <w:p w14:paraId="03B6362F">
            <w:pPr>
              <w:jc w:val="left"/>
              <w:rPr>
                <w:rFonts w:hint="eastAsia" w:ascii="宋体" w:hAnsi="宋体" w:eastAsia="宋体" w:cs="宋体"/>
                <w:sz w:val="24"/>
                <w:szCs w:val="22"/>
              </w:rPr>
            </w:pPr>
            <w:r>
              <w:rPr>
                <w:rFonts w:hint="eastAsia" w:ascii="宋体" w:hAnsi="宋体" w:eastAsia="宋体" w:cs="宋体"/>
                <w:sz w:val="24"/>
                <w:szCs w:val="22"/>
              </w:rPr>
              <w:t>（1）标注★号的条款，每出现一条负偏离，按评标办法约定进行扣分。</w:t>
            </w:r>
          </w:p>
          <w:p w14:paraId="07E4A0E5">
            <w:pPr>
              <w:jc w:val="left"/>
              <w:rPr>
                <w:rFonts w:hint="eastAsia" w:ascii="宋体" w:hAnsi="宋体" w:eastAsia="宋体" w:cs="宋体"/>
              </w:rPr>
            </w:pPr>
            <w:r>
              <w:rPr>
                <w:rFonts w:hint="eastAsia" w:ascii="宋体" w:hAnsi="宋体" w:eastAsia="宋体" w:cs="宋体"/>
                <w:sz w:val="24"/>
                <w:szCs w:val="22"/>
              </w:rPr>
              <w:t>（</w:t>
            </w:r>
            <w:r>
              <w:rPr>
                <w:rFonts w:hint="eastAsia" w:ascii="宋体" w:hAnsi="宋体" w:eastAsia="宋体" w:cs="宋体"/>
                <w:sz w:val="24"/>
                <w:szCs w:val="22"/>
                <w:lang w:val="en-US" w:eastAsia="zh-CN"/>
              </w:rPr>
              <w:t>2</w:t>
            </w:r>
            <w:r>
              <w:rPr>
                <w:rFonts w:hint="eastAsia" w:ascii="宋体" w:hAnsi="宋体" w:eastAsia="宋体" w:cs="宋体"/>
                <w:sz w:val="24"/>
                <w:szCs w:val="22"/>
              </w:rPr>
              <w:t>）未标注表示符号的条款，每出现一条负偏离，按评标办法约定进行扣分。</w:t>
            </w:r>
          </w:p>
        </w:tc>
      </w:tr>
      <w:tr w14:paraId="64BB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5000" w:type="pct"/>
            <w:vAlign w:val="center"/>
          </w:tcPr>
          <w:p w14:paraId="15AE79C2">
            <w:pPr>
              <w:jc w:val="left"/>
              <w:rPr>
                <w:rFonts w:hint="eastAsia" w:ascii="宋体" w:hAnsi="宋体" w:eastAsia="宋体" w:cs="宋体"/>
                <w:sz w:val="24"/>
              </w:rPr>
            </w:pPr>
            <w:r>
              <w:rPr>
                <w:rFonts w:hint="eastAsia" w:ascii="宋体" w:hAnsi="宋体" w:eastAsia="宋体" w:cs="宋体"/>
                <w:sz w:val="24"/>
                <w:szCs w:val="24"/>
              </w:rPr>
              <w:t>注：标识条款中如包含多条子项技术参数或要求，则需满足或优于该标识条款内所有子项技术参数或要求方能得分。</w:t>
            </w:r>
          </w:p>
        </w:tc>
      </w:tr>
    </w:tbl>
    <w:p w14:paraId="01AD9443">
      <w:pPr>
        <w:spacing w:line="360" w:lineRule="auto"/>
        <w:ind w:firstLine="480" w:firstLineChars="200"/>
        <w:rPr>
          <w:rFonts w:hint="eastAsia" w:ascii="宋体" w:hAnsi="宋体" w:eastAsia="宋体" w:cs="宋体"/>
          <w:bCs/>
          <w:sz w:val="24"/>
          <w:szCs w:val="24"/>
        </w:rPr>
      </w:pPr>
    </w:p>
    <w:p w14:paraId="6EBFD041">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本次采购的内容主要为量子级联激光器，具体详见下表：</w:t>
      </w:r>
    </w:p>
    <w:p w14:paraId="097E9F9E">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货物需求一览表</w:t>
      </w:r>
    </w:p>
    <w:tbl>
      <w:tblPr>
        <w:tblStyle w:val="7"/>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059"/>
        <w:gridCol w:w="5603"/>
        <w:gridCol w:w="789"/>
        <w:gridCol w:w="789"/>
      </w:tblGrid>
      <w:tr w14:paraId="2A79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05" w:type="dxa"/>
            <w:vAlign w:val="center"/>
          </w:tcPr>
          <w:p w14:paraId="3489B3A2">
            <w:pPr>
              <w:wordWrap w:val="0"/>
              <w:jc w:val="center"/>
              <w:rPr>
                <w:rFonts w:hint="eastAsia" w:ascii="宋体" w:hAnsi="宋体" w:eastAsia="宋体" w:cs="宋体"/>
                <w:szCs w:val="21"/>
              </w:rPr>
            </w:pPr>
            <w:r>
              <w:rPr>
                <w:rFonts w:hint="eastAsia" w:ascii="宋体" w:hAnsi="宋体" w:eastAsia="宋体" w:cs="宋体"/>
                <w:szCs w:val="21"/>
              </w:rPr>
              <w:t>序号</w:t>
            </w:r>
          </w:p>
        </w:tc>
        <w:tc>
          <w:tcPr>
            <w:tcW w:w="1059" w:type="dxa"/>
            <w:vAlign w:val="center"/>
          </w:tcPr>
          <w:p w14:paraId="0B25F67C">
            <w:pPr>
              <w:wordWrap w:val="0"/>
              <w:jc w:val="center"/>
              <w:rPr>
                <w:rFonts w:hint="eastAsia" w:ascii="宋体" w:hAnsi="宋体" w:eastAsia="宋体" w:cs="宋体"/>
                <w:szCs w:val="21"/>
              </w:rPr>
            </w:pPr>
            <w:r>
              <w:rPr>
                <w:rFonts w:hint="eastAsia" w:ascii="宋体" w:hAnsi="宋体" w:eastAsia="宋体" w:cs="宋体"/>
                <w:szCs w:val="21"/>
              </w:rPr>
              <w:t>货物</w:t>
            </w:r>
          </w:p>
          <w:p w14:paraId="45F736AA">
            <w:pPr>
              <w:wordWrap w:val="0"/>
              <w:jc w:val="center"/>
              <w:rPr>
                <w:rFonts w:hint="eastAsia" w:ascii="宋体" w:hAnsi="宋体" w:eastAsia="宋体" w:cs="宋体"/>
                <w:szCs w:val="21"/>
              </w:rPr>
            </w:pPr>
            <w:r>
              <w:rPr>
                <w:rFonts w:hint="eastAsia" w:ascii="宋体" w:hAnsi="宋体" w:eastAsia="宋体" w:cs="宋体"/>
                <w:szCs w:val="21"/>
              </w:rPr>
              <w:t>名称</w:t>
            </w:r>
          </w:p>
        </w:tc>
        <w:tc>
          <w:tcPr>
            <w:tcW w:w="5603" w:type="dxa"/>
            <w:vAlign w:val="center"/>
          </w:tcPr>
          <w:p w14:paraId="3302947B">
            <w:pPr>
              <w:wordWrap w:val="0"/>
              <w:jc w:val="center"/>
              <w:rPr>
                <w:rFonts w:hint="eastAsia" w:ascii="宋体" w:hAnsi="宋体" w:eastAsia="宋体" w:cs="宋体"/>
                <w:szCs w:val="21"/>
              </w:rPr>
            </w:pPr>
            <w:r>
              <w:rPr>
                <w:rFonts w:hint="eastAsia" w:ascii="宋体" w:hAnsi="宋体" w:eastAsia="宋体" w:cs="宋体"/>
                <w:szCs w:val="21"/>
              </w:rPr>
              <w:t>技术参数及要求</w:t>
            </w:r>
          </w:p>
        </w:tc>
        <w:tc>
          <w:tcPr>
            <w:tcW w:w="789" w:type="dxa"/>
            <w:vAlign w:val="center"/>
          </w:tcPr>
          <w:p w14:paraId="51653349">
            <w:pPr>
              <w:wordWrap w:val="0"/>
              <w:jc w:val="center"/>
              <w:rPr>
                <w:rFonts w:hint="eastAsia" w:ascii="宋体" w:hAnsi="宋体" w:eastAsia="宋体" w:cs="宋体"/>
                <w:szCs w:val="21"/>
              </w:rPr>
            </w:pPr>
            <w:r>
              <w:rPr>
                <w:rFonts w:hint="eastAsia" w:ascii="宋体" w:hAnsi="宋体" w:eastAsia="宋体" w:cs="宋体"/>
                <w:szCs w:val="21"/>
              </w:rPr>
              <w:t>数量</w:t>
            </w:r>
          </w:p>
        </w:tc>
        <w:tc>
          <w:tcPr>
            <w:tcW w:w="789" w:type="dxa"/>
            <w:vAlign w:val="center"/>
          </w:tcPr>
          <w:p w14:paraId="5977BE2B">
            <w:pPr>
              <w:wordWrap w:val="0"/>
              <w:jc w:val="center"/>
              <w:rPr>
                <w:rFonts w:hint="eastAsia" w:ascii="宋体" w:hAnsi="宋体" w:eastAsia="宋体" w:cs="宋体"/>
                <w:szCs w:val="21"/>
              </w:rPr>
            </w:pPr>
            <w:r>
              <w:rPr>
                <w:rFonts w:hint="eastAsia" w:ascii="宋体" w:hAnsi="宋体" w:eastAsia="宋体" w:cs="宋体"/>
                <w:szCs w:val="21"/>
              </w:rPr>
              <w:t>单位</w:t>
            </w:r>
          </w:p>
        </w:tc>
      </w:tr>
      <w:tr w14:paraId="2B229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05" w:type="dxa"/>
            <w:vAlign w:val="center"/>
          </w:tcPr>
          <w:p w14:paraId="74C1BDD2">
            <w:pPr>
              <w:wordWrap w:val="0"/>
              <w:jc w:val="center"/>
              <w:rPr>
                <w:rFonts w:hint="eastAsia" w:ascii="宋体" w:hAnsi="宋体" w:eastAsia="宋体" w:cs="宋体"/>
                <w:szCs w:val="21"/>
              </w:rPr>
            </w:pPr>
            <w:r>
              <w:rPr>
                <w:rFonts w:hint="eastAsia" w:ascii="宋体" w:hAnsi="宋体" w:eastAsia="宋体" w:cs="宋体"/>
                <w:szCs w:val="21"/>
              </w:rPr>
              <w:t>1</w:t>
            </w:r>
          </w:p>
        </w:tc>
        <w:tc>
          <w:tcPr>
            <w:tcW w:w="1059" w:type="dxa"/>
            <w:vAlign w:val="center"/>
          </w:tcPr>
          <w:p w14:paraId="061A866D">
            <w:pPr>
              <w:pStyle w:val="2"/>
              <w:jc w:val="center"/>
              <w:rPr>
                <w:rFonts w:hint="eastAsia" w:ascii="宋体" w:hAnsi="宋体" w:eastAsia="宋体" w:cs="宋体"/>
                <w:b w:val="0"/>
                <w:bCs w:val="0"/>
                <w:sz w:val="21"/>
                <w:szCs w:val="21"/>
              </w:rPr>
            </w:pPr>
            <w:r>
              <w:rPr>
                <w:rFonts w:hint="eastAsia" w:ascii="宋体" w:hAnsi="宋体" w:eastAsia="宋体" w:cs="宋体"/>
                <w:sz w:val="24"/>
              </w:rPr>
              <w:t>▲量子级联激光器</w:t>
            </w:r>
          </w:p>
        </w:tc>
        <w:tc>
          <w:tcPr>
            <w:tcW w:w="5603" w:type="dxa"/>
          </w:tcPr>
          <w:p w14:paraId="0F0F1B3A">
            <w:pPr>
              <w:jc w:val="left"/>
              <w:rPr>
                <w:rFonts w:hint="eastAsia" w:ascii="宋体" w:hAnsi="宋体" w:eastAsia="宋体" w:cs="宋体"/>
                <w:b/>
                <w:bCs/>
                <w:szCs w:val="21"/>
              </w:rPr>
            </w:pPr>
            <w:r>
              <w:rPr>
                <w:rFonts w:hint="eastAsia" w:ascii="宋体" w:hAnsi="宋体" w:eastAsia="宋体" w:cs="宋体"/>
                <w:b/>
                <w:bCs/>
                <w:szCs w:val="21"/>
              </w:rPr>
              <w:t>技术需求</w:t>
            </w:r>
          </w:p>
          <w:p w14:paraId="222B4786">
            <w:pPr>
              <w:jc w:val="left"/>
              <w:rPr>
                <w:rFonts w:hint="eastAsia" w:ascii="宋体" w:hAnsi="宋体" w:eastAsia="宋体" w:cs="宋体"/>
                <w:szCs w:val="21"/>
              </w:rPr>
            </w:pPr>
            <w:r>
              <w:rPr>
                <w:rFonts w:hint="eastAsia" w:ascii="宋体" w:hAnsi="宋体" w:eastAsia="宋体" w:cs="宋体"/>
                <w:szCs w:val="21"/>
              </w:rPr>
              <w:t>1.冷却方式：风冷</w:t>
            </w:r>
            <w:r>
              <w:rPr>
                <w:rFonts w:hint="eastAsia" w:ascii="宋体" w:hAnsi="宋体" w:eastAsia="宋体" w:cs="宋体"/>
                <w:szCs w:val="21"/>
                <w:lang w:val="en-US" w:eastAsia="zh-CN"/>
              </w:rPr>
              <w:t>或液冷</w:t>
            </w:r>
            <w:r>
              <w:rPr>
                <w:rFonts w:hint="eastAsia" w:ascii="宋体" w:hAnsi="宋体" w:eastAsia="宋体" w:cs="宋体"/>
                <w:szCs w:val="21"/>
              </w:rPr>
              <w:t>；</w:t>
            </w:r>
          </w:p>
          <w:p w14:paraId="5BFA7EB4">
            <w:pPr>
              <w:jc w:val="left"/>
              <w:rPr>
                <w:rFonts w:hint="eastAsia" w:ascii="宋体" w:hAnsi="宋体" w:eastAsia="宋体" w:cs="宋体"/>
                <w:szCs w:val="21"/>
              </w:rPr>
            </w:pPr>
            <w:r>
              <w:rPr>
                <w:rFonts w:hint="eastAsia" w:ascii="宋体" w:hAnsi="宋体" w:eastAsia="宋体" w:cs="宋体"/>
                <w:szCs w:val="21"/>
              </w:rPr>
              <w:t>2.控制方式：支持上位机远程控制；</w:t>
            </w:r>
          </w:p>
          <w:p w14:paraId="397C124C">
            <w:pPr>
              <w:jc w:val="left"/>
              <w:rPr>
                <w:rFonts w:hint="eastAsia" w:ascii="宋体" w:hAnsi="宋体" w:eastAsia="宋体" w:cs="宋体"/>
                <w:szCs w:val="21"/>
              </w:rPr>
            </w:pPr>
            <w:r>
              <w:rPr>
                <w:rFonts w:hint="eastAsia" w:ascii="宋体" w:hAnsi="宋体" w:eastAsia="宋体" w:cs="宋体"/>
                <w:szCs w:val="21"/>
              </w:rPr>
              <w:t>3.光束质量：M</w:t>
            </w:r>
            <w:r>
              <w:rPr>
                <w:rFonts w:hint="eastAsia" w:ascii="宋体" w:hAnsi="宋体" w:eastAsia="宋体" w:cs="宋体"/>
                <w:sz w:val="28"/>
                <w:szCs w:val="28"/>
                <w:vertAlign w:val="superscript"/>
              </w:rPr>
              <w:t>2</w:t>
            </w:r>
            <w:r>
              <w:rPr>
                <w:rFonts w:hint="eastAsia" w:ascii="宋体" w:hAnsi="宋体" w:eastAsia="宋体" w:cs="宋体"/>
                <w:szCs w:val="21"/>
              </w:rPr>
              <w:t>&lt;1.5；</w:t>
            </w:r>
          </w:p>
          <w:p w14:paraId="02D8FB2D">
            <w:pPr>
              <w:jc w:val="left"/>
              <w:rPr>
                <w:rFonts w:hint="eastAsia" w:ascii="宋体" w:hAnsi="宋体" w:eastAsia="宋体" w:cs="宋体"/>
                <w:szCs w:val="21"/>
              </w:rPr>
            </w:pPr>
            <w:r>
              <w:rPr>
                <w:rFonts w:hint="eastAsia" w:ascii="宋体" w:hAnsi="宋体" w:eastAsia="宋体" w:cs="宋体"/>
                <w:szCs w:val="21"/>
              </w:rPr>
              <w:t>4.波长控制方式：支持波长固定和波长扫描；</w:t>
            </w:r>
          </w:p>
          <w:p w14:paraId="242384AD">
            <w:pPr>
              <w:jc w:val="left"/>
              <w:rPr>
                <w:rFonts w:hint="eastAsia" w:ascii="宋体" w:hAnsi="宋体" w:eastAsia="宋体" w:cs="宋体"/>
                <w:szCs w:val="21"/>
              </w:rPr>
            </w:pPr>
            <w:r>
              <w:rPr>
                <w:rFonts w:hint="eastAsia" w:ascii="宋体" w:hAnsi="宋体" w:eastAsia="宋体" w:cs="宋体"/>
                <w:szCs w:val="21"/>
              </w:rPr>
              <w:t>5.热机时间：&lt;5 min；</w:t>
            </w:r>
          </w:p>
          <w:p w14:paraId="667F6F68">
            <w:pPr>
              <w:jc w:val="left"/>
              <w:rPr>
                <w:rFonts w:hint="eastAsia" w:ascii="宋体" w:hAnsi="宋体" w:eastAsia="宋体" w:cs="宋体"/>
                <w:szCs w:val="21"/>
              </w:rPr>
            </w:pPr>
            <w:r>
              <w:rPr>
                <w:rFonts w:hint="eastAsia" w:ascii="宋体" w:hAnsi="宋体" w:eastAsia="宋体" w:cs="宋体"/>
                <w:szCs w:val="21"/>
              </w:rPr>
              <w:t>6.激光输出光斑要求：</w:t>
            </w:r>
          </w:p>
          <w:p w14:paraId="41E1D8CD">
            <w:pPr>
              <w:jc w:val="left"/>
              <w:rPr>
                <w:rFonts w:hint="eastAsia" w:ascii="宋体" w:hAnsi="宋体" w:eastAsia="宋体" w:cs="宋体"/>
                <w:szCs w:val="21"/>
              </w:rPr>
            </w:pPr>
            <w:r>
              <w:rPr>
                <w:rFonts w:hint="eastAsia" w:ascii="宋体" w:hAnsi="宋体" w:eastAsia="宋体" w:cs="宋体"/>
                <w:szCs w:val="21"/>
              </w:rPr>
              <w:t>光斑直径&gt;3 mm；圆度&gt;80%；配备光斑缩束/扩束组件，支持光斑直径调节；光斑发散角&lt;6 mRad；</w:t>
            </w:r>
          </w:p>
          <w:p w14:paraId="07204EF3">
            <w:pPr>
              <w:jc w:val="left"/>
              <w:rPr>
                <w:rFonts w:hint="eastAsia" w:ascii="宋体" w:hAnsi="宋体" w:eastAsia="宋体" w:cs="宋体"/>
                <w:szCs w:val="21"/>
              </w:rPr>
            </w:pPr>
            <w:r>
              <w:rPr>
                <w:rFonts w:hint="eastAsia" w:ascii="宋体" w:hAnsi="宋体" w:eastAsia="宋体" w:cs="宋体"/>
                <w:szCs w:val="21"/>
              </w:rPr>
              <w:t>7.功率稳定性要求：</w:t>
            </w:r>
          </w:p>
          <w:p w14:paraId="082D256C">
            <w:pPr>
              <w:jc w:val="left"/>
              <w:rPr>
                <w:rFonts w:hint="eastAsia" w:ascii="宋体" w:hAnsi="宋体" w:eastAsia="宋体" w:cs="宋体"/>
                <w:szCs w:val="21"/>
              </w:rPr>
            </w:pPr>
            <w:r>
              <w:rPr>
                <w:rFonts w:hint="eastAsia" w:ascii="宋体" w:hAnsi="宋体" w:eastAsia="宋体" w:cs="宋体"/>
                <w:szCs w:val="21"/>
              </w:rPr>
              <w:t>功率稳定性可实现&lt;2% RMS@12 h；</w:t>
            </w:r>
          </w:p>
          <w:p w14:paraId="09153BAD">
            <w:pPr>
              <w:jc w:val="left"/>
              <w:rPr>
                <w:rFonts w:hint="eastAsia" w:ascii="宋体" w:hAnsi="宋体" w:eastAsia="宋体" w:cs="宋体"/>
                <w:szCs w:val="21"/>
              </w:rPr>
            </w:pPr>
            <w:r>
              <w:rPr>
                <w:rFonts w:hint="eastAsia" w:ascii="宋体" w:hAnsi="宋体" w:eastAsia="宋体" w:cs="宋体"/>
                <w:szCs w:val="21"/>
              </w:rPr>
              <w:t>★8.波长覆盖要求：</w:t>
            </w:r>
          </w:p>
          <w:p w14:paraId="22A3DA3B">
            <w:pPr>
              <w:jc w:val="left"/>
              <w:rPr>
                <w:rFonts w:hint="eastAsia" w:ascii="宋体" w:hAnsi="宋体" w:eastAsia="宋体" w:cs="宋体"/>
                <w:szCs w:val="21"/>
              </w:rPr>
            </w:pPr>
            <w:r>
              <w:rPr>
                <w:rFonts w:hint="eastAsia" w:ascii="宋体" w:hAnsi="宋体" w:eastAsia="宋体" w:cs="宋体"/>
                <w:szCs w:val="21"/>
              </w:rPr>
              <w:t>覆盖不少于4.3-11.0 μm的波长范围；</w:t>
            </w:r>
          </w:p>
          <w:p w14:paraId="7CD8C339">
            <w:pPr>
              <w:jc w:val="left"/>
              <w:rPr>
                <w:rFonts w:hint="eastAsia" w:ascii="宋体" w:hAnsi="宋体" w:eastAsia="宋体" w:cs="宋体"/>
                <w:szCs w:val="21"/>
              </w:rPr>
            </w:pPr>
            <w:r>
              <w:rPr>
                <w:rFonts w:hint="eastAsia" w:ascii="宋体" w:hAnsi="宋体" w:eastAsia="宋体" w:cs="宋体"/>
                <w:szCs w:val="21"/>
              </w:rPr>
              <w:t>★9.激光输出模式要求：</w:t>
            </w:r>
          </w:p>
          <w:p w14:paraId="48F849C3">
            <w:pPr>
              <w:jc w:val="left"/>
              <w:rPr>
                <w:rFonts w:hint="eastAsia" w:ascii="宋体" w:hAnsi="宋体" w:eastAsia="宋体" w:cs="宋体"/>
                <w:szCs w:val="21"/>
              </w:rPr>
            </w:pPr>
            <w:r>
              <w:rPr>
                <w:rFonts w:hint="eastAsia" w:ascii="宋体" w:hAnsi="宋体" w:eastAsia="宋体" w:cs="宋体"/>
                <w:szCs w:val="21"/>
              </w:rPr>
              <w:t>连续光且准直输出；</w:t>
            </w:r>
          </w:p>
          <w:p w14:paraId="6CE2A94F">
            <w:pPr>
              <w:jc w:val="left"/>
              <w:rPr>
                <w:rFonts w:hint="eastAsia" w:ascii="宋体" w:hAnsi="宋体" w:eastAsia="宋体" w:cs="宋体"/>
                <w:szCs w:val="21"/>
              </w:rPr>
            </w:pPr>
            <w:r>
              <w:rPr>
                <w:rFonts w:hint="eastAsia" w:ascii="宋体" w:hAnsi="宋体" w:eastAsia="宋体" w:cs="宋体"/>
                <w:szCs w:val="21"/>
              </w:rPr>
              <w:t>★10.激光输出光谱精度要求：</w:t>
            </w:r>
          </w:p>
          <w:p w14:paraId="2E500D1A">
            <w:pPr>
              <w:jc w:val="left"/>
              <w:rPr>
                <w:rFonts w:hint="eastAsia" w:ascii="宋体" w:hAnsi="宋体" w:eastAsia="宋体" w:cs="宋体"/>
                <w:szCs w:val="21"/>
              </w:rPr>
            </w:pPr>
            <w:r>
              <w:rPr>
                <w:rFonts w:hint="eastAsia" w:ascii="宋体" w:hAnsi="宋体" w:eastAsia="宋体" w:cs="宋体"/>
                <w:szCs w:val="21"/>
              </w:rPr>
              <w:t>光谱宽度&lt;0.5 cm-1；波长调谐精度&lt;1 cm-1；</w:t>
            </w:r>
          </w:p>
          <w:p w14:paraId="30038D1E">
            <w:pPr>
              <w:jc w:val="left"/>
              <w:rPr>
                <w:rFonts w:hint="eastAsia" w:ascii="宋体" w:hAnsi="宋体" w:eastAsia="宋体" w:cs="宋体"/>
                <w:szCs w:val="21"/>
              </w:rPr>
            </w:pPr>
            <w:r>
              <w:rPr>
                <w:rFonts w:hint="eastAsia" w:ascii="宋体" w:hAnsi="宋体" w:eastAsia="宋体" w:cs="宋体"/>
                <w:szCs w:val="21"/>
              </w:rPr>
              <w:t>★11.激光平均输出功率要求：</w:t>
            </w:r>
          </w:p>
          <w:p w14:paraId="2205BCD8">
            <w:pPr>
              <w:jc w:val="left"/>
              <w:rPr>
                <w:rFonts w:hint="eastAsia" w:ascii="宋体" w:hAnsi="宋体" w:eastAsia="宋体" w:cs="宋体"/>
                <w:szCs w:val="21"/>
              </w:rPr>
            </w:pPr>
            <w:r>
              <w:rPr>
                <w:rFonts w:hint="eastAsia" w:ascii="宋体" w:hAnsi="宋体" w:eastAsia="宋体" w:cs="宋体"/>
                <w:szCs w:val="21"/>
              </w:rPr>
              <w:t>平均功率&gt;40 mW@4.3-7.5μm，&gt;20 mW@7.5-11μm（不含7.5μm）；</w:t>
            </w:r>
          </w:p>
          <w:p w14:paraId="06F9C334">
            <w:pPr>
              <w:jc w:val="left"/>
              <w:rPr>
                <w:rFonts w:hint="eastAsia" w:ascii="宋体" w:hAnsi="宋体" w:eastAsia="宋体" w:cs="宋体"/>
                <w:szCs w:val="21"/>
              </w:rPr>
            </w:pPr>
            <w:r>
              <w:rPr>
                <w:rFonts w:hint="eastAsia" w:ascii="宋体" w:hAnsi="宋体" w:eastAsia="宋体" w:cs="宋体"/>
                <w:szCs w:val="21"/>
              </w:rPr>
              <w:t>★12.多模块运行要求：</w:t>
            </w:r>
          </w:p>
          <w:p w14:paraId="514FA7A2">
            <w:pPr>
              <w:jc w:val="left"/>
              <w:rPr>
                <w:rFonts w:hint="eastAsia" w:ascii="宋体" w:hAnsi="宋体" w:eastAsia="宋体" w:cs="宋体"/>
                <w:szCs w:val="21"/>
              </w:rPr>
            </w:pPr>
            <w:r>
              <w:rPr>
                <w:rFonts w:hint="eastAsia" w:ascii="宋体" w:hAnsi="宋体" w:eastAsia="宋体" w:cs="宋体"/>
                <w:szCs w:val="21"/>
              </w:rPr>
              <w:t>支持至少5个波长/模块同时出光工作；</w:t>
            </w:r>
          </w:p>
          <w:p w14:paraId="0666EF81">
            <w:pPr>
              <w:jc w:val="left"/>
              <w:rPr>
                <w:rFonts w:hint="default" w:ascii="宋体" w:hAnsi="宋体" w:eastAsia="宋体" w:cs="宋体"/>
                <w:b/>
                <w:bCs/>
                <w:szCs w:val="21"/>
                <w:lang w:val="en-US" w:eastAsia="zh-CN"/>
              </w:rPr>
            </w:pPr>
            <w:r>
              <w:rPr>
                <w:rFonts w:hint="eastAsia" w:ascii="宋体" w:hAnsi="宋体" w:eastAsia="宋体" w:cs="宋体"/>
                <w:b/>
                <w:bCs/>
                <w:szCs w:val="21"/>
                <w:lang w:val="en-US" w:eastAsia="zh-CN"/>
              </w:rPr>
              <w:t>注：技术需求中第1-12项参数均需提供产品彩页或技术白皮书或官网截图或具有CMA标识的第三方检测报告证明。</w:t>
            </w:r>
          </w:p>
          <w:p w14:paraId="1C7BB0E3">
            <w:pPr>
              <w:jc w:val="left"/>
              <w:rPr>
                <w:rFonts w:hint="eastAsia" w:ascii="宋体" w:hAnsi="宋体" w:eastAsia="宋体" w:cs="宋体"/>
                <w:b/>
                <w:bCs/>
                <w:szCs w:val="21"/>
              </w:rPr>
            </w:pPr>
            <w:r>
              <w:rPr>
                <w:rFonts w:hint="eastAsia" w:ascii="宋体" w:hAnsi="宋体" w:eastAsia="宋体" w:cs="宋体"/>
                <w:b/>
                <w:bCs/>
                <w:szCs w:val="21"/>
              </w:rPr>
              <w:t>工作条件要求：</w:t>
            </w:r>
          </w:p>
          <w:p w14:paraId="6917F218">
            <w:pPr>
              <w:jc w:val="left"/>
              <w:rPr>
                <w:rFonts w:hint="eastAsia" w:ascii="宋体" w:hAnsi="宋体" w:eastAsia="宋体" w:cs="宋体"/>
                <w:szCs w:val="21"/>
              </w:rPr>
            </w:pPr>
            <w:r>
              <w:rPr>
                <w:rFonts w:ascii="宋体" w:hAnsi="宋体" w:eastAsia="宋体" w:cs="宋体"/>
                <w:szCs w:val="21"/>
              </w:rPr>
              <w:t>1.气压变化：&lt;10 Pa；</w:t>
            </w:r>
          </w:p>
          <w:p w14:paraId="268D93F5">
            <w:pPr>
              <w:jc w:val="left"/>
              <w:rPr>
                <w:rFonts w:hint="eastAsia" w:ascii="宋体" w:hAnsi="宋体" w:eastAsia="宋体" w:cs="宋体"/>
                <w:szCs w:val="21"/>
              </w:rPr>
            </w:pPr>
            <w:r>
              <w:rPr>
                <w:rFonts w:ascii="宋体" w:hAnsi="宋体" w:eastAsia="宋体" w:cs="宋体"/>
                <w:szCs w:val="21"/>
              </w:rPr>
              <w:t>2.电源要求：220 V</w:t>
            </w:r>
            <w:r>
              <w:rPr>
                <w:rFonts w:hint="eastAsia" w:ascii="宋体" w:hAnsi="宋体" w:eastAsia="宋体" w:cs="宋体"/>
                <w:szCs w:val="21"/>
              </w:rPr>
              <w:t>；</w:t>
            </w:r>
          </w:p>
          <w:p w14:paraId="571D8068">
            <w:pPr>
              <w:jc w:val="left"/>
              <w:rPr>
                <w:rFonts w:hint="eastAsia" w:ascii="宋体" w:hAnsi="宋体" w:eastAsia="宋体" w:cs="宋体"/>
                <w:szCs w:val="21"/>
              </w:rPr>
            </w:pPr>
            <w:r>
              <w:rPr>
                <w:rFonts w:hint="eastAsia" w:ascii="宋体" w:hAnsi="宋体" w:eastAsia="宋体" w:cs="宋体"/>
                <w:szCs w:val="21"/>
              </w:rPr>
              <w:t>★3</w:t>
            </w:r>
            <w:r>
              <w:rPr>
                <w:rFonts w:ascii="宋体" w:hAnsi="宋体" w:eastAsia="宋体" w:cs="宋体"/>
                <w:szCs w:val="21"/>
              </w:rPr>
              <w:t>.仪器运行的持久性：</w:t>
            </w:r>
          </w:p>
          <w:p w14:paraId="37AC35B7">
            <w:pPr>
              <w:jc w:val="left"/>
              <w:rPr>
                <w:rFonts w:hint="eastAsia" w:ascii="宋体" w:hAnsi="宋体" w:eastAsia="宋体" w:cs="宋体"/>
                <w:szCs w:val="21"/>
              </w:rPr>
            </w:pPr>
            <w:r>
              <w:rPr>
                <w:rFonts w:ascii="宋体" w:hAnsi="宋体" w:eastAsia="宋体" w:cs="宋体"/>
                <w:szCs w:val="21"/>
              </w:rPr>
              <w:t>可连续24 h运行；</w:t>
            </w:r>
          </w:p>
          <w:p w14:paraId="52988FB2">
            <w:pPr>
              <w:jc w:val="left"/>
              <w:rPr>
                <w:rFonts w:hint="eastAsia" w:ascii="宋体" w:hAnsi="宋体" w:eastAsia="宋体" w:cs="宋体"/>
                <w:szCs w:val="21"/>
              </w:rPr>
            </w:pPr>
            <w:r>
              <w:rPr>
                <w:rFonts w:hint="eastAsia" w:ascii="宋体" w:hAnsi="宋体" w:eastAsia="宋体" w:cs="宋体"/>
                <w:szCs w:val="21"/>
              </w:rPr>
              <w:t>★4</w:t>
            </w:r>
            <w:r>
              <w:rPr>
                <w:rFonts w:ascii="宋体" w:hAnsi="宋体" w:eastAsia="宋体" w:cs="宋体"/>
                <w:szCs w:val="21"/>
              </w:rPr>
              <w:t>.工作温度要求范围：</w:t>
            </w:r>
          </w:p>
          <w:p w14:paraId="72A9BC61">
            <w:pPr>
              <w:jc w:val="left"/>
              <w:rPr>
                <w:rFonts w:hint="eastAsia" w:ascii="宋体" w:hAnsi="宋体" w:eastAsia="宋体" w:cs="宋体"/>
                <w:szCs w:val="21"/>
              </w:rPr>
            </w:pPr>
            <w:r>
              <w:rPr>
                <w:rFonts w:ascii="宋体" w:hAnsi="宋体" w:eastAsia="宋体" w:cs="宋体"/>
                <w:szCs w:val="21"/>
              </w:rPr>
              <w:t>工作温度涵盖15-30 ℃；</w:t>
            </w:r>
          </w:p>
          <w:p w14:paraId="0D09A3F2">
            <w:pPr>
              <w:jc w:val="left"/>
              <w:rPr>
                <w:rFonts w:hint="eastAsia" w:ascii="宋体" w:hAnsi="宋体" w:eastAsia="宋体" w:cs="宋体"/>
                <w:szCs w:val="21"/>
              </w:rPr>
            </w:pPr>
            <w:r>
              <w:rPr>
                <w:rFonts w:hint="eastAsia" w:ascii="宋体" w:hAnsi="宋体" w:eastAsia="宋体" w:cs="宋体"/>
                <w:szCs w:val="21"/>
              </w:rPr>
              <w:t>★5</w:t>
            </w:r>
            <w:r>
              <w:rPr>
                <w:rFonts w:ascii="宋体" w:hAnsi="宋体" w:eastAsia="宋体" w:cs="宋体"/>
                <w:szCs w:val="21"/>
              </w:rPr>
              <w:t>.工作相对湿度范围：</w:t>
            </w:r>
          </w:p>
          <w:p w14:paraId="65D11ED8">
            <w:pPr>
              <w:jc w:val="left"/>
              <w:rPr>
                <w:rFonts w:hint="eastAsia" w:ascii="宋体" w:hAnsi="宋体" w:eastAsia="宋体" w:cs="宋体"/>
                <w:szCs w:val="21"/>
              </w:rPr>
            </w:pPr>
            <w:r>
              <w:rPr>
                <w:rFonts w:ascii="宋体" w:hAnsi="宋体" w:eastAsia="宋体" w:cs="宋体"/>
                <w:szCs w:val="21"/>
              </w:rPr>
              <w:t>工作相对湿度涵盖20%-60%</w:t>
            </w:r>
          </w:p>
        </w:tc>
        <w:tc>
          <w:tcPr>
            <w:tcW w:w="789" w:type="dxa"/>
            <w:vAlign w:val="center"/>
          </w:tcPr>
          <w:p w14:paraId="53A2D2B4">
            <w:pPr>
              <w:pStyle w:val="2"/>
              <w:jc w:val="center"/>
              <w:rPr>
                <w:rFonts w:hint="eastAsia" w:ascii="宋体" w:hAnsi="宋体" w:eastAsia="宋体" w:cs="宋体"/>
                <w:b w:val="0"/>
                <w:bCs w:val="0"/>
                <w:sz w:val="21"/>
                <w:szCs w:val="21"/>
              </w:rPr>
            </w:pPr>
            <w:r>
              <w:rPr>
                <w:rFonts w:hint="eastAsia" w:ascii="宋体" w:hAnsi="宋体" w:eastAsia="宋体" w:cs="宋体"/>
                <w:b w:val="0"/>
                <w:sz w:val="21"/>
                <w:szCs w:val="21"/>
              </w:rPr>
              <w:t>1</w:t>
            </w:r>
          </w:p>
        </w:tc>
        <w:tc>
          <w:tcPr>
            <w:tcW w:w="789" w:type="dxa"/>
            <w:vAlign w:val="center"/>
          </w:tcPr>
          <w:p w14:paraId="2B2DCEC1">
            <w:pPr>
              <w:wordWrap w:val="0"/>
              <w:jc w:val="center"/>
              <w:rPr>
                <w:rFonts w:hint="eastAsia" w:ascii="宋体" w:hAnsi="宋体" w:eastAsia="宋体" w:cs="宋体"/>
                <w:szCs w:val="21"/>
              </w:rPr>
            </w:pPr>
            <w:r>
              <w:rPr>
                <w:rFonts w:hint="eastAsia" w:ascii="宋体" w:hAnsi="宋体" w:eastAsia="宋体" w:cs="宋体"/>
                <w:szCs w:val="21"/>
              </w:rPr>
              <w:t>台</w:t>
            </w:r>
          </w:p>
        </w:tc>
      </w:tr>
    </w:tbl>
    <w:p w14:paraId="57A827E3">
      <w:pPr>
        <w:spacing w:line="360" w:lineRule="auto"/>
        <w:ind w:firstLine="482" w:firstLineChars="200"/>
        <w:outlineLvl w:val="2"/>
        <w:rPr>
          <w:rFonts w:hint="eastAsia" w:ascii="宋体" w:hAnsi="宋体" w:eastAsia="宋体" w:cs="宋体"/>
          <w:b/>
          <w:sz w:val="24"/>
          <w:szCs w:val="18"/>
        </w:rPr>
      </w:pPr>
      <w:r>
        <w:rPr>
          <w:rFonts w:hint="eastAsia" w:ascii="宋体" w:hAnsi="宋体" w:eastAsia="宋体" w:cs="宋体"/>
          <w:b/>
          <w:sz w:val="24"/>
          <w:szCs w:val="18"/>
        </w:rPr>
        <w:t>三、报价要求</w:t>
      </w:r>
    </w:p>
    <w:p w14:paraId="1FA6DCDD">
      <w:pPr>
        <w:widowControl/>
        <w:spacing w:line="360" w:lineRule="auto"/>
        <w:ind w:firstLine="480" w:firstLineChars="200"/>
        <w:jc w:val="left"/>
      </w:pPr>
      <w:r>
        <w:rPr>
          <w:rFonts w:hint="eastAsia" w:ascii="宋体" w:hAnsi="宋体" w:eastAsia="宋体" w:cs="Calibri Light"/>
          <w:kern w:val="0"/>
          <w:sz w:val="24"/>
          <w:szCs w:val="24"/>
        </w:rPr>
        <w:t>本项目报总价，投标报价包括但不限于整套设备的采购、制造、包装、交货（包括运输至采购人指定地点卸车就位）、安装、调试（设备单调、设备集成、系统联调等）、验收、保险、管理费、利润和税金和售后服务的一切费用，以及为完成本项目的所有责任、义务和风险。</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微软简标宋">
    <w:altName w:val="@宋体"/>
    <w:panose1 w:val="00000000000000000000"/>
    <w:charset w:val="86"/>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宋体">
    <w:panose1 w:val="02010600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135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3"/>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3">
    <w:name w:val="样式 标题 3 + 右侧:  0.49 字符"/>
    <w:basedOn w:val="2"/>
    <w:qFormat/>
    <w:uiPriority w:val="99"/>
    <w:pPr>
      <w:tabs>
        <w:tab w:val="left" w:pos="720"/>
      </w:tabs>
      <w:ind w:right="137" w:firstLine="138" w:firstLineChars="49"/>
    </w:pPr>
  </w:style>
  <w:style w:type="paragraph" w:styleId="4">
    <w:name w:val="annotation text"/>
    <w:basedOn w:val="1"/>
    <w:qFormat/>
    <w:uiPriority w:val="99"/>
    <w:pPr>
      <w:jc w:val="left"/>
    </w:pPr>
    <w:rPr>
      <w:rFonts w:ascii="Arial" w:hAnsi="Arial" w:eastAsia="黑体" w:cs="Arial"/>
    </w:rPr>
  </w:style>
  <w:style w:type="paragraph" w:styleId="5">
    <w:name w:val="Body Text"/>
    <w:basedOn w:val="1"/>
    <w:qFormat/>
    <w:uiPriority w:val="0"/>
    <w:pPr>
      <w:spacing w:after="120"/>
    </w:pPr>
    <w:rPr>
      <w:rFonts w:ascii="@微软简标宋" w:hAnsi="@微软简标宋" w:eastAsia="@微软简标宋" w:cs="@微软简标宋"/>
      <w:szCs w:val="24"/>
      <w:lang w:val="zh-CN"/>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D&amp;L"/>
    <w:basedOn w:val="6"/>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qFormat/>
    <w:uiPriority w:val="0"/>
    <w:pPr>
      <w:widowControl/>
      <w:spacing w:before="100" w:beforeAutospacing="1" w:after="100" w:afterAutospacing="1"/>
      <w:jc w:val="center"/>
    </w:pPr>
    <w:rPr>
      <w:b/>
      <w:bCs/>
      <w:kern w:val="0"/>
      <w:sz w:val="28"/>
      <w:szCs w:val="28"/>
    </w:rPr>
  </w:style>
  <w:style w:type="paragraph" w:customStyle="1" w:styleId="11">
    <w:name w:val="Char Char Char Char Char Char Char1 Char"/>
    <w:basedOn w:val="1"/>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2026-07-09T06:15:50Z</dcterms:created>
  <dc:creator>王宁</dc:creator>
  <cp:lastModifiedBy>王Sir</cp:lastModifiedBy>
  <dcterms:modified xsi:type="dcterms:W3CDTF">2026-07-09T06:16:32Z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eyJoZGlkIjoiOTBhYTc2N2QwMTYxMGRmY2I1ZmEyMmU0ZDE1YTYyZTMiLCJ1c2VySWQiOiI0ODIzOTEyNDYifQ==</vt:lpwstr>
  </property>
  <property fmtid="{D5CDD505-2E9C-101B-9397-08002B2CF9AE}" pid="4" name="ICV">
    <vt:lpwstr>8DECFC4D67B0427793F81006867BDC42_12</vt:lpwstr>
  </property>
</Properties>
</file>