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46ACD">
      <w:pPr>
        <w:wordWrap w:val="0"/>
        <w:spacing w:line="360" w:lineRule="auto"/>
        <w:jc w:val="center"/>
        <w:outlineLvl w:val="1"/>
        <w:rPr>
          <w:rFonts w:hint="eastAsia" w:ascii="华文中宋" w:hAnsi="华文中宋" w:eastAsia="华文中宋" w:cs="Times New Roman"/>
          <w:b/>
          <w:bCs/>
          <w:kern w:val="44"/>
          <w:sz w:val="44"/>
          <w:szCs w:val="44"/>
        </w:rPr>
      </w:pPr>
      <w:bookmarkStart w:id="0" w:name="_Toc32628"/>
      <w:bookmarkStart w:id="1" w:name="_Toc17676"/>
      <w:r>
        <w:rPr>
          <w:rFonts w:hint="eastAsia" w:ascii="华文中宋" w:hAnsi="华文中宋" w:eastAsia="华文中宋" w:cs="Times New Roman"/>
          <w:b/>
          <w:bCs/>
          <w:kern w:val="44"/>
          <w:sz w:val="44"/>
          <w:szCs w:val="44"/>
        </w:rPr>
        <w:t>第三章  招标需求</w:t>
      </w:r>
      <w:bookmarkEnd w:id="0"/>
      <w:bookmarkEnd w:id="1"/>
    </w:p>
    <w:p w14:paraId="1EFB82EE">
      <w:pPr>
        <w:wordWrap w:val="0"/>
        <w:spacing w:line="360" w:lineRule="auto"/>
        <w:rPr>
          <w:rFonts w:hint="eastAsia" w:ascii="宋体" w:hAnsi="宋体" w:eastAsia="宋体"/>
          <w:b/>
          <w:sz w:val="24"/>
        </w:rPr>
      </w:pPr>
      <w:r>
        <w:rPr>
          <w:rFonts w:hint="eastAsia" w:ascii="宋体" w:hAnsi="宋体" w:eastAsia="宋体"/>
          <w:b/>
          <w:sz w:val="24"/>
        </w:rPr>
        <w:t>前注：</w:t>
      </w:r>
    </w:p>
    <w:p w14:paraId="47E03C7F">
      <w:pPr>
        <w:wordWrap w:val="0"/>
        <w:spacing w:line="360" w:lineRule="auto"/>
        <w:ind w:firstLine="437"/>
        <w:rPr>
          <w:rFonts w:ascii="Arial" w:hAnsi="Arial" w:eastAsia="宋体" w:cs="Arial"/>
          <w:b/>
          <w:sz w:val="28"/>
          <w:szCs w:val="28"/>
        </w:rPr>
      </w:pPr>
      <w:r>
        <w:rPr>
          <w:rFonts w:hint="eastAsia" w:ascii="宋体" w:hAnsi="宋体" w:eastAsia="宋体"/>
          <w:sz w:val="24"/>
        </w:rPr>
        <w:t>1.本说明中提出的技术方案仅为参考，如无明确限制，投标人可以进行优化，提供满足用户实际需要的更优（或者性能实质上不低于的）技术方案，且此方案须评标委员会评标认可。</w:t>
      </w:r>
    </w:p>
    <w:p w14:paraId="25B26E8D">
      <w:pPr>
        <w:wordWrap w:val="0"/>
        <w:spacing w:line="360" w:lineRule="auto"/>
        <w:ind w:firstLine="437"/>
        <w:rPr>
          <w:rFonts w:ascii="Arial" w:hAnsi="Arial" w:eastAsia="宋体" w:cs="Arial"/>
          <w:b/>
          <w:sz w:val="28"/>
          <w:szCs w:val="28"/>
        </w:rPr>
      </w:pPr>
      <w:r>
        <w:rPr>
          <w:rFonts w:ascii="Arial" w:hAnsi="Arial" w:eastAsia="宋体" w:cs="Arial"/>
          <w:b/>
          <w:sz w:val="28"/>
          <w:szCs w:val="28"/>
        </w:rPr>
        <w:t>一、</w:t>
      </w:r>
      <w:r>
        <w:rPr>
          <w:rFonts w:hint="eastAsia" w:ascii="Arial" w:hAnsi="Arial" w:eastAsia="宋体" w:cs="Arial"/>
          <w:b/>
          <w:sz w:val="28"/>
          <w:szCs w:val="28"/>
        </w:rPr>
        <w:t>招标</w:t>
      </w:r>
      <w:r>
        <w:rPr>
          <w:rFonts w:ascii="Arial" w:hAnsi="Arial" w:eastAsia="宋体" w:cs="Arial"/>
          <w:b/>
          <w:sz w:val="28"/>
          <w:szCs w:val="28"/>
        </w:rPr>
        <w:t>需求前附表</w:t>
      </w:r>
    </w:p>
    <w:tbl>
      <w:tblPr>
        <w:tblStyle w:val="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2214"/>
        <w:gridCol w:w="5976"/>
      </w:tblGrid>
      <w:tr w14:paraId="4628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5FB0DB83">
            <w:pPr>
              <w:pStyle w:val="8"/>
              <w:pBdr>
                <w:bottom w:val="none" w:color="auto" w:sz="0" w:space="0"/>
              </w:pBdr>
              <w:tabs>
                <w:tab w:val="clear" w:pos="4153"/>
                <w:tab w:val="clear" w:pos="8306"/>
              </w:tabs>
              <w:wordWrap w:val="0"/>
              <w:adjustRightInd/>
              <w:spacing w:line="240" w:lineRule="auto"/>
              <w:textAlignment w:val="auto"/>
              <w:rPr>
                <w:rFonts w:hint="eastAsia" w:ascii="宋体" w:hAnsi="宋体" w:eastAsia="宋体"/>
                <w:b/>
                <w:kern w:val="2"/>
              </w:rPr>
            </w:pPr>
            <w:r>
              <w:rPr>
                <w:rFonts w:hint="eastAsia" w:ascii="宋体" w:hAnsi="宋体" w:eastAsia="宋体"/>
                <w:b/>
                <w:kern w:val="2"/>
              </w:rPr>
              <w:t>序号</w:t>
            </w:r>
          </w:p>
        </w:tc>
        <w:tc>
          <w:tcPr>
            <w:tcW w:w="2214" w:type="dxa"/>
            <w:vAlign w:val="center"/>
          </w:tcPr>
          <w:p w14:paraId="5B371CC9">
            <w:pPr>
              <w:pStyle w:val="9"/>
              <w:widowControl w:val="0"/>
              <w:wordWrap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条款名称</w:t>
            </w:r>
          </w:p>
        </w:tc>
        <w:tc>
          <w:tcPr>
            <w:tcW w:w="5976" w:type="dxa"/>
            <w:vAlign w:val="center"/>
          </w:tcPr>
          <w:p w14:paraId="0E180A96">
            <w:pPr>
              <w:pStyle w:val="9"/>
              <w:widowControl w:val="0"/>
              <w:wordWrap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内容、说明与要求</w:t>
            </w:r>
          </w:p>
        </w:tc>
      </w:tr>
      <w:tr w14:paraId="3202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538C46FB">
            <w:pPr>
              <w:pStyle w:val="8"/>
              <w:pBdr>
                <w:bottom w:val="none" w:color="auto" w:sz="0" w:space="0"/>
              </w:pBdr>
              <w:tabs>
                <w:tab w:val="clear" w:pos="4153"/>
                <w:tab w:val="clear" w:pos="8306"/>
              </w:tabs>
              <w:wordWrap w:val="0"/>
              <w:adjustRightInd/>
              <w:spacing w:line="240" w:lineRule="auto"/>
              <w:textAlignment w:val="auto"/>
              <w:rPr>
                <w:rFonts w:hint="eastAsia" w:ascii="宋体" w:hAnsi="宋体" w:eastAsia="宋体"/>
                <w:bCs/>
                <w:kern w:val="2"/>
              </w:rPr>
            </w:pPr>
            <w:r>
              <w:rPr>
                <w:rFonts w:hint="eastAsia" w:ascii="宋体" w:hAnsi="宋体" w:eastAsia="宋体"/>
                <w:bCs/>
                <w:kern w:val="2"/>
              </w:rPr>
              <w:t>1</w:t>
            </w:r>
          </w:p>
        </w:tc>
        <w:tc>
          <w:tcPr>
            <w:tcW w:w="2214" w:type="dxa"/>
            <w:vAlign w:val="center"/>
          </w:tcPr>
          <w:p w14:paraId="34DDD88F">
            <w:pPr>
              <w:pStyle w:val="9"/>
              <w:widowControl w:val="0"/>
              <w:spacing w:before="0" w:beforeAutospacing="0" w:after="0" w:afterAutospacing="0"/>
              <w:jc w:val="center"/>
              <w:rPr>
                <w:rFonts w:hint="eastAsia" w:ascii="宋体" w:hAnsi="宋体" w:eastAsia="宋体"/>
                <w:sz w:val="24"/>
              </w:rPr>
            </w:pPr>
            <w:r>
              <w:rPr>
                <w:rFonts w:hint="eastAsia" w:ascii="Arial" w:hAnsi="Arial" w:eastAsia="宋体" w:cs="Arial"/>
                <w:b w:val="0"/>
                <w:sz w:val="24"/>
                <w:highlight w:val="none"/>
                <w:lang w:eastAsia="zh-CN"/>
              </w:rPr>
              <w:t>付款方式</w:t>
            </w:r>
          </w:p>
        </w:tc>
        <w:tc>
          <w:tcPr>
            <w:tcW w:w="5976" w:type="dxa"/>
            <w:vAlign w:val="center"/>
          </w:tcPr>
          <w:p w14:paraId="54E0D917">
            <w:pPr>
              <w:spacing w:line="360" w:lineRule="auto"/>
              <w:jc w:val="left"/>
              <w:rPr>
                <w:rFonts w:hint="eastAsia" w:ascii="宋体" w:hAnsi="宋体" w:eastAsia="宋体"/>
                <w:sz w:val="24"/>
                <w:u w:val="none"/>
                <w:lang w:val="zh-CN" w:eastAsia="zh-CN"/>
              </w:rPr>
            </w:pPr>
            <w:r>
              <w:rPr>
                <w:rFonts w:hint="eastAsia" w:ascii="宋体" w:hAnsi="宋体" w:eastAsia="宋体"/>
                <w:sz w:val="24"/>
                <w:u w:val="none"/>
                <w:lang w:val="zh-CN" w:eastAsia="zh-CN"/>
              </w:rPr>
              <w:t>合同履行完毕经验收合格后，</w:t>
            </w:r>
            <w:r>
              <w:rPr>
                <w:rFonts w:hint="eastAsia" w:ascii="宋体" w:hAnsi="宋体" w:eastAsia="宋体"/>
                <w:sz w:val="24"/>
                <w:u w:val="none"/>
                <w:lang w:eastAsia="zh-CN"/>
              </w:rPr>
              <w:t>按实际结算货款一次性支付。</w:t>
            </w:r>
          </w:p>
          <w:p w14:paraId="629F7775">
            <w:pPr>
              <w:spacing w:line="360" w:lineRule="auto"/>
              <w:jc w:val="left"/>
              <w:rPr>
                <w:rFonts w:hint="eastAsia" w:ascii="宋体" w:hAnsi="宋体" w:eastAsia="宋体"/>
                <w:sz w:val="24"/>
                <w:u w:val="single"/>
              </w:rPr>
            </w:pPr>
            <w:r>
              <w:rPr>
                <w:rFonts w:hint="eastAsia" w:ascii="宋体" w:hAnsi="宋体" w:eastAsia="宋体"/>
                <w:b/>
                <w:bCs/>
                <w:sz w:val="24"/>
                <w:u w:val="none"/>
                <w:lang w:eastAsia="zh-CN"/>
              </w:rPr>
              <w:t>投标人提交的投标文件中如有关于付款条件的表述与招标文件规定不符，投标无效。</w:t>
            </w:r>
          </w:p>
        </w:tc>
      </w:tr>
      <w:tr w14:paraId="12F4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7990E0AA">
            <w:pPr>
              <w:pStyle w:val="8"/>
              <w:pBdr>
                <w:bottom w:val="none" w:color="auto" w:sz="0" w:space="0"/>
              </w:pBdr>
              <w:tabs>
                <w:tab w:val="clear" w:pos="4153"/>
                <w:tab w:val="clear" w:pos="8306"/>
              </w:tabs>
              <w:wordWrap w:val="0"/>
              <w:adjustRightInd/>
              <w:spacing w:line="240" w:lineRule="auto"/>
              <w:textAlignment w:val="auto"/>
              <w:rPr>
                <w:rFonts w:hint="eastAsia" w:ascii="宋体" w:hAnsi="宋体" w:eastAsia="宋体"/>
                <w:bCs/>
                <w:kern w:val="2"/>
              </w:rPr>
            </w:pPr>
            <w:r>
              <w:rPr>
                <w:rFonts w:hint="eastAsia" w:ascii="宋体" w:hAnsi="宋体" w:eastAsia="宋体"/>
                <w:bCs/>
                <w:kern w:val="2"/>
              </w:rPr>
              <w:t>2</w:t>
            </w:r>
          </w:p>
        </w:tc>
        <w:tc>
          <w:tcPr>
            <w:tcW w:w="2214" w:type="dxa"/>
            <w:vAlign w:val="center"/>
          </w:tcPr>
          <w:p w14:paraId="60F0E1BB">
            <w:pPr>
              <w:pStyle w:val="9"/>
              <w:widowControl w:val="0"/>
              <w:spacing w:before="0" w:beforeAutospacing="0" w:after="0" w:afterAutospacing="0"/>
              <w:rPr>
                <w:rFonts w:hint="eastAsia" w:ascii="宋体" w:hAnsi="宋体" w:eastAsia="宋体"/>
                <w:sz w:val="24"/>
              </w:rPr>
            </w:pPr>
            <w:r>
              <w:rPr>
                <w:rFonts w:ascii="Arial" w:hAnsi="Arial" w:eastAsia="宋体" w:cs="Arial"/>
                <w:b w:val="0"/>
                <w:sz w:val="24"/>
              </w:rPr>
              <w:t>供货地点</w:t>
            </w:r>
          </w:p>
        </w:tc>
        <w:tc>
          <w:tcPr>
            <w:tcW w:w="5976" w:type="dxa"/>
            <w:vAlign w:val="center"/>
          </w:tcPr>
          <w:p w14:paraId="69A93B17">
            <w:pPr>
              <w:spacing w:line="360" w:lineRule="auto"/>
              <w:jc w:val="left"/>
              <w:rPr>
                <w:rFonts w:hint="eastAsia" w:ascii="宋体" w:hAnsi="宋体" w:eastAsia="宋体"/>
                <w:sz w:val="24"/>
                <w:u w:val="single"/>
              </w:rPr>
            </w:pPr>
            <w:r>
              <w:rPr>
                <w:rFonts w:hint="eastAsia" w:ascii="宋体" w:hAnsi="宋体" w:eastAsia="宋体"/>
                <w:color w:val="auto"/>
                <w:sz w:val="24"/>
                <w:highlight w:val="none"/>
              </w:rPr>
              <w:t>安徽理工大学</w:t>
            </w:r>
            <w:r>
              <w:rPr>
                <w:rFonts w:hint="eastAsia" w:ascii="宋体" w:hAnsi="宋体" w:eastAsia="宋体"/>
                <w:color w:val="auto"/>
                <w:sz w:val="24"/>
                <w:highlight w:val="none"/>
                <w:lang w:eastAsia="zh-CN"/>
              </w:rPr>
              <w:t>指定地点</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投标人</w:t>
            </w:r>
            <w:r>
              <w:rPr>
                <w:rFonts w:hint="eastAsia" w:ascii="宋体" w:hAnsi="宋体" w:eastAsia="宋体"/>
                <w:color w:val="auto"/>
                <w:sz w:val="24"/>
                <w:highlight w:val="none"/>
              </w:rPr>
              <w:t>负责配备、发放到班级。如时间地点有调整，另行通知。</w:t>
            </w:r>
          </w:p>
        </w:tc>
      </w:tr>
      <w:tr w14:paraId="1BAE6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7CE3BAED">
            <w:pPr>
              <w:pStyle w:val="8"/>
              <w:pBdr>
                <w:bottom w:val="none" w:color="auto" w:sz="0" w:space="0"/>
              </w:pBdr>
              <w:tabs>
                <w:tab w:val="clear" w:pos="4153"/>
                <w:tab w:val="clear" w:pos="8306"/>
              </w:tabs>
              <w:wordWrap w:val="0"/>
              <w:adjustRightInd/>
              <w:spacing w:line="240" w:lineRule="auto"/>
              <w:textAlignment w:val="auto"/>
              <w:rPr>
                <w:rFonts w:hint="eastAsia" w:ascii="宋体" w:hAnsi="宋体" w:eastAsia="宋体"/>
                <w:bCs/>
                <w:kern w:val="2"/>
              </w:rPr>
            </w:pPr>
            <w:r>
              <w:rPr>
                <w:rFonts w:hint="eastAsia" w:ascii="宋体" w:hAnsi="宋体" w:eastAsia="宋体"/>
                <w:bCs/>
                <w:kern w:val="2"/>
              </w:rPr>
              <w:t>3</w:t>
            </w:r>
          </w:p>
        </w:tc>
        <w:tc>
          <w:tcPr>
            <w:tcW w:w="2214" w:type="dxa"/>
            <w:vAlign w:val="center"/>
          </w:tcPr>
          <w:p w14:paraId="05C33885">
            <w:pPr>
              <w:pStyle w:val="9"/>
              <w:widowControl w:val="0"/>
              <w:spacing w:before="0" w:beforeAutospacing="0" w:after="0" w:afterAutospacing="0"/>
              <w:rPr>
                <w:rFonts w:hint="eastAsia" w:ascii="宋体" w:hAnsi="宋体" w:eastAsia="宋体"/>
                <w:sz w:val="24"/>
              </w:rPr>
            </w:pPr>
            <w:r>
              <w:rPr>
                <w:rFonts w:ascii="Arial" w:hAnsi="Arial" w:eastAsia="宋体" w:cs="Arial"/>
                <w:b w:val="0"/>
                <w:sz w:val="24"/>
                <w:highlight w:val="none"/>
              </w:rPr>
              <w:t>供货期限</w:t>
            </w:r>
          </w:p>
        </w:tc>
        <w:tc>
          <w:tcPr>
            <w:tcW w:w="5976" w:type="dxa"/>
            <w:vAlign w:val="center"/>
          </w:tcPr>
          <w:p w14:paraId="0715FFFD">
            <w:pPr>
              <w:spacing w:line="360" w:lineRule="auto"/>
              <w:jc w:val="left"/>
              <w:rPr>
                <w:rFonts w:hint="eastAsia" w:ascii="Times New Roman" w:hAnsi="Times New Roman" w:eastAsia="宋体" w:cs="Times New Roman"/>
                <w:bCs/>
                <w:kern w:val="0"/>
                <w:sz w:val="24"/>
                <w:szCs w:val="28"/>
              </w:rPr>
            </w:pPr>
            <w:r>
              <w:rPr>
                <w:rFonts w:hint="eastAsia" w:ascii="宋体" w:hAnsi="宋体" w:eastAsia="宋体" w:cs="宋体"/>
                <w:color w:val="auto"/>
                <w:sz w:val="24"/>
                <w:szCs w:val="24"/>
                <w:highlight w:val="none"/>
                <w:lang w:val="en-US" w:eastAsia="zh-CN"/>
              </w:rPr>
              <w:t>合同生效后，在每学期开学前两周将货物交付到采购人指定位置，并经验收合格。</w:t>
            </w:r>
          </w:p>
        </w:tc>
      </w:tr>
      <w:tr w14:paraId="420F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5151F9CF">
            <w:pPr>
              <w:pStyle w:val="8"/>
              <w:pBdr>
                <w:bottom w:val="none" w:color="auto" w:sz="0" w:space="0"/>
              </w:pBdr>
              <w:tabs>
                <w:tab w:val="clear" w:pos="4153"/>
                <w:tab w:val="clear" w:pos="8306"/>
              </w:tabs>
              <w:wordWrap w:val="0"/>
              <w:adjustRightInd/>
              <w:spacing w:line="240" w:lineRule="auto"/>
              <w:textAlignment w:val="auto"/>
              <w:rPr>
                <w:rFonts w:hint="eastAsia" w:ascii="宋体" w:hAnsi="宋体" w:eastAsia="宋体"/>
                <w:bCs/>
                <w:kern w:val="2"/>
              </w:rPr>
            </w:pPr>
            <w:r>
              <w:rPr>
                <w:rFonts w:hint="eastAsia" w:ascii="宋体" w:hAnsi="宋体" w:eastAsia="宋体"/>
                <w:bCs/>
                <w:kern w:val="2"/>
              </w:rPr>
              <w:t>4</w:t>
            </w:r>
          </w:p>
        </w:tc>
        <w:tc>
          <w:tcPr>
            <w:tcW w:w="2214" w:type="dxa"/>
            <w:vAlign w:val="center"/>
          </w:tcPr>
          <w:p w14:paraId="6B9C98E3">
            <w:pPr>
              <w:pStyle w:val="9"/>
              <w:widowControl w:val="0"/>
              <w:spacing w:before="0" w:beforeAutospacing="0" w:after="0" w:afterAutospacing="0"/>
              <w:rPr>
                <w:rFonts w:hint="eastAsia" w:ascii="宋体" w:hAnsi="宋体" w:eastAsia="宋体"/>
                <w:sz w:val="24"/>
              </w:rPr>
            </w:pPr>
            <w:r>
              <w:rPr>
                <w:rFonts w:ascii="Arial" w:hAnsi="Arial" w:eastAsia="宋体" w:cs="Arial"/>
                <w:b w:val="0"/>
                <w:sz w:val="24"/>
                <w:highlight w:val="none"/>
              </w:rPr>
              <w:t>免费质保期</w:t>
            </w:r>
          </w:p>
        </w:tc>
        <w:tc>
          <w:tcPr>
            <w:tcW w:w="5976" w:type="dxa"/>
            <w:vAlign w:val="center"/>
          </w:tcPr>
          <w:p w14:paraId="3CE6D95F">
            <w:pPr>
              <w:spacing w:line="360" w:lineRule="auto"/>
              <w:jc w:val="left"/>
              <w:rPr>
                <w:rFonts w:ascii="Times New Roman" w:hAnsi="Times New Roman" w:eastAsia="宋体" w:cs="Times New Roman"/>
                <w:bCs/>
                <w:kern w:val="0"/>
                <w:sz w:val="24"/>
                <w:szCs w:val="28"/>
              </w:rPr>
            </w:pPr>
            <w:r>
              <w:rPr>
                <w:rFonts w:hint="eastAsia" w:ascii="宋体" w:hAnsi="宋体" w:eastAsia="宋体"/>
                <w:color w:val="auto"/>
                <w:sz w:val="24"/>
                <w:highlight w:val="none"/>
              </w:rPr>
              <w:t>教材发放到学生手中后1个月。</w:t>
            </w:r>
          </w:p>
        </w:tc>
      </w:tr>
    </w:tbl>
    <w:p w14:paraId="03B91E0C">
      <w:pPr>
        <w:wordWrap w:val="0"/>
        <w:spacing w:line="360" w:lineRule="auto"/>
        <w:ind w:firstLine="437"/>
        <w:rPr>
          <w:rFonts w:ascii="Arial" w:hAnsi="Arial" w:eastAsia="宋体" w:cs="Arial"/>
          <w:b/>
          <w:sz w:val="28"/>
          <w:szCs w:val="28"/>
        </w:rPr>
      </w:pPr>
      <w:r>
        <w:rPr>
          <w:rFonts w:hint="eastAsia" w:ascii="Arial" w:hAnsi="Arial" w:eastAsia="宋体" w:cs="Arial"/>
          <w:b/>
          <w:sz w:val="28"/>
          <w:szCs w:val="28"/>
        </w:rPr>
        <w:t>二、货物需求</w:t>
      </w:r>
    </w:p>
    <w:p w14:paraId="6AB3C2CE">
      <w:pPr>
        <w:spacing w:line="360" w:lineRule="auto"/>
        <w:ind w:firstLine="437"/>
        <w:rPr>
          <w:rFonts w:hint="eastAsia" w:ascii="宋体" w:hAnsi="宋体" w:eastAsia="宋体"/>
          <w:b/>
          <w:bCs/>
          <w:sz w:val="24"/>
          <w:lang w:val="en-US" w:eastAsia="zh-CN"/>
        </w:rPr>
      </w:pPr>
      <w:r>
        <w:rPr>
          <w:rFonts w:hint="eastAsia" w:ascii="宋体" w:hAnsi="宋体" w:eastAsia="宋体"/>
          <w:b/>
          <w:bCs/>
          <w:sz w:val="24"/>
          <w:lang w:val="en-US" w:eastAsia="zh-CN"/>
        </w:rPr>
        <w:t>（1）招标内容</w:t>
      </w:r>
    </w:p>
    <w:p w14:paraId="09056C33">
      <w:pPr>
        <w:spacing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本次招标为安徽理工大学2026-2027学年学生教材采购，总码洋约900万元，共分为两包。</w:t>
      </w:r>
      <w:r>
        <w:rPr>
          <w:rFonts w:hint="eastAsia" w:ascii="宋体" w:hAnsi="宋体" w:eastAsia="宋体"/>
          <w:b/>
          <w:bCs/>
          <w:color w:val="FF0000"/>
          <w:sz w:val="24"/>
          <w:lang w:val="en-US" w:eastAsia="zh-CN"/>
        </w:rPr>
        <w:t>两包均包含“思想政治理论课”教材，两课教材按照折扣100%供货。</w:t>
      </w:r>
    </w:p>
    <w:p w14:paraId="05E38FBE">
      <w:pPr>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FF0000"/>
          <w:sz w:val="24"/>
          <w:szCs w:val="24"/>
          <w:highlight w:val="none"/>
          <w:lang w:val="en-US" w:eastAsia="zh-CN"/>
        </w:rPr>
        <w:t>第1包：教材1包，</w:t>
      </w:r>
      <w:r>
        <w:rPr>
          <w:rFonts w:hint="eastAsia" w:ascii="宋体" w:hAnsi="宋体" w:eastAsia="宋体" w:cs="宋体"/>
          <w:color w:val="auto"/>
          <w:sz w:val="24"/>
          <w:szCs w:val="24"/>
          <w:highlight w:val="none"/>
          <w:lang w:val="en-US" w:eastAsia="zh-CN"/>
        </w:rPr>
        <w:t>采购内容为：安全科学与工程学院、矿业工程学院、电气与信息工程学院、人工智能学院、化工与爆破学院、力学与光电物理学院、数学与大数据学院、空间信息与测绘工程学院、公共安全与应急管理学院、新能源与智能网联汽车学院、公共卫生学院、碳中和科学与工程学院12个学院的学生教材。总码洋约480万元，具体详见招标需求；</w:t>
      </w:r>
    </w:p>
    <w:p w14:paraId="046E05CA">
      <w:pPr>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FF0000"/>
          <w:sz w:val="24"/>
          <w:szCs w:val="24"/>
          <w:highlight w:val="none"/>
          <w:lang w:val="en-US" w:eastAsia="zh-CN"/>
        </w:rPr>
        <w:t>第2包：教材2包，</w:t>
      </w:r>
      <w:r>
        <w:rPr>
          <w:rFonts w:hint="eastAsia" w:ascii="宋体" w:hAnsi="宋体" w:eastAsia="宋体" w:cs="宋体"/>
          <w:color w:val="auto"/>
          <w:sz w:val="24"/>
          <w:szCs w:val="24"/>
          <w:highlight w:val="none"/>
        </w:rPr>
        <w:t>采购内容为：地球与环境学院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土木建筑学院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机电工程学院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材料科学与工程学院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计算机科学与工程学院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外国语学院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医学院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经济与管理学院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人文社会科学学院</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个学院学生教材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总码洋约420万元，具体详见招标需求。</w:t>
      </w:r>
    </w:p>
    <w:p w14:paraId="2C05DD1F">
      <w:pPr>
        <w:spacing w:line="360" w:lineRule="auto"/>
        <w:ind w:firstLine="437"/>
        <w:rPr>
          <w:rFonts w:hint="eastAsia" w:ascii="宋体" w:hAnsi="宋体" w:eastAsia="宋体"/>
          <w:b/>
          <w:bCs/>
          <w:sz w:val="24"/>
          <w:lang w:val="en-US" w:eastAsia="zh-CN"/>
        </w:rPr>
      </w:pPr>
      <w:r>
        <w:rPr>
          <w:rFonts w:hint="eastAsia" w:ascii="宋体" w:hAnsi="宋体" w:eastAsia="宋体"/>
          <w:b/>
          <w:bCs/>
          <w:sz w:val="24"/>
          <w:lang w:val="en-US" w:eastAsia="zh-CN"/>
        </w:rPr>
        <w:t>（2）教材采购、供货、配送和发放要求</w:t>
      </w:r>
    </w:p>
    <w:p w14:paraId="1C2CA03D">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2.1在整个教材采购周期内，供货方必须依据采购方教材订单，按照订单规定的到货时间、品种、数量，免运费直接送至采购方指定地点。采购方每份订单发出20天内应到货率必须达到 99 %以上，且全部教材课前到书率要达到100%。</w:t>
      </w:r>
    </w:p>
    <w:p w14:paraId="0214720B">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2.2供货方在收到采购方教材订单后，应立即联系出版社，组织进货，并确保 1 日内向采购方及时反馈教材征订的落实情况；供货方必须保证所提供教材为正版教材。</w:t>
      </w:r>
    </w:p>
    <w:p w14:paraId="3442F06D">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2.3供货方无条件接收采购方提供的追补教材订单（品种和数量不限），并保证在12小时内及时向采购方反馈追补教材的有无，以便我校重新选购教材。有现货的追订教材， 乙方必须保证在 5 个工作日内运到采购方指定地点（追加教材的折扣与中标的折扣一致）。</w:t>
      </w:r>
    </w:p>
    <w:p w14:paraId="0FE235BF">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2.4供货方因出版社无教材供应或出版时间有问题无法按时供货，必须在到征订单后3 个工作日内告知采购方，并向采购方主动告知所缺教材的出版社出书和准确供货时间，或配合甲方及时更换教材版本并重新组织进货。</w:t>
      </w:r>
    </w:p>
    <w:p w14:paraId="4963C763">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2.5采购方统一提供教材放置点，供货方全权负责货物的拆包、清点、入库和上架。送货时需附一式两联的送书清单（包括字段：ISBN、教材名称、版次、价格、作者、出版社、到货量、折扣、送货日期等信息）。供货方在包装上要分类标明教材名称，经采购方查验无误后，在一式两联的送书清单上签字确认。供货方要根据采购方要求，做好教材发放，以及多余教材的清点、退书工作。供货方必须配合采购方做好学生教材费决算工作。</w:t>
      </w:r>
    </w:p>
    <w:p w14:paraId="1832DE70">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2.6在履行合同的过程中，如采购方因招生计划、学生报到率和转专业等因素，而造成订购教材数量变化，供货方要保证教材的多退少补。对本次教材采购周期内的余书，供货方要无条件接受退书，不得收取任何费用。</w:t>
      </w:r>
    </w:p>
    <w:p w14:paraId="385800B2">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2.7发现有换版教材，不论上期由谁供应，在采购方选用新版教材时，对于老版教材供货方要负责全部调换。</w:t>
      </w:r>
    </w:p>
    <w:p w14:paraId="1DDEF857">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2.8供货方每学期订书前一个月无偿提供各大出版社教材征订目录20份，以及相关教材出版信息、发行资料、教材征订目录等，以供查询、征订。</w:t>
      </w:r>
    </w:p>
    <w:p w14:paraId="3C811836">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2.9供货方必须保证教材发货差错率低于3‰，采购方如果发现教材出现错发、漏发、破损或运输途中丢失，由供货方先无条件补发以确保及时用书，采购方事后退货。在此过程中所产生的一切费用，由供货方承担。</w:t>
      </w:r>
    </w:p>
    <w:p w14:paraId="3A43D73C">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2.10供货方须按照采购方要求，及时准确提供符合采购方格式要求的供货基础数据电子表（包括字段：订书学院、ISBN、教材名称、版次、价格、作者、出版社、用书学院、用书专业、年级、人数、学生订书量、教师订书量、总订书量、退书量、实际订书量、投标人名称、对应折扣）。</w:t>
      </w:r>
    </w:p>
    <w:p w14:paraId="2B0E7B70">
      <w:pPr>
        <w:spacing w:line="360" w:lineRule="auto"/>
        <w:ind w:firstLine="437"/>
        <w:rPr>
          <w:rFonts w:hint="eastAsia" w:ascii="宋体" w:hAnsi="宋体" w:eastAsia="宋体"/>
          <w:b/>
          <w:bCs/>
          <w:sz w:val="24"/>
          <w:lang w:val="en-US" w:eastAsia="zh-CN"/>
        </w:rPr>
      </w:pPr>
      <w:r>
        <w:rPr>
          <w:rFonts w:hint="eastAsia" w:ascii="宋体" w:hAnsi="宋体" w:eastAsia="宋体"/>
          <w:b/>
          <w:bCs/>
          <w:sz w:val="24"/>
          <w:lang w:val="en-US" w:eastAsia="zh-CN"/>
        </w:rPr>
        <w:t>（3）质量与检验要求</w:t>
      </w:r>
    </w:p>
    <w:p w14:paraId="7DE603F3">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1.教材印刷质量要求</w:t>
      </w:r>
    </w:p>
    <w:p w14:paraId="425A89E9">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1.1本标采购教材印刷质量执行《中华人民共和国产品质量法》及《图书质量管理规定》中的相关规定。</w:t>
      </w:r>
    </w:p>
    <w:p w14:paraId="4A0D32C4">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1.2印刷技术术语依据国家标准执行。</w:t>
      </w:r>
    </w:p>
    <w:p w14:paraId="6E24E505">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1.3书刊印刷质量评价和分级方法依据CY2-91标准。</w:t>
      </w:r>
    </w:p>
    <w:p w14:paraId="4C901C94">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2.封面印刷</w:t>
      </w:r>
    </w:p>
    <w:p w14:paraId="6CAD8C7D">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2.1套印准确，字、图、点、线印迹清楚，不花、不毛、不糊，实地版墨色均匀，无回胶印，背面不脏。</w:t>
      </w:r>
    </w:p>
    <w:p w14:paraId="37559AE0">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3.插图印刷</w:t>
      </w:r>
    </w:p>
    <w:p w14:paraId="725CE2DE">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3.1插印准确，层次分明，轮廓实。</w:t>
      </w:r>
    </w:p>
    <w:p w14:paraId="1A047942">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3.2网点清晰饱满，小点不秃，大点光洁不糊，质感好。</w:t>
      </w:r>
    </w:p>
    <w:p w14:paraId="5FC7043E">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3.3墨色均匀厚实，色彩鲜艳有光泽，肤色正，接版准确，色调深浅一致。</w:t>
      </w:r>
    </w:p>
    <w:p w14:paraId="75584171">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4.正文印刷</w:t>
      </w:r>
    </w:p>
    <w:p w14:paraId="5CDC972B">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4.1墨色：全书前后墨色一致，浓淡适度。</w:t>
      </w:r>
    </w:p>
    <w:p w14:paraId="5685D9AA">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4.2套印：版面端正，正反套印准确。</w:t>
      </w:r>
    </w:p>
    <w:p w14:paraId="486248D4">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4.3文字：文字、标点清晰，笔锋挺秀，无缺笔断划，标题黑实不花，小字不糊不瞎。</w:t>
      </w:r>
    </w:p>
    <w:p w14:paraId="3831A1A0">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4.4其它：书面无脏污、破损，无钉花、野墨。</w:t>
      </w:r>
    </w:p>
    <w:p w14:paraId="3E07E942">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5.装订</w:t>
      </w:r>
    </w:p>
    <w:p w14:paraId="0F404E70">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5.1开本尺寸符合设计要求，套书规格一致，成品裁切方正，无明显刀花，无连接页、折角、破头。</w:t>
      </w:r>
    </w:p>
    <w:p w14:paraId="34939094">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5.2书脊平整，无空脊、起泡、明显皱纹，书脊字居中，封面齐色，边框要色正。</w:t>
      </w:r>
    </w:p>
    <w:p w14:paraId="1A5CC593">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5.3全书页码折正，书面平服，无皱纹、凸肚，钉距匀称，坚实牢固，易翻不脱页无缺页、重页、倒装。</w:t>
      </w:r>
    </w:p>
    <w:p w14:paraId="0C20413F">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5.4其它：书目整洁，无脏污、破页、野胶。</w:t>
      </w:r>
    </w:p>
    <w:p w14:paraId="0092538A">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6.包装要求</w:t>
      </w:r>
    </w:p>
    <w:p w14:paraId="5DC96118">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6.1供货方应提供教材运至合同规定的最终目的地所需要的包装，以防止教材在运输中损坏或变质。</w:t>
      </w:r>
    </w:p>
    <w:p w14:paraId="5FF0AF1C">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6.2包装应采取防潮，防腐及防止其他损坏的必要保护措施，从而保护教材能够经受多次搬运、装卸及各种长途运输。</w:t>
      </w:r>
    </w:p>
    <w:p w14:paraId="473083C9">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6.3包装（箱）内应附有详细的装箱单和验收单，包装（箱）外应附有清晰、牢固的发货单。</w:t>
      </w:r>
    </w:p>
    <w:p w14:paraId="08878EAE">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7.检验要求</w:t>
      </w:r>
    </w:p>
    <w:p w14:paraId="6B24DD20">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7.1供货方提供给甲方的教材必须保证是从国家正式出版社进货的正版教材。甲方如果发现乙方所供教材中有盗版书，甲方就有权没收乙方的履约保证金，并处以该教材总码洋5-10倍的罚金，直至终止合同。</w:t>
      </w:r>
    </w:p>
    <w:p w14:paraId="2F682287">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7.2采购方如果发现所供教材外观不洁、破损、霉变，或出现断页、缺页、印装错误等质量问题的，供货方应对不符合要求的教材及时无条件进行更换，不得影响采购方的教学使用，由此造成的损失均由供货方承担。</w:t>
      </w:r>
    </w:p>
    <w:p w14:paraId="4D87D982">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7.3如果采购方确认需要进行教材质量检验，通过检验证明教材存在质量问题，则检验的费用由供货方承担。检验在供货方交货的最终目的地进行。</w:t>
      </w:r>
    </w:p>
    <w:p w14:paraId="53E55851">
      <w:pPr>
        <w:spacing w:line="360" w:lineRule="auto"/>
        <w:ind w:firstLine="437"/>
        <w:rPr>
          <w:rFonts w:hint="eastAsia" w:ascii="宋体" w:hAnsi="宋体" w:eastAsia="宋体"/>
          <w:sz w:val="24"/>
          <w:lang w:val="en-US" w:eastAsia="zh-CN"/>
        </w:rPr>
      </w:pPr>
      <w:r>
        <w:rPr>
          <w:rFonts w:hint="eastAsia" w:ascii="宋体" w:hAnsi="宋体" w:eastAsia="宋体"/>
          <w:b/>
          <w:bCs/>
          <w:sz w:val="24"/>
          <w:lang w:val="en-US" w:eastAsia="zh-CN"/>
        </w:rPr>
        <w:t>三、投标报价要求</w:t>
      </w:r>
    </w:p>
    <w:p w14:paraId="61E58ABC">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1、教材报价按教材码洋统一折扣报价。</w:t>
      </w:r>
    </w:p>
    <w:p w14:paraId="3843FD0C">
      <w:pPr>
        <w:spacing w:line="360" w:lineRule="auto"/>
        <w:ind w:firstLine="437"/>
        <w:rPr>
          <w:rFonts w:hint="eastAsia" w:ascii="宋体" w:hAnsi="宋体" w:eastAsia="宋体"/>
          <w:b/>
          <w:bCs/>
          <w:sz w:val="24"/>
          <w:lang w:val="en-US" w:eastAsia="zh-CN"/>
        </w:rPr>
      </w:pPr>
      <w:r>
        <w:rPr>
          <w:rFonts w:hint="eastAsia" w:ascii="宋体" w:hAnsi="宋体" w:eastAsia="宋体" w:cs="@仿宋_GB2312"/>
          <w:b/>
          <w:bCs/>
          <w:sz w:val="24"/>
        </w:rPr>
        <w:t>备注：折扣定义：即商品购销中的让利，是指经营者在销售商品时，以明示并如实入帐的方式给予对方的价格优惠（折扣就是打几折，如打8折，就是80%）</w:t>
      </w:r>
    </w:p>
    <w:p w14:paraId="694F7D7D">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2、投标人的投标报价应遵守《中华人民共和国价格法》。</w:t>
      </w:r>
    </w:p>
    <w:p w14:paraId="08303AC8">
      <w:pPr>
        <w:spacing w:line="360" w:lineRule="auto"/>
        <w:ind w:firstLine="437"/>
        <w:rPr>
          <w:rFonts w:hint="eastAsia" w:ascii="宋体" w:hAnsi="宋体" w:eastAsia="宋体"/>
          <w:sz w:val="24"/>
          <w:lang w:val="en-US" w:eastAsia="zh-CN"/>
        </w:rPr>
      </w:pPr>
      <w:r>
        <w:rPr>
          <w:rFonts w:hint="eastAsia" w:ascii="宋体" w:hAnsi="宋体" w:eastAsia="宋体"/>
          <w:sz w:val="24"/>
          <w:lang w:val="en-US" w:eastAsia="zh-CN"/>
        </w:rPr>
        <w:t>3、教材报价是指包含教材及随书附件（光盘、软件等）的成本费、运输装卸搬运费、售前售中售后服务费、履行质保期义务、合理的利润及所有税费的总和。</w:t>
      </w:r>
    </w:p>
    <w:p w14:paraId="542D9ED2">
      <w:r>
        <w:rPr>
          <w:rFonts w:hint="eastAsia" w:ascii="宋体" w:hAnsi="宋体" w:eastAsia="宋体"/>
          <w:sz w:val="24"/>
          <w:lang w:val="en-US" w:eastAsia="zh-CN"/>
        </w:rPr>
        <w:t>4、投标文件只允许唯一的投标报价，招标人不接受任何选择性的报价。</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decorative"/>
    <w:pitch w:val="default"/>
    <w:sig w:usb0="00000000" w:usb1="00000000" w:usb2="00000000" w:usb3="00000000" w:csb0="00040000" w:csb1="00000000"/>
  </w:font>
  <w:font w:name="楷体_GB2312">
    <w:altName w:val="楷体"/>
    <w:panose1 w:val="00000000000000000000"/>
    <w:charset w:val="86"/>
    <w:family w:val="roma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AB5DDA"/>
    <w:rsid w:val="6BAB5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left="420" w:firstLine="420" w:firstLineChars="200"/>
    </w:pPr>
    <w:rPr>
      <w:rFonts w:ascii="Times New Roman" w:cs="Times New Roman"/>
    </w:rPr>
  </w:style>
  <w:style w:type="paragraph" w:styleId="3">
    <w:name w:val="Body Text Indent"/>
    <w:basedOn w:val="1"/>
    <w:next w:val="4"/>
    <w:unhideWhenUsed/>
    <w:qFormat/>
    <w:uiPriority w:val="99"/>
    <w:pPr>
      <w:ind w:firstLine="645"/>
    </w:pPr>
    <w:rPr>
      <w:rFonts w:ascii="楷体_GB2312" w:eastAsia="楷体_GB2312"/>
      <w:sz w:val="32"/>
    </w:rPr>
  </w:style>
  <w:style w:type="paragraph" w:styleId="4">
    <w:name w:val="envelope return"/>
    <w:basedOn w:val="1"/>
    <w:qFormat/>
    <w:uiPriority w:val="99"/>
    <w:pPr>
      <w:snapToGrid w:val="0"/>
    </w:pPr>
    <w:rPr>
      <w:rFonts w:ascii="Arial" w:hAnsi="Arial" w:cs="Arial"/>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D&amp;L"/>
    <w:basedOn w:val="5"/>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9">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2026-07-09T01:51:00Z</dcterms:created>
  <dc:creator>森</dc:creator>
  <cp:lastModifiedBy>森</cp:lastModifiedBy>
  <dcterms:modified xsi:type="dcterms:W3CDTF">2026-07-09T01:51:24Z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DC0322329B344EFDBE0935726370C899_11</vt:lpwstr>
  </property>
  <property fmtid="{D5CDD505-2E9C-101B-9397-08002B2CF9AE}" pid="4" name="KSOTemplateDocerSaveRecord">
    <vt:lpwstr>eyJoZGlkIjoiOTc3M2Y5NzIzMDFlZjAyY2Q4Njk5ODkyYjFjNzBiNTQiLCJ1c2VySWQiOiI0MzAwMTYzNzkifQ==</vt:lpwstr>
  </property>
</Properties>
</file>