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6BAF7">
      <w:pPr>
        <w:pStyle w:val="5"/>
        <w:wordWrap w:val="0"/>
        <w:jc w:val="center"/>
        <w:rPr>
          <w:rFonts w:ascii="华文中宋" w:hAnsi="华文中宋" w:eastAsia="华文中宋" w:cs="Times New Roman"/>
          <w:kern w:val="44"/>
          <w:sz w:val="44"/>
          <w:szCs w:val="44"/>
        </w:rPr>
      </w:pPr>
      <w:bookmarkStart w:id="0" w:name="_Toc4943"/>
      <w:r>
        <w:rPr>
          <w:rFonts w:hint="eastAsia" w:ascii="华文中宋" w:hAnsi="华文中宋" w:eastAsia="华文中宋" w:cs="Times New Roman"/>
          <w:kern w:val="44"/>
          <w:sz w:val="44"/>
          <w:szCs w:val="44"/>
        </w:rPr>
        <w:t>第三章  招标需求</w:t>
      </w:r>
      <w:bookmarkEnd w:id="0"/>
    </w:p>
    <w:p w14:paraId="0D188A0A">
      <w:pPr>
        <w:wordWrap w:val="0"/>
        <w:spacing w:line="360" w:lineRule="auto"/>
        <w:rPr>
          <w:rFonts w:ascii="宋体" w:hAnsi="宋体" w:eastAsia="宋体"/>
          <w:b/>
          <w:sz w:val="24"/>
        </w:rPr>
      </w:pPr>
      <w:r>
        <w:rPr>
          <w:rFonts w:hint="eastAsia" w:ascii="宋体" w:hAnsi="宋体" w:eastAsia="宋体"/>
          <w:b/>
          <w:sz w:val="24"/>
        </w:rPr>
        <w:t>前注：</w:t>
      </w:r>
    </w:p>
    <w:p w14:paraId="06B79CD9">
      <w:pPr>
        <w:wordWrap w:val="0"/>
        <w:spacing w:line="360" w:lineRule="auto"/>
        <w:ind w:firstLine="437"/>
        <w:rPr>
          <w:rFonts w:ascii="宋体" w:hAnsi="宋体" w:eastAsia="宋体"/>
          <w:sz w:val="24"/>
        </w:rPr>
      </w:pPr>
      <w:r>
        <w:rPr>
          <w:rFonts w:ascii="宋体" w:hAnsi="宋体" w:eastAsia="宋体"/>
          <w:sz w:val="24"/>
        </w:rPr>
        <w:t>本说明中提出的</w:t>
      </w:r>
      <w:r>
        <w:rPr>
          <w:rFonts w:hint="eastAsia" w:ascii="宋体" w:hAnsi="宋体" w:eastAsia="宋体"/>
          <w:sz w:val="24"/>
        </w:rPr>
        <w:t>服务</w:t>
      </w:r>
      <w:r>
        <w:rPr>
          <w:rFonts w:ascii="宋体" w:hAnsi="宋体" w:eastAsia="宋体"/>
          <w:sz w:val="24"/>
        </w:rPr>
        <w:t>方案仅为参考，如无明确限制，</w:t>
      </w:r>
      <w:r>
        <w:rPr>
          <w:rFonts w:hint="eastAsia" w:ascii="宋体" w:hAnsi="宋体" w:eastAsia="宋体"/>
          <w:sz w:val="24"/>
        </w:rPr>
        <w:t>投标人</w:t>
      </w:r>
      <w:r>
        <w:rPr>
          <w:rFonts w:ascii="宋体" w:hAnsi="宋体" w:eastAsia="宋体"/>
          <w:sz w:val="24"/>
        </w:rPr>
        <w:t>可以进行优化，提供满足用户实际需要的更优（或者性能实质上不低于的）</w:t>
      </w:r>
      <w:r>
        <w:rPr>
          <w:rFonts w:hint="eastAsia" w:ascii="宋体" w:hAnsi="宋体" w:eastAsia="宋体"/>
          <w:sz w:val="24"/>
        </w:rPr>
        <w:t>服务</w:t>
      </w:r>
      <w:r>
        <w:rPr>
          <w:rFonts w:ascii="宋体" w:hAnsi="宋体" w:eastAsia="宋体"/>
          <w:sz w:val="24"/>
        </w:rPr>
        <w:t>方案，且此方案须经</w:t>
      </w:r>
      <w:r>
        <w:rPr>
          <w:rFonts w:hint="eastAsia" w:ascii="宋体" w:hAnsi="宋体" w:eastAsia="宋体"/>
          <w:sz w:val="24"/>
        </w:rPr>
        <w:t>评标委员会评标</w:t>
      </w:r>
      <w:r>
        <w:rPr>
          <w:rFonts w:ascii="宋体" w:hAnsi="宋体" w:eastAsia="宋体"/>
          <w:sz w:val="24"/>
        </w:rPr>
        <w:t>认可</w:t>
      </w:r>
      <w:r>
        <w:rPr>
          <w:rFonts w:hint="eastAsia" w:ascii="宋体" w:hAnsi="宋体" w:eastAsia="宋体"/>
          <w:sz w:val="24"/>
        </w:rPr>
        <w:t>。</w:t>
      </w:r>
    </w:p>
    <w:p w14:paraId="59877AEC">
      <w:pPr>
        <w:wordWrap w:val="0"/>
        <w:spacing w:line="360" w:lineRule="auto"/>
        <w:ind w:firstLine="437"/>
        <w:rPr>
          <w:rFonts w:ascii="Arial" w:hAnsi="Arial" w:eastAsia="宋体" w:cs="Arial"/>
          <w:b/>
          <w:sz w:val="28"/>
          <w:szCs w:val="28"/>
        </w:rPr>
      </w:pPr>
      <w:r>
        <w:rPr>
          <w:rFonts w:ascii="Arial" w:hAnsi="Arial" w:eastAsia="宋体" w:cs="Arial"/>
          <w:b/>
          <w:sz w:val="28"/>
          <w:szCs w:val="28"/>
        </w:rPr>
        <w:t>一、</w:t>
      </w:r>
      <w:r>
        <w:rPr>
          <w:rFonts w:hint="eastAsia" w:ascii="Arial" w:hAnsi="Arial" w:eastAsia="宋体" w:cs="Arial"/>
          <w:b/>
          <w:sz w:val="28"/>
          <w:szCs w:val="28"/>
        </w:rPr>
        <w:t>招标需求</w:t>
      </w:r>
      <w:r>
        <w:rPr>
          <w:rFonts w:ascii="Arial" w:hAnsi="Arial" w:eastAsia="宋体" w:cs="Arial"/>
          <w:b/>
          <w:sz w:val="28"/>
          <w:szCs w:val="28"/>
        </w:rPr>
        <w:t>前附表</w:t>
      </w:r>
    </w:p>
    <w:tbl>
      <w:tblPr>
        <w:tblStyle w:val="7"/>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2213"/>
        <w:gridCol w:w="5977"/>
      </w:tblGrid>
      <w:tr w14:paraId="70F0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0FBAE910">
            <w:pPr>
              <w:pStyle w:val="9"/>
              <w:pBdr>
                <w:bottom w:val="none" w:color="auto" w:sz="0" w:space="0"/>
              </w:pBdr>
              <w:tabs>
                <w:tab w:val="clear" w:pos="4153"/>
                <w:tab w:val="clear" w:pos="8306"/>
              </w:tabs>
              <w:wordWrap w:val="0"/>
              <w:adjustRightInd/>
              <w:spacing w:line="240" w:lineRule="auto"/>
              <w:textAlignment w:val="auto"/>
              <w:rPr>
                <w:rFonts w:ascii="宋体" w:hAnsi="宋体" w:eastAsia="宋体" w:cs="@仿宋_GB2312"/>
                <w:b/>
                <w:kern w:val="2"/>
                <w:lang w:val="en-US" w:eastAsia="zh-CN"/>
              </w:rPr>
            </w:pPr>
            <w:r>
              <w:rPr>
                <w:rFonts w:hint="eastAsia" w:ascii="宋体" w:hAnsi="宋体" w:eastAsia="宋体" w:cs="@仿宋_GB2312"/>
                <w:b/>
                <w:kern w:val="2"/>
                <w:lang w:val="en-US" w:eastAsia="zh-CN"/>
              </w:rPr>
              <w:t>序号</w:t>
            </w:r>
          </w:p>
        </w:tc>
        <w:tc>
          <w:tcPr>
            <w:tcW w:w="2213" w:type="dxa"/>
            <w:noWrap w:val="0"/>
            <w:vAlign w:val="center"/>
          </w:tcPr>
          <w:p w14:paraId="76AECA4C">
            <w:pPr>
              <w:pStyle w:val="10"/>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5977" w:type="dxa"/>
            <w:noWrap w:val="0"/>
            <w:vAlign w:val="center"/>
          </w:tcPr>
          <w:p w14:paraId="3FBB3738">
            <w:pPr>
              <w:pStyle w:val="10"/>
              <w:widowControl w:val="0"/>
              <w:wordWrap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21C4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06CB67B7">
            <w:pPr>
              <w:pStyle w:val="9"/>
              <w:pBdr>
                <w:bottom w:val="none" w:color="auto" w:sz="0" w:space="0"/>
              </w:pBdr>
              <w:tabs>
                <w:tab w:val="clear" w:pos="4153"/>
                <w:tab w:val="clear" w:pos="8306"/>
              </w:tabs>
              <w:wordWrap w:val="0"/>
              <w:adjustRightInd/>
              <w:spacing w:line="24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1</w:t>
            </w:r>
          </w:p>
        </w:tc>
        <w:tc>
          <w:tcPr>
            <w:tcW w:w="2213" w:type="dxa"/>
            <w:noWrap w:val="0"/>
            <w:vAlign w:val="center"/>
          </w:tcPr>
          <w:p w14:paraId="1BC35668">
            <w:pPr>
              <w:pStyle w:val="10"/>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5977" w:type="dxa"/>
            <w:noWrap w:val="0"/>
            <w:vAlign w:val="center"/>
          </w:tcPr>
          <w:p w14:paraId="3C80AE68">
            <w:pPr>
              <w:pStyle w:val="10"/>
              <w:widowControl w:val="0"/>
              <w:wordWrap w:val="0"/>
              <w:spacing w:before="0" w:beforeAutospacing="0" w:after="0" w:afterAutospacing="0" w:line="360" w:lineRule="auto"/>
              <w:jc w:val="left"/>
              <w:rPr>
                <w:rFonts w:hint="eastAsia" w:ascii="宋体" w:hAnsi="宋体" w:eastAsia="宋体"/>
                <w:b w:val="0"/>
                <w:sz w:val="24"/>
                <w:lang w:bidi="ar"/>
              </w:rPr>
            </w:pPr>
            <w:r>
              <w:rPr>
                <w:rFonts w:hint="eastAsia" w:ascii="宋体" w:hAnsi="宋体" w:eastAsia="宋体"/>
                <w:b w:val="0"/>
                <w:sz w:val="24"/>
                <w:lang w:bidi="ar"/>
              </w:rPr>
              <w:t>合同签订后付30%，项目开发完成，服务期满付尾款。</w:t>
            </w:r>
          </w:p>
        </w:tc>
      </w:tr>
      <w:tr w14:paraId="16C0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0DDF626D">
            <w:pPr>
              <w:pStyle w:val="9"/>
              <w:pBdr>
                <w:bottom w:val="none" w:color="auto" w:sz="0" w:space="0"/>
              </w:pBdr>
              <w:tabs>
                <w:tab w:val="clear" w:pos="4153"/>
                <w:tab w:val="clear" w:pos="8306"/>
              </w:tabs>
              <w:wordWrap w:val="0"/>
              <w:adjustRightInd/>
              <w:spacing w:line="24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2</w:t>
            </w:r>
          </w:p>
        </w:tc>
        <w:tc>
          <w:tcPr>
            <w:tcW w:w="2213" w:type="dxa"/>
            <w:noWrap w:val="0"/>
            <w:vAlign w:val="center"/>
          </w:tcPr>
          <w:p w14:paraId="09A07CE5">
            <w:pPr>
              <w:pStyle w:val="10"/>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5977" w:type="dxa"/>
            <w:noWrap w:val="0"/>
            <w:vAlign w:val="center"/>
          </w:tcPr>
          <w:p w14:paraId="37E252F8">
            <w:pPr>
              <w:pStyle w:val="10"/>
              <w:widowControl w:val="0"/>
              <w:wordWrap w:val="0"/>
              <w:spacing w:before="0" w:beforeAutospacing="0" w:after="0" w:afterAutospacing="0" w:line="360" w:lineRule="auto"/>
              <w:jc w:val="left"/>
              <w:rPr>
                <w:rFonts w:hint="eastAsia" w:ascii="宋体" w:hAnsi="宋体" w:eastAsia="宋体"/>
                <w:b w:val="0"/>
                <w:sz w:val="24"/>
                <w:lang w:bidi="ar"/>
              </w:rPr>
            </w:pPr>
            <w:r>
              <w:rPr>
                <w:rFonts w:hint="eastAsia" w:ascii="宋体" w:hAnsi="宋体" w:eastAsia="宋体"/>
                <w:b w:val="0"/>
                <w:sz w:val="24"/>
                <w:lang w:bidi="ar"/>
              </w:rPr>
              <w:t>安徽省疾病预防控制中心或采购人指定地点</w:t>
            </w:r>
          </w:p>
        </w:tc>
      </w:tr>
      <w:tr w14:paraId="6A631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98" w:type="dxa"/>
            <w:noWrap w:val="0"/>
            <w:vAlign w:val="center"/>
          </w:tcPr>
          <w:p w14:paraId="0DDF5328">
            <w:pPr>
              <w:pStyle w:val="9"/>
              <w:pBdr>
                <w:bottom w:val="none" w:color="auto" w:sz="0" w:space="0"/>
              </w:pBdr>
              <w:tabs>
                <w:tab w:val="clear" w:pos="4153"/>
                <w:tab w:val="clear" w:pos="8306"/>
              </w:tabs>
              <w:wordWrap w:val="0"/>
              <w:adjustRightInd/>
              <w:spacing w:line="240" w:lineRule="auto"/>
              <w:textAlignment w:val="auto"/>
              <w:rPr>
                <w:rFonts w:ascii="宋体" w:hAnsi="宋体" w:eastAsia="宋体" w:cs="@仿宋_GB2312"/>
                <w:bCs/>
                <w:kern w:val="2"/>
                <w:lang w:val="en-US" w:eastAsia="zh-CN"/>
              </w:rPr>
            </w:pPr>
            <w:r>
              <w:rPr>
                <w:rFonts w:hint="eastAsia" w:ascii="宋体" w:hAnsi="宋体" w:eastAsia="宋体" w:cs="@仿宋_GB2312"/>
                <w:bCs/>
                <w:kern w:val="2"/>
                <w:lang w:val="en-US" w:eastAsia="zh-CN"/>
              </w:rPr>
              <w:t>3</w:t>
            </w:r>
          </w:p>
        </w:tc>
        <w:tc>
          <w:tcPr>
            <w:tcW w:w="2213" w:type="dxa"/>
            <w:noWrap w:val="0"/>
            <w:vAlign w:val="center"/>
          </w:tcPr>
          <w:p w14:paraId="55DE7E07">
            <w:pPr>
              <w:pStyle w:val="10"/>
              <w:widowControl w:val="0"/>
              <w:wordWrap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5977" w:type="dxa"/>
            <w:noWrap w:val="0"/>
            <w:vAlign w:val="center"/>
          </w:tcPr>
          <w:p w14:paraId="57E51D4E">
            <w:pPr>
              <w:pStyle w:val="10"/>
              <w:widowControl w:val="0"/>
              <w:wordWrap w:val="0"/>
              <w:spacing w:before="0" w:beforeAutospacing="0" w:after="0" w:afterAutospacing="0" w:line="360" w:lineRule="auto"/>
              <w:jc w:val="left"/>
              <w:rPr>
                <w:rFonts w:hint="eastAsia" w:ascii="宋体" w:hAnsi="宋体" w:eastAsia="宋体"/>
                <w:b w:val="0"/>
                <w:sz w:val="24"/>
                <w:lang w:bidi="ar"/>
              </w:rPr>
            </w:pPr>
            <w:r>
              <w:rPr>
                <w:rFonts w:hint="eastAsia" w:ascii="宋体" w:hAnsi="宋体" w:eastAsia="宋体"/>
                <w:b w:val="0"/>
                <w:sz w:val="24"/>
                <w:lang w:bidi="ar"/>
              </w:rPr>
              <w:t>自合同签订之日起，2个月内完成系统部署并上线试运行</w:t>
            </w:r>
            <w:r>
              <w:rPr>
                <w:rFonts w:hint="eastAsia" w:ascii="宋体" w:hAnsi="宋体" w:eastAsia="宋体"/>
                <w:b w:val="0"/>
                <w:sz w:val="24"/>
                <w:lang w:eastAsia="zh-CN" w:bidi="ar"/>
              </w:rPr>
              <w:t>，</w:t>
            </w:r>
            <w:r>
              <w:rPr>
                <w:rFonts w:hint="eastAsia" w:ascii="宋体" w:hAnsi="宋体" w:eastAsia="宋体"/>
                <w:b w:val="0"/>
                <w:sz w:val="24"/>
                <w:lang w:bidi="ar"/>
              </w:rPr>
              <w:t>且满足使用要求，进入一年技术服务期</w:t>
            </w:r>
          </w:p>
        </w:tc>
      </w:tr>
    </w:tbl>
    <w:p w14:paraId="7EF5B435">
      <w:pPr>
        <w:adjustRightInd w:val="0"/>
        <w:snapToGrid w:val="0"/>
        <w:spacing w:after="0" w:line="360" w:lineRule="auto"/>
        <w:ind w:firstLine="562" w:firstLineChars="200"/>
        <w:jc w:val="both"/>
        <w:rPr>
          <w:rFonts w:ascii="仿宋" w:hAnsi="仿宋" w:eastAsia="仿宋"/>
          <w:b/>
          <w:bCs/>
          <w:sz w:val="28"/>
          <w:szCs w:val="28"/>
        </w:rPr>
      </w:pPr>
      <w:r>
        <w:rPr>
          <w:rFonts w:hint="eastAsia" w:ascii="Arial" w:hAnsi="Arial" w:eastAsia="宋体" w:cs="Arial"/>
          <w:b/>
          <w:sz w:val="28"/>
          <w:szCs w:val="28"/>
        </w:rPr>
        <w:t>二、</w:t>
      </w:r>
      <w:r>
        <w:rPr>
          <w:rFonts w:hint="eastAsia" w:ascii="仿宋" w:hAnsi="仿宋" w:eastAsia="仿宋"/>
          <w:b/>
          <w:bCs/>
          <w:sz w:val="28"/>
          <w:szCs w:val="28"/>
        </w:rPr>
        <w:t>项目概况</w:t>
      </w:r>
    </w:p>
    <w:p w14:paraId="3ED0342F">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为更好地预防和控制近视等学生常见病，根据《安徽省学生常见病和健康影响因素监测与干预工作方案》，通过更高效、快速地采集与分析监测数据，掌握学生常见病情况及学生健康的影响因素，才能有针对性地开展各项干预工作。为解决基层数据采集、数据统计分析、各级疾控数据上报工作的实际困难，以便更高效地开展学生常见病和健康影响因素监测工作，决定采购安徽省学生常见病和健康影响因素监测技术服务。</w:t>
      </w:r>
    </w:p>
    <w:p w14:paraId="1A56BAA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本次采购1年期安徽省学生常见病和健康影响因素监测技术服务，满足我省25万余名学生的常见病筛查及健康影响因素问卷调查需求，实现疾控机构、医疗机构调查工作开展以及学生和家长信息反馈，并确保收集的调查数据安全。</w:t>
      </w:r>
    </w:p>
    <w:p w14:paraId="229DDF1F">
      <w:pPr>
        <w:adjustRightInd w:val="0"/>
        <w:snapToGrid w:val="0"/>
        <w:spacing w:after="0" w:line="360" w:lineRule="auto"/>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三</w:t>
      </w:r>
      <w:r>
        <w:rPr>
          <w:rFonts w:hint="eastAsia" w:ascii="宋体" w:hAnsi="宋体" w:eastAsia="宋体" w:cs="宋体"/>
          <w:b/>
          <w:bCs/>
          <w:sz w:val="28"/>
          <w:szCs w:val="28"/>
        </w:rPr>
        <w:t>、供应商技术服务要求</w:t>
      </w:r>
    </w:p>
    <w:p w14:paraId="0501FB10">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（一）总体技术要求</w:t>
      </w:r>
    </w:p>
    <w:p w14:paraId="151D85C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（1）提供本次服务开展所需的信息系统及系统运行所需的软硬件资源。系统采用B/S架构，具备灵活性、可扩展性和良好的可维护性，应满足项目开展所需的数据采集、质控要求、统计分析等需求。</w:t>
      </w:r>
    </w:p>
    <w:p w14:paraId="358F71A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（2）系统支持16个市和104个县区使用，覆盖不少于25万名学生监测。满足10000名以上的在线用户、1000名以上的并发用户、除报表生成外，单页面响应时间小于2秒的性能指标。</w:t>
      </w:r>
    </w:p>
    <w:p w14:paraId="011B4BFA">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（3）系统产生的所有数据归招标方所有，未经允许</w:t>
      </w:r>
      <w:r>
        <w:rPr>
          <w:rFonts w:hint="eastAsia" w:ascii="宋体" w:hAnsi="宋体" w:eastAsia="宋体" w:cs="宋体"/>
          <w:sz w:val="24"/>
          <w:szCs w:val="24"/>
          <w:lang w:val="en-US" w:eastAsia="zh-CN"/>
        </w:rPr>
        <w:t>中标人</w:t>
      </w:r>
      <w:r>
        <w:rPr>
          <w:rFonts w:hint="eastAsia" w:ascii="宋体" w:hAnsi="宋体" w:eastAsia="宋体" w:cs="宋体"/>
          <w:sz w:val="24"/>
          <w:szCs w:val="24"/>
        </w:rPr>
        <w:t>不得以任何形式使用、下载或泄露原始数据，否则招标方有权追究供应商法律责任。</w:t>
      </w:r>
    </w:p>
    <w:p w14:paraId="019ACA45">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（二）运维与安全服务</w:t>
      </w:r>
    </w:p>
    <w:p w14:paraId="530BEA6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w:t>
      </w:r>
      <w:r>
        <w:rPr>
          <w:rFonts w:hint="eastAsia" w:ascii="宋体" w:hAnsi="宋体" w:eastAsia="宋体" w:cs="宋体"/>
          <w:sz w:val="24"/>
          <w:szCs w:val="24"/>
        </w:rPr>
        <w:t>所提供的系统应满足信息系统三级等保标准建设要求</w:t>
      </w:r>
      <w:r>
        <w:rPr>
          <w:rFonts w:hint="eastAsia" w:ascii="宋体" w:hAnsi="宋体" w:eastAsia="宋体" w:cs="宋体"/>
          <w:sz w:val="24"/>
          <w:szCs w:val="24"/>
          <w:lang w:eastAsia="zh-CN"/>
        </w:rPr>
        <w:t>（</w:t>
      </w:r>
      <w:r>
        <w:rPr>
          <w:rFonts w:hint="eastAsia" w:ascii="宋体" w:hAnsi="宋体" w:eastAsia="宋体"/>
          <w:b/>
          <w:bCs/>
          <w:sz w:val="24"/>
        </w:rPr>
        <w:t>投标文件中须提供</w:t>
      </w:r>
      <w:r>
        <w:rPr>
          <w:rFonts w:hint="eastAsia" w:ascii="宋体" w:hAnsi="宋体" w:eastAsia="宋体"/>
          <w:b/>
          <w:bCs/>
          <w:sz w:val="24"/>
          <w:lang w:val="en-US" w:eastAsia="zh-CN"/>
        </w:rPr>
        <w:t>有效的三级等保证明材料</w:t>
      </w:r>
      <w:r>
        <w:rPr>
          <w:rFonts w:hint="eastAsia" w:ascii="宋体" w:hAnsi="宋体" w:eastAsia="宋体" w:cs="宋体"/>
          <w:sz w:val="24"/>
          <w:szCs w:val="24"/>
          <w:lang w:eastAsia="zh-CN"/>
        </w:rPr>
        <w:t>）</w:t>
      </w:r>
      <w:r>
        <w:rPr>
          <w:rFonts w:hint="eastAsia" w:ascii="宋体" w:hAnsi="宋体" w:eastAsia="宋体" w:cs="宋体"/>
          <w:sz w:val="24"/>
          <w:szCs w:val="24"/>
        </w:rPr>
        <w:t>，</w:t>
      </w:r>
      <w:r>
        <w:rPr>
          <w:rFonts w:hint="eastAsia" w:ascii="宋体" w:hAnsi="宋体" w:eastAsia="宋体" w:cs="宋体"/>
          <w:sz w:val="24"/>
          <w:szCs w:val="24"/>
          <w:lang w:val="en-US" w:eastAsia="zh-CN"/>
        </w:rPr>
        <w:t>投标人</w:t>
      </w:r>
      <w:r>
        <w:rPr>
          <w:rFonts w:hint="eastAsia" w:ascii="宋体" w:hAnsi="宋体" w:eastAsia="宋体" w:cs="宋体"/>
          <w:sz w:val="24"/>
          <w:szCs w:val="24"/>
        </w:rPr>
        <w:t>须与</w:t>
      </w:r>
      <w:r>
        <w:rPr>
          <w:rFonts w:hint="eastAsia" w:ascii="宋体" w:hAnsi="宋体" w:eastAsia="宋体" w:cs="宋体"/>
          <w:sz w:val="24"/>
          <w:szCs w:val="24"/>
          <w:lang w:val="en-US" w:eastAsia="zh-CN"/>
        </w:rPr>
        <w:t>招标人</w:t>
      </w:r>
      <w:r>
        <w:rPr>
          <w:rFonts w:hint="eastAsia" w:ascii="宋体" w:hAnsi="宋体" w:eastAsia="宋体" w:cs="宋体"/>
          <w:sz w:val="24"/>
          <w:szCs w:val="24"/>
        </w:rPr>
        <w:t>签订数据安全承诺书，确保数据信息安全性及完整性</w:t>
      </w:r>
      <w:r>
        <w:rPr>
          <w:rFonts w:hint="eastAsia" w:ascii="宋体" w:hAnsi="宋体" w:eastAsia="宋体"/>
          <w:b/>
          <w:bCs/>
          <w:sz w:val="24"/>
        </w:rPr>
        <w:t>（投标文件中须提供承诺书，格式自拟）</w:t>
      </w:r>
      <w:r>
        <w:rPr>
          <w:rFonts w:hint="eastAsia" w:ascii="宋体" w:hAnsi="宋体" w:eastAsia="宋体" w:cs="宋体"/>
          <w:sz w:val="24"/>
          <w:szCs w:val="24"/>
        </w:rPr>
        <w:t>。</w:t>
      </w:r>
    </w:p>
    <w:p w14:paraId="44DD2A5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（2）运维与安全服务覆盖安徽省全域，共计1个省级、16个市级、104个区县级疾控中心及各区县委托的约312家医疗机构。</w:t>
      </w:r>
    </w:p>
    <w:p w14:paraId="7C870C0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（3）提供7×24小时故障处理、系统巡检、数据备份与安全维护，按国家工作方案要求同步更新系统功能与业务流程。</w:t>
      </w:r>
    </w:p>
    <w:p w14:paraId="2CBCA688">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（三）技术支持与培训服务</w:t>
      </w:r>
    </w:p>
    <w:p w14:paraId="7743FED4">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投标人</w:t>
      </w:r>
      <w:r>
        <w:rPr>
          <w:rFonts w:hint="eastAsia" w:ascii="宋体" w:hAnsi="宋体" w:eastAsia="宋体" w:cs="宋体"/>
          <w:sz w:val="24"/>
          <w:szCs w:val="24"/>
        </w:rPr>
        <w:t>应提供不少于3人的技术服务团队，并指定1名本项目负责人，负责本项目的管理工作，组织协调本项目的实施。技术支持与培训服务覆盖安徽省全域，共计1省、16市、104个区县疾控中心及各区县委托的约312家医疗机构。</w:t>
      </w:r>
    </w:p>
    <w:p w14:paraId="3613EB1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（2）提供7×24小时线上技术支持，针对系统数据采集、审核质控、监测分析、报告生成等核心功能开展线上+线下专项培训。完成16个市现场培训，对首次使用系统的县区开展现场指导。</w:t>
      </w:r>
    </w:p>
    <w:p w14:paraId="17A6C8A2">
      <w:pPr>
        <w:adjustRightInd w:val="0"/>
        <w:snapToGrid w:val="0"/>
        <w:spacing w:after="0" w:line="360" w:lineRule="auto"/>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、内容要求</w:t>
      </w:r>
    </w:p>
    <w:p w14:paraId="3C2E93B1">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（一）学生健康档案与机构管理功能</w:t>
      </w:r>
    </w:p>
    <w:p w14:paraId="6D9C6AF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任务管理模块</w:t>
      </w:r>
    </w:p>
    <w:p w14:paraId="30234A17">
      <w:pPr>
        <w:adjustRightInd w:val="0"/>
        <w:snapToGrid w:val="0"/>
        <w:spacing w:after="0" w:line="360" w:lineRule="auto"/>
        <w:ind w:firstLine="480" w:firstLineChars="200"/>
        <w:jc w:val="both"/>
        <w:rPr>
          <w:rFonts w:hint="eastAsia" w:ascii="宋体" w:hAnsi="宋体" w:eastAsia="宋体" w:cs="宋体"/>
          <w:sz w:val="24"/>
          <w:szCs w:val="24"/>
        </w:rPr>
      </w:pPr>
      <w:bookmarkStart w:id="1" w:name="OLE_LINK7"/>
      <w:r>
        <w:rPr>
          <w:rFonts w:hint="eastAsia" w:ascii="宋体" w:hAnsi="宋体" w:eastAsia="宋体" w:cs="宋体"/>
          <w:sz w:val="24"/>
          <w:szCs w:val="24"/>
        </w:rPr>
        <w:t>（1）</w:t>
      </w:r>
      <w:bookmarkEnd w:id="1"/>
      <w:r>
        <w:rPr>
          <w:rFonts w:hint="eastAsia" w:ascii="宋体" w:hAnsi="宋体" w:eastAsia="宋体" w:cs="宋体"/>
          <w:sz w:val="24"/>
          <w:szCs w:val="24"/>
        </w:rPr>
        <w:t>在筛查前建立筛查任务，省-市-县-学校各级账号均可进行任务指派，上级建立的任务根据任务类型自动下发至负责常见病监测与影响因素监测的学校开展。</w:t>
      </w:r>
    </w:p>
    <w:p w14:paraId="3DAB61C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（2）任务可按名称、类型、筛查学校进行分类，任务类型支持扩展。系统针对不同任务类型自动变换系统功能。</w:t>
      </w:r>
    </w:p>
    <w:p w14:paraId="1EFF619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（3）指派的任务可通过列表的形式查看，并记录执行单位、开始结束时间、任务完成情况、对方阅读状态。</w:t>
      </w:r>
    </w:p>
    <w:p w14:paraId="0061691A">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账号管理模块</w:t>
      </w:r>
    </w:p>
    <w:p w14:paraId="3C256B7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省级管理员：可创建市级管理员账号，并对其添加的账号进行修改、删除、权限配置等操作。创建省级筛查任务，查看全省学生筛查结果，可查看数据统计或进行数据下载，系统内审核下级上报的数据，数据审核异常可在系统内打回并作说明。</w:t>
      </w:r>
    </w:p>
    <w:p w14:paraId="524066C7">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市级管理员：可创建市级筛查任务或参与上级筛查任务，可创建县级管理员账号，并对其添加的账号进行修改、删除、权限配置等操作。查看区域内学生筛查结果，可查看数据统计或进行数据下载，系统内审核下级上报的数据，数据审核异常可在系统内打回并作说明，数据审核后在本系统内向省级上报数据。</w:t>
      </w:r>
    </w:p>
    <w:p w14:paraId="6C67028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县区级管理员：可创建县级筛查任务或参与上级筛查任务，可添加筛查机构账号、质控员账号、学校账号、筛查员账号，并对其添加的账号进行修改、删除、权限配置等操作。查看区域内学生筛查结果，可查看数据统计或进行数据下载，数据审核后在本系统内进行数据上报。</w:t>
      </w:r>
    </w:p>
    <w:p w14:paraId="1AB52E01">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（4）学校管理员（校医）：协助维护学生信息，在筛查活动中整理学生信息并导入系统中，查看校内学生筛查结果，可查看数据统计或进行数据下载。</w:t>
      </w:r>
    </w:p>
    <w:p w14:paraId="465E7C2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（5）筛查机构管理员：负责创建筛查员账号，可查看区域筛查任务和进度。</w:t>
      </w:r>
    </w:p>
    <w:p w14:paraId="6F8A7C8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（6）筛查员：由县区级管理员创建，可设置筛查账号的有效期及可筛查的学校范围，包括现场体检结果与环境测量现场测量结果录入。</w:t>
      </w:r>
    </w:p>
    <w:p w14:paraId="166CCF5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（7）家长和学生：通过学生身份证号、姓名、防爬虫验证码登录移动端，查询孩子体检结果，可直接填写并提交问卷调查表。</w:t>
      </w:r>
    </w:p>
    <w:p w14:paraId="17706B58">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（8）系统通过建立不同的账号类型，实现主管部门对相应辖区内健康筛查数据的管理；学校负责人对本校学生信息的管理。</w:t>
      </w:r>
    </w:p>
    <w:p w14:paraId="537C275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★（9）各级账户权限：各级机构账户仅可对本级和下级筛查结果进行审核、修改，后台操作记录自动保存。筛查机构管理员和筛查员限制查看学生身份证号等关键信息</w:t>
      </w:r>
      <w:r>
        <w:rPr>
          <w:rFonts w:hint="eastAsia" w:ascii="宋体" w:hAnsi="宋体" w:eastAsia="宋体"/>
          <w:b/>
          <w:bCs/>
          <w:sz w:val="24"/>
        </w:rPr>
        <w:t>（投标文件中须提供承诺书，格式自拟）</w:t>
      </w:r>
      <w:r>
        <w:rPr>
          <w:rFonts w:hint="eastAsia" w:ascii="宋体" w:hAnsi="宋体" w:eastAsia="宋体" w:cs="宋体"/>
          <w:sz w:val="24"/>
          <w:szCs w:val="24"/>
        </w:rPr>
        <w:t>。</w:t>
      </w:r>
    </w:p>
    <w:p w14:paraId="5A2A7D7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学校管理模块</w:t>
      </w:r>
    </w:p>
    <w:p w14:paraId="40D9F0D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（1）系统支持通过地区、片区、监测点、学校名称、学校类型、学校编码等信息创建学校。</w:t>
      </w:r>
    </w:p>
    <w:p w14:paraId="1405CD1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（2）系统支持根据不同筛查任务，批量导入学校，系统内置批量导入模板。</w:t>
      </w:r>
    </w:p>
    <w:p w14:paraId="1B98A09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（3）系统具备高级筛选功能，通过地区定位、学校类型、关键字实现精准搜索。</w:t>
      </w:r>
    </w:p>
    <w:p w14:paraId="33A8AF0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（4）系统支持对学校的学生进行统一的升学操作，调整往年学生的年级班级。</w:t>
      </w:r>
    </w:p>
    <w:p w14:paraId="77ED8B3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（5）系统管理员可修改学校信息，可将学校删除。</w:t>
      </w:r>
    </w:p>
    <w:p w14:paraId="292C5F3A">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 学生档案管理模块</w:t>
      </w:r>
    </w:p>
    <w:p w14:paraId="75E1516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支持批量导入以及单个创建学生档案，同时支持批量修改、删除、学生信息的功能。系统预设《常见病调查及自主筛查导入模板》、《无身份证常见病调查导入模板》等批量导入模板，并支持在批量导入时，系统自动进行逻辑校验，过滤不符合标准要求的数据，通过导入记录查看导入状态、导入总条数、导入成功条数、导入错误条数，支持下载错误文件，错误文件中需明确指出每条档案的错误原因。</w:t>
      </w:r>
    </w:p>
    <w:p w14:paraId="488F75F1">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可通过任务类型、计划、学校名称筛选学生档案；可根据筛查状态筛选学生档案；系统具备高级筛选功能，根据年级班级、视力情况、近视情况、龋患情况、发育情况、营养情况、脊柱情况进行高级筛选，查看学生档案。</w:t>
      </w:r>
    </w:p>
    <w:p w14:paraId="4AB6C26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（3）可通过学生信息批量生成学生唯一的体检识别码并下载打印。</w:t>
      </w:r>
    </w:p>
    <w:p w14:paraId="1367B64A">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（4）身份证号码作为个人信息唯一识别码，受检学生及幼儿每一年的报告可根据身份证号码唯一码实现绑定，永久跟随，确保档案的连续性。</w:t>
      </w:r>
    </w:p>
    <w:p w14:paraId="6FF9F782">
      <w:pPr>
        <w:adjustRightInd w:val="0"/>
        <w:snapToGrid w:val="0"/>
        <w:spacing w:after="0" w:line="360" w:lineRule="auto"/>
        <w:ind w:firstLine="482" w:firstLineChars="200"/>
        <w:jc w:val="both"/>
        <w:rPr>
          <w:rFonts w:hint="eastAsia" w:ascii="宋体" w:hAnsi="宋体" w:eastAsia="宋体" w:cs="宋体"/>
          <w:b/>
          <w:bCs/>
          <w:sz w:val="24"/>
          <w:szCs w:val="24"/>
        </w:rPr>
      </w:pPr>
      <w:bookmarkStart w:id="2" w:name="OLE_LINK11"/>
      <w:r>
        <w:rPr>
          <w:rFonts w:hint="eastAsia" w:ascii="宋体" w:hAnsi="宋体" w:eastAsia="宋体" w:cs="宋体"/>
          <w:b/>
          <w:bCs/>
          <w:sz w:val="24"/>
          <w:szCs w:val="24"/>
        </w:rPr>
        <w:t>（二）学生常见病监测功能</w:t>
      </w:r>
    </w:p>
    <w:bookmarkEnd w:id="2"/>
    <w:p w14:paraId="253454B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筛查进度模块</w:t>
      </w:r>
    </w:p>
    <w:p w14:paraId="6626B03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（1）各级系统管理员可</w:t>
      </w:r>
      <w:bookmarkStart w:id="3" w:name="OLE_LINK19"/>
      <w:r>
        <w:rPr>
          <w:rFonts w:hint="eastAsia" w:ascii="宋体" w:hAnsi="宋体" w:eastAsia="宋体" w:cs="宋体"/>
          <w:sz w:val="24"/>
          <w:szCs w:val="24"/>
        </w:rPr>
        <w:t>查看本级和下级</w:t>
      </w:r>
      <w:bookmarkEnd w:id="3"/>
      <w:r>
        <w:rPr>
          <w:rFonts w:hint="eastAsia" w:ascii="宋体" w:hAnsi="宋体" w:eastAsia="宋体" w:cs="宋体"/>
          <w:sz w:val="24"/>
          <w:szCs w:val="24"/>
        </w:rPr>
        <w:t>筛查进度，可根据筛查进度完成情况，向筛查机构发出任务提醒，且支持查看任务提醒记录，任务提醒记录中可查看对方阅读状态。</w:t>
      </w:r>
    </w:p>
    <w:p w14:paraId="1A977A8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（2）各级系统管理员可以学校为单位，下载筛查进度，下载未完成学生名单。</w:t>
      </w:r>
    </w:p>
    <w:p w14:paraId="16A12E28">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（3）系统支持对整体筛查活动的所在区域，筛查工作进展进行统计，筛查学校数量，筛查检测总人数，并实时跟踪每日筛查工作情况。</w:t>
      </w:r>
    </w:p>
    <w:p w14:paraId="357B7558">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（4）系统可根据调查问卷回收概况统计各学校、年级、班级下发量、回收量、完成率等，并进行实时展示。</w:t>
      </w:r>
    </w:p>
    <w:p w14:paraId="209DC31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导出数据模块</w:t>
      </w:r>
    </w:p>
    <w:p w14:paraId="67EC1674">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（1）系统支持根据筛查计划、调查表及特定条件下载数据，至少支持xlsx和sav两种文件格式导出。</w:t>
      </w:r>
    </w:p>
    <w:p w14:paraId="51383C9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下载监测与分析报告，报告内容包括学生近视等常见病患病情况、健康影响因素、教学环境监测合格情况。报告可覆盖《学生常见病和健康影响因素监测与干预》工作要求中的所有数据指标及其分析项，包括但不限于地区、城乡、男女、学段等多维度数据分析，以图表、饼状图、柱状图、折线图、对比图等多种形式对结果进行多元化的展示。</w:t>
      </w:r>
    </w:p>
    <w:p w14:paraId="5CED7E24">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（3）系统应支持通过上传数据库文件，生成对应的总结报告。</w:t>
      </w:r>
    </w:p>
    <w:p w14:paraId="6B2ACDB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（4）系统应支持编辑学生回执单，并根据学校、筛查计划、回执单样式、范围下载学生回执单，根据各区县实际工作需要，回执单版本包括标准版、基础版（只保留学生二维码）、定制版。</w:t>
      </w:r>
    </w:p>
    <w:p w14:paraId="3A2AA88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（5）系统支持使用学生常见病项目的语法包对导入的数据库进行审核，支持rec、xlsx格式导入。审核发现的可疑数据、错误数据，支持以xlsx的形式下载。</w:t>
      </w:r>
    </w:p>
    <w:p w14:paraId="3BA9326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筛查项目设置模块</w:t>
      </w:r>
    </w:p>
    <w:p w14:paraId="7774943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可根据筛查任务，选择当前筛查的学校获取该校学生信息，筛查人员通过移动端APP登录后，系统自动根据筛查人员角色分配其负责的筛查项目（筛查项目包括：视力、屈光、身高、体重、腰围、脊柱弯曲、血压、龋齿、疾病史）。</w:t>
      </w:r>
    </w:p>
    <w:p w14:paraId="4435A38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（2）系统可根据学生信息打印出唯一识别二维码，二维码应包含学校、年级、姓名、性别等信息。筛查人员通过扫描学生二维码，进入学生体检表页面完成筛查。</w:t>
      </w:r>
    </w:p>
    <w:p w14:paraId="5BDA26DB">
      <w:pPr>
        <w:adjustRightInd w:val="0"/>
        <w:snapToGrid w:val="0"/>
        <w:spacing w:after="0" w:line="360" w:lineRule="auto"/>
        <w:ind w:firstLine="482" w:firstLineChars="200"/>
        <w:jc w:val="both"/>
        <w:rPr>
          <w:rFonts w:hint="eastAsia" w:ascii="宋体" w:hAnsi="宋体" w:eastAsia="宋体" w:cs="宋体"/>
          <w:b/>
          <w:bCs/>
          <w:sz w:val="24"/>
          <w:szCs w:val="24"/>
        </w:rPr>
      </w:pPr>
      <w:bookmarkStart w:id="4" w:name="OLE_LINK13"/>
      <w:r>
        <w:rPr>
          <w:rFonts w:hint="eastAsia" w:ascii="宋体" w:hAnsi="宋体" w:eastAsia="宋体" w:cs="宋体"/>
          <w:b/>
          <w:bCs/>
          <w:sz w:val="24"/>
          <w:szCs w:val="24"/>
        </w:rPr>
        <w:t>（三）</w:t>
      </w:r>
      <w:bookmarkEnd w:id="4"/>
      <w:r>
        <w:rPr>
          <w:rFonts w:hint="eastAsia" w:ascii="宋体" w:hAnsi="宋体" w:eastAsia="宋体" w:cs="宋体"/>
          <w:b/>
          <w:bCs/>
          <w:sz w:val="24"/>
          <w:szCs w:val="24"/>
        </w:rPr>
        <w:t>学生健康影响因素调查功能</w:t>
      </w:r>
    </w:p>
    <w:p w14:paraId="27F96F04">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学生健康状况及影响因素调查模块</w:t>
      </w:r>
    </w:p>
    <w:p w14:paraId="66A2E571">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（1）系统预设《学生常见病和健康影响因素监测与干预工作方案》要求的所有调查表，主管单位管理员可选择使用问卷，可设置问卷名称、问卷作答的起止时间，可删除已添加的问卷。</w:t>
      </w:r>
    </w:p>
    <w:p w14:paraId="526E454E">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（2）系统支持各级单位自主编辑问卷内容，生成电子问卷。</w:t>
      </w:r>
    </w:p>
    <w:p w14:paraId="1821311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（3）系统支持移动手机端、电脑端在线填写调查问卷，管理员可复制问卷链接，分享给相关人员进行在线填写，移动手机端支持分享问卷二维码，相关填写人员扫码进入问卷作答。</w:t>
      </w:r>
    </w:p>
    <w:p w14:paraId="0AD2465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（4）系统内置审核规则，支持根据问卷作答内容实现自动跳转、</w:t>
      </w:r>
      <w:bookmarkStart w:id="5" w:name="OLE_LINK22"/>
      <w:r>
        <w:rPr>
          <w:rFonts w:hint="eastAsia" w:ascii="宋体" w:hAnsi="宋体" w:eastAsia="宋体" w:cs="宋体"/>
          <w:sz w:val="24"/>
          <w:szCs w:val="24"/>
        </w:rPr>
        <w:t>逻辑错误纠正</w:t>
      </w:r>
      <w:bookmarkEnd w:id="5"/>
      <w:r>
        <w:rPr>
          <w:rFonts w:hint="eastAsia" w:ascii="宋体" w:hAnsi="宋体" w:eastAsia="宋体" w:cs="宋体"/>
          <w:sz w:val="24"/>
          <w:szCs w:val="24"/>
        </w:rPr>
        <w:t>、漏填数据提醒，及时告知作答人员予以更正，确保填写的数据准确无误。</w:t>
      </w:r>
    </w:p>
    <w:p w14:paraId="65FDEC7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（5）系统实时统计已提交的问卷，可具体查看问卷填写情况，并支持导出已答问卷。可对已回收的问卷进行质控管理，不合逻辑的问卷可进行修改或重填。</w:t>
      </w:r>
    </w:p>
    <w:p w14:paraId="618C358B">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（四）学校卫生工作情况监测功能</w:t>
      </w:r>
    </w:p>
    <w:p w14:paraId="1A2B744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学校卫生工作基本情况调查模块</w:t>
      </w:r>
    </w:p>
    <w:p w14:paraId="7CA903C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系统预设《学校卫生工作基本情况调查表》，各级疾控工作人员可复制链接，在电脑端填写上报，或者通过扫描二维码在手机端完成调查表填报工作。</w:t>
      </w:r>
    </w:p>
    <w:p w14:paraId="074BAE37">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中小学校开展学校卫生工作情况调查模块</w:t>
      </w:r>
    </w:p>
    <w:p w14:paraId="448DE4D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系统预设《中小学校开展学校卫生工作情况调查表》，学校相关工作人员可复制链接，在电脑端填写上报，或者通过扫描二维码在手机端完成调查表填报工作。</w:t>
      </w:r>
    </w:p>
    <w:p w14:paraId="50F2C09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学校教学生活环境卫生监测调查模块</w:t>
      </w:r>
    </w:p>
    <w:p w14:paraId="4BC85C98">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预设《学校教学生活环境卫生监测调查表》，教学环境监测人员可通过移动端APP在线填报《学校教学生活环境卫生监测调查表》，对饮水卫生、食堂卫生、学校环境影响因素、宿舍卫生、学校教室环境卫生情况进行调查与填报，系统根据预设逻辑自动校验错误数据、漏填数据，</w:t>
      </w:r>
      <w:r>
        <w:rPr>
          <w:rFonts w:hint="eastAsia" w:ascii="宋体" w:hAnsi="宋体" w:eastAsia="宋体" w:cs="宋体"/>
          <w:sz w:val="24"/>
          <w:szCs w:val="24"/>
          <w:lang w:val="en-US" w:eastAsia="zh-CN"/>
        </w:rPr>
        <w:t>监测</w:t>
      </w:r>
      <w:r>
        <w:rPr>
          <w:rFonts w:hint="eastAsia" w:ascii="宋体" w:hAnsi="宋体" w:eastAsia="宋体" w:cs="宋体"/>
          <w:sz w:val="24"/>
          <w:szCs w:val="24"/>
        </w:rPr>
        <w:t>人员只需填写基础数据，系统自动计算教室人均面积、课桌椅符合人数、反射比、平均照度、最小照度等值，无需</w:t>
      </w:r>
      <w:r>
        <w:rPr>
          <w:rFonts w:hint="eastAsia" w:ascii="宋体" w:hAnsi="宋体" w:eastAsia="宋体" w:cs="宋体"/>
          <w:sz w:val="24"/>
          <w:szCs w:val="24"/>
          <w:lang w:val="en-US" w:eastAsia="zh-CN"/>
        </w:rPr>
        <w:t>监测</w:t>
      </w:r>
      <w:r>
        <w:rPr>
          <w:rFonts w:hint="eastAsia" w:ascii="宋体" w:hAnsi="宋体" w:eastAsia="宋体" w:cs="宋体"/>
          <w:sz w:val="24"/>
          <w:szCs w:val="24"/>
        </w:rPr>
        <w:t>人员手工计算。</w:t>
      </w:r>
    </w:p>
    <w:p w14:paraId="1CCC268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 调查表填报可满足自动跳转、逻辑错误纠正、漏填数据提醒，实时统计已提交的问卷，可具体查看问卷填写情况，并支持导出已答问卷。</w:t>
      </w:r>
    </w:p>
    <w:p w14:paraId="0BE62F69">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（五）近视防控试点监测功能</w:t>
      </w:r>
    </w:p>
    <w:p w14:paraId="2A9778E1">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数据导入导出模块</w:t>
      </w:r>
    </w:p>
    <w:p w14:paraId="3B31D7C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（1）系统预设导入模板，支持批量导入学生信息，支持手动增加和删除学生信息功能。</w:t>
      </w:r>
    </w:p>
    <w:p w14:paraId="6505927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（2）系统支持根据学校、调查表及特定条件下载数据，至少支持xlsx和sav两种文件格式导出。</w:t>
      </w:r>
    </w:p>
    <w:p w14:paraId="1B35B47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（3）系统支持根据学校、调查表及特定条件导出分析报告。</w:t>
      </w:r>
    </w:p>
    <w:p w14:paraId="4B4BFD2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（4）系统预设结果反馈模板，根据学生监测结果批量生成近视检测结果回执单，支持根据特定条件导出回执单。</w:t>
      </w:r>
    </w:p>
    <w:p w14:paraId="6385112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近视筛查项目设置模块</w:t>
      </w:r>
    </w:p>
    <w:p w14:paraId="69C1215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可根据筛查任务，选择当前筛查的学校获取该校学生信息，筛查人员通过移动端APP登录后，系统自动根据筛查人员角色分配负责的筛查项目（筛查项目包括：视力、屈光、眼轴、眼外观及眼位、身高、体重等）。</w:t>
      </w:r>
    </w:p>
    <w:p w14:paraId="7BA85AD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（2）系统可根据学生信息打印出唯一识别二维码，二维码应包含学校、年级、班级、姓名等信息。筛查人员通过扫描学生二维码，进入学生体检表页面完成筛查。</w:t>
      </w:r>
    </w:p>
    <w:p w14:paraId="26D24B0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近视影响因素调查项目设置模块</w:t>
      </w:r>
    </w:p>
    <w:p w14:paraId="703F81D8">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（1）系统根据学生年级预设3种版本《儿童青少年视力健康随访调查问卷》，支持修订问卷内容，生成电子问卷。</w:t>
      </w:r>
    </w:p>
    <w:p w14:paraId="529839A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（2）系统支持移动手机端、电脑端在线填写调查问卷，管理员可复制问卷链接和二维码，分享给调查对象进行在线填写。系统根据调查对象填写的个人信息为其自动分配相关版本问卷。</w:t>
      </w:r>
    </w:p>
    <w:p w14:paraId="20D062F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（3）系统内置审核规则，支持根据问卷作答内容实现自动跳转、逻辑错误纠正、漏填数据提醒，及时告知作答人员予以更正，确保填写的数据准确无误。</w:t>
      </w:r>
    </w:p>
    <w:p w14:paraId="47DE742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（4）系统实时统计已提交的问卷，可具体查看问卷填写情况，并支持导出已答问卷。可对已回收的问卷进行质控管理，不合逻辑的问卷可进行修改或重填。</w:t>
      </w:r>
    </w:p>
    <w:p w14:paraId="5102A63E">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（六）数据采集应用</w:t>
      </w:r>
    </w:p>
    <w:p w14:paraId="68D5BFA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现场筛查模块</w:t>
      </w:r>
    </w:p>
    <w:p w14:paraId="7144AB3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需支持电脑验光仪、眼科光学生物测量仪、血压计、脊柱侧弯尺等体检电子设备对接，实现系统移动端APP扫设备码即可连接，采用自动化数据采集技术、自动化质控技术实现受检者视力、屈光等学生常见病体检健康信息采集与处理。</w:t>
      </w:r>
    </w:p>
    <w:p w14:paraId="007FBA8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（2）常见病监测数据采集使用移动端APP，移动端APP显示当前筛查任务以及任务关联的筛查学校、筛查学生名单。</w:t>
      </w:r>
    </w:p>
    <w:p w14:paraId="089C5A5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（3）现场筛查人员用系统移动端扫描学生体检码，自动调出学生个人信息进入检查页面；或可通过学生列表查找选择学生进入检查页面；支持筛查现场系统移动端手动新增学生信息。</w:t>
      </w:r>
    </w:p>
    <w:p w14:paraId="235BE7E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（4）学生依次进行不同项目的体检，分别由相应筛查人员进行上传，筛查人员在系统移动端可选择其负责的筛查项目，并可查询所负责检查项目的完成情况。</w:t>
      </w:r>
    </w:p>
    <w:p w14:paraId="2CC32DF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★（5）系统同样支持所有检查数据的手工录入模式；支持在无网络时数据将自动保存在移动端APP中，有网络时将体检数据实时自动上传至系统平台，形成汇总及分类数据</w:t>
      </w:r>
      <w:r>
        <w:rPr>
          <w:rFonts w:hint="eastAsia" w:ascii="宋体" w:hAnsi="宋体" w:eastAsia="宋体"/>
          <w:b/>
          <w:bCs/>
          <w:sz w:val="24"/>
        </w:rPr>
        <w:t>（投标文件中须提供承诺书，格式自拟）</w:t>
      </w:r>
      <w:r>
        <w:rPr>
          <w:rFonts w:hint="eastAsia" w:ascii="宋体" w:hAnsi="宋体" w:eastAsia="宋体" w:cs="宋体"/>
          <w:sz w:val="24"/>
          <w:szCs w:val="24"/>
        </w:rPr>
        <w:t>。</w:t>
      </w:r>
    </w:p>
    <w:p w14:paraId="062E451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质量控制模块</w:t>
      </w:r>
    </w:p>
    <w:p w14:paraId="0D696045">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（1）系统随机抽取当日体检人数的5%进行视力、屈光、身高体重等项目复测，复测时系统自动隐藏原测结果。可实时查看复测率、错误率，标记复测错误项目。</w:t>
      </w:r>
    </w:p>
    <w:p w14:paraId="38EC50DF">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（2）可查看学生原测与复测数据，实时计算误差值并生成误差表；可通过数据看板查看复测率、错误率。</w:t>
      </w:r>
    </w:p>
    <w:p w14:paraId="38648524">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（3）可根据计划、地区、学校、复测率、错误率筛选，查看各学校筛查数据质量控制情况，下载学生误差卡片；可查看学校实时复测质控记录表及原测与复测数据对比。</w:t>
      </w:r>
    </w:p>
    <w:p w14:paraId="52920389">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（4）质控人员可通过移动端APP随时查看筛查员信息及每位筛查员的原测、复测人数与错误率。</w:t>
      </w:r>
    </w:p>
    <w:p w14:paraId="1D4C4969">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（5）复测结果由各项目检测人员填写，如填写错误需经市级管理员审核修改。</w:t>
      </w:r>
    </w:p>
    <w:p w14:paraId="4489FB9D">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（6）检测单位负责填写筛查仪器名称及编号，检定日期、有效期、最新校准日期，支持编辑与删除；仪器需经质控人员逐级审核通过后才能开展监测任务。</w:t>
      </w:r>
    </w:p>
    <w:p w14:paraId="4D365D44">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（7）质控人员可通过移动端APP在线填报设备质量控制情况及筛查项目过程质控情况（身高、体重、血压、远视力、屈光、口腔、脊柱侧弯等），系统自动生成质控记录表，支持导出过程质控记录表。</w:t>
      </w:r>
    </w:p>
    <w:p w14:paraId="478CC941">
      <w:pPr>
        <w:adjustRightInd w:val="0"/>
        <w:snapToGrid w:val="0"/>
        <w:spacing w:after="0" w:line="360" w:lineRule="auto"/>
        <w:ind w:firstLine="492" w:firstLineChars="200"/>
        <w:jc w:val="both"/>
        <w:rPr>
          <w:rFonts w:hint="eastAsia" w:ascii="宋体" w:hAnsi="宋体" w:eastAsia="宋体" w:cs="宋体"/>
          <w:spacing w:val="3"/>
          <w:sz w:val="24"/>
          <w:szCs w:val="24"/>
        </w:rPr>
      </w:pPr>
      <w:r>
        <w:rPr>
          <w:rFonts w:hint="eastAsia" w:ascii="宋体" w:hAnsi="宋体" w:eastAsia="宋体" w:cs="宋体"/>
          <w:spacing w:val="3"/>
          <w:sz w:val="24"/>
          <w:szCs w:val="24"/>
        </w:rPr>
        <w:t>（8）学生常见病监测录入的错误数据可随时修改，体检日期不随修改时间变化；修改操作信息（原始数据、修改后数据、修改人员、修改时间）需在系统中保留，上级管理员可下载查看。</w:t>
      </w:r>
    </w:p>
    <w:p w14:paraId="566F261C">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数据上报管理模块</w:t>
      </w:r>
    </w:p>
    <w:p w14:paraId="6EB661A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（1）支持省、市、县区各级管理部门进行数据上报管理，基于总体和部分数据进行上报、审核，并对历次上报时间、上报次数、审核原因进行记录。</w:t>
      </w:r>
    </w:p>
    <w:p w14:paraId="08FB05D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（2）系统平台内筛查数据采用层级上报制，监测数据由县级审核确认后上报至市级，市级汇总审核数据确认后在系统内上报至省级。</w:t>
      </w:r>
    </w:p>
    <w:p w14:paraId="705F767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系统内省级管理员审核后的问题数据返回市级管理员及所辖县级管理员进行复核，该问题数据经县级、市级复核完成后，再次系统内上报至省级审核确认。监测数据经省级确认无误后，导出上报项目主管单位。</w:t>
      </w:r>
    </w:p>
    <w:p w14:paraId="2C000AAB">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（七）数据分析</w:t>
      </w:r>
    </w:p>
    <w:p w14:paraId="1B504F1F">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儿童青少年视力数据分析</w:t>
      </w:r>
    </w:p>
    <w:p w14:paraId="4E20CDB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w:t>
      </w:r>
      <w:bookmarkStart w:id="6" w:name="OLE_LINK1"/>
      <w:r>
        <w:rPr>
          <w:rFonts w:hint="eastAsia" w:ascii="宋体" w:hAnsi="宋体" w:eastAsia="宋体" w:cs="宋体"/>
          <w:sz w:val="24"/>
          <w:szCs w:val="24"/>
        </w:rPr>
        <w:t>系统可</w:t>
      </w:r>
      <w:bookmarkEnd w:id="6"/>
      <w:r>
        <w:rPr>
          <w:rFonts w:hint="eastAsia" w:ascii="宋体" w:hAnsi="宋体" w:eastAsia="宋体" w:cs="宋体"/>
          <w:sz w:val="24"/>
          <w:szCs w:val="24"/>
        </w:rPr>
        <w:t>根据体检原始数据自动判断每个学生近视状况。</w:t>
      </w:r>
    </w:p>
    <w:p w14:paraId="186FE787">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（2）系统可根据用户需求灵活扩展，增加分析指标，以及多种统计图表制作。</w:t>
      </w:r>
    </w:p>
    <w:p w14:paraId="12D5049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可通过可视化大数据分析面板，通过卡片形式实时展示省、市、区县数据统计分析情况，包括已筛查人数、近视人数、近视率、视力低下率、视力矫正合格率；支持分组筛选展示省、市、区县的各学段、男女、城乡对比统计分析情况。</w:t>
      </w:r>
    </w:p>
    <w:p w14:paraId="65B28B8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学生常见病数据分析</w:t>
      </w:r>
    </w:p>
    <w:p w14:paraId="4BE9B567">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（1）系统支持预设数据分析规则，对学生营养状况、血压、脊柱弯曲异常等进行结果判定。</w:t>
      </w:r>
    </w:p>
    <w:p w14:paraId="090AB8A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（2）系统可根据用户需求灵活扩展，增加分析指标，以及多种统计图表制作。</w:t>
      </w:r>
    </w:p>
    <w:p w14:paraId="41D375ED">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可通过可视化大数据分析面板，通过卡片形式实时展示省、市、区县的龋患率、肥胖率、脊柱弯曲异常率、营养不良率、血压偏高率；支持分组筛选展示省、市、区县的各学段、男女、城乡对比统计分析情况。</w:t>
      </w:r>
    </w:p>
    <w:p w14:paraId="348BD82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学校卫生工作基本情况调查数据分析</w:t>
      </w:r>
    </w:p>
    <w:p w14:paraId="3EC51B8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根据上报的数据，对学校卫生人员配备及经费情况，保健室、卫生室、校医配备情况，学生常见病监测和干预开展情况调查结果进行大数据分析，主管部门可通过可视化大数据分析界面，直观查看各地区、学校情况。</w:t>
      </w:r>
    </w:p>
    <w:p w14:paraId="59DE6EE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根据上报的数据，对中小学校卫生工作及管理情况，健康体检、健康教育开展情况，疾病防控情况，体育活动及营养工作开展情况，教室环境和学习用品监测情况调查结果进行大数据分析，主管部门可通过可视化大数据分析界面，直观查看各地区、学校情况。</w:t>
      </w:r>
    </w:p>
    <w:p w14:paraId="35058B92">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 学校教学生活环境卫生监测调查数据分析</w:t>
      </w:r>
    </w:p>
    <w:p w14:paraId="407472A9">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根据上报的数据，对学校饮水卫生、食堂卫生、学校环境影响因素、宿舍卫生、学校教室环境卫生五方面调查结果进行大数据分析，主管部门可通过可视化大数据分析界面，直观查看各地区、学校情况。</w:t>
      </w:r>
    </w:p>
    <w:p w14:paraId="3358EF9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5. 学生常见病和健康影响因素监测报告</w:t>
      </w:r>
    </w:p>
    <w:p w14:paraId="45D88C1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系统支持预设的报告模板，生成多种监测报告：儿童青少年近视分析报告、学生常见病和健康影响因素监测分析报告、教学环境监测结果分析报告等，并支持下载为可编辑的Word格式文件。</w:t>
      </w:r>
    </w:p>
    <w:p w14:paraId="0AB5EAF1">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（八）学生常见病干预系统</w:t>
      </w:r>
    </w:p>
    <w:p w14:paraId="11B660BB">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干预行动登记</w:t>
      </w:r>
    </w:p>
    <w:p w14:paraId="19E413AF">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支持区县、地市疾控按照月份在系统上登记本级干预活动，上传干预原始记录，可随时保存为草稿。</w:t>
      </w:r>
    </w:p>
    <w:p w14:paraId="5AF1489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干预行动审核</w:t>
      </w:r>
    </w:p>
    <w:p w14:paraId="7DDE0963">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区县疾控中心上报干预活动后，由所在市疾控中心审核。市疾控中心查看活动详情进行审核，若市级审核通过后，活动变为已完成。活动状态变为已完成后，不可修改活动信息。如确实需修改，需市级操作退回，状态重新变为审核中，审核退回时支持填写退回原因。审核通过后，活动才会纳入统计范围。</w:t>
      </w:r>
    </w:p>
    <w:p w14:paraId="4DAA49D6">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3. 干预行动统计</w:t>
      </w:r>
    </w:p>
    <w:p w14:paraId="7952A48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各月全市干预工作汇总：地市名称、县区名称、监测学校（幼儿园）名称、月份、各活动类型上报次数、受众人数、合计次数、合计受众人数。</w:t>
      </w:r>
    </w:p>
    <w:p w14:paraId="1954A24A">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4. 完成情况分析</w:t>
      </w:r>
    </w:p>
    <w:p w14:paraId="395ECBB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各级管理员可查看本级和下级干预活动概况，根据预先设定的统计标准分析干预活动完成率，具体指标包括但不限于总体完成率、监测点学校完成率、干预活动次数、干预活动受众人次数。</w:t>
      </w:r>
    </w:p>
    <w:p w14:paraId="7FEFB744">
      <w:pPr>
        <w:adjustRightInd w:val="0"/>
        <w:snapToGrid w:val="0"/>
        <w:spacing w:after="0" w:line="360" w:lineRule="auto"/>
        <w:ind w:firstLine="482" w:firstLineChars="200"/>
        <w:jc w:val="both"/>
        <w:rPr>
          <w:rFonts w:hint="eastAsia" w:ascii="宋体" w:hAnsi="宋体" w:eastAsia="宋体" w:cs="宋体"/>
          <w:b/>
          <w:bCs/>
          <w:sz w:val="24"/>
          <w:szCs w:val="24"/>
        </w:rPr>
      </w:pPr>
      <w:r>
        <w:rPr>
          <w:rFonts w:hint="eastAsia" w:ascii="宋体" w:hAnsi="宋体" w:eastAsia="宋体" w:cs="宋体"/>
          <w:b/>
          <w:bCs/>
          <w:sz w:val="24"/>
          <w:szCs w:val="24"/>
        </w:rPr>
        <w:t>（九）家长查询系统</w:t>
      </w:r>
    </w:p>
    <w:p w14:paraId="2BAB0347">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1. 安全验证模块</w:t>
      </w:r>
    </w:p>
    <w:p w14:paraId="206B57F0">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系统应具备防爬虫等安全保护功能，保护隐私维护数据安全。</w:t>
      </w:r>
    </w:p>
    <w:p w14:paraId="21ED2905">
      <w:pPr>
        <w:adjustRightInd w:val="0"/>
        <w:snapToGrid w:val="0"/>
        <w:spacing w:after="0" w:line="360" w:lineRule="auto"/>
        <w:ind w:firstLine="480" w:firstLineChars="200"/>
        <w:jc w:val="both"/>
        <w:rPr>
          <w:rFonts w:hint="eastAsia" w:ascii="宋体" w:hAnsi="宋体" w:eastAsia="宋体" w:cs="宋体"/>
          <w:sz w:val="24"/>
          <w:szCs w:val="24"/>
        </w:rPr>
      </w:pPr>
      <w:r>
        <w:rPr>
          <w:rFonts w:hint="eastAsia" w:ascii="宋体" w:hAnsi="宋体" w:eastAsia="宋体" w:cs="宋体"/>
          <w:sz w:val="24"/>
          <w:szCs w:val="24"/>
        </w:rPr>
        <w:t>2. 报告查询模块</w:t>
      </w:r>
    </w:p>
    <w:p w14:paraId="1B1AD949">
      <w:pPr>
        <w:wordWrap w:val="0"/>
        <w:spacing w:line="360" w:lineRule="auto"/>
        <w:ind w:firstLine="437"/>
        <w:rPr>
          <w:rFonts w:hint="eastAsia" w:ascii="宋体" w:hAnsi="宋体" w:eastAsia="宋体" w:cs="宋体"/>
          <w:sz w:val="24"/>
          <w:szCs w:val="24"/>
        </w:rPr>
      </w:pPr>
      <w:r>
        <w:rPr>
          <w:rFonts w:hint="eastAsia" w:ascii="宋体" w:hAnsi="宋体" w:eastAsia="宋体" w:cs="宋体"/>
          <w:sz w:val="24"/>
          <w:szCs w:val="24"/>
        </w:rPr>
        <w:t>学生筛查结果通过指定微信公众号查询，通过学生身份证号+姓名+验证码检索方式访问学生的检测结果，包括体检结果及初步建议。</w:t>
      </w:r>
    </w:p>
    <w:p w14:paraId="12DEF883">
      <w:pPr>
        <w:wordWrap w:val="0"/>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lang w:val="en-US" w:eastAsia="zh-CN"/>
        </w:rPr>
        <w:t>五</w:t>
      </w:r>
      <w:r>
        <w:rPr>
          <w:rFonts w:hint="eastAsia" w:ascii="宋体" w:hAnsi="宋体" w:eastAsia="宋体"/>
          <w:b/>
          <w:bCs/>
          <w:sz w:val="28"/>
          <w:szCs w:val="28"/>
        </w:rPr>
        <w:t>、其他要求</w:t>
      </w:r>
    </w:p>
    <w:p w14:paraId="188C6A09">
      <w:pPr>
        <w:wordWrap w:val="0"/>
        <w:spacing w:line="360" w:lineRule="auto"/>
        <w:ind w:firstLine="480" w:firstLineChars="200"/>
        <w:rPr>
          <w:rFonts w:hint="eastAsia" w:ascii="宋体" w:hAnsi="宋体" w:eastAsia="宋体"/>
          <w:sz w:val="24"/>
        </w:rPr>
      </w:pPr>
      <w:r>
        <w:rPr>
          <w:rFonts w:hint="eastAsia" w:ascii="宋体" w:hAnsi="宋体" w:eastAsia="宋体"/>
          <w:sz w:val="24"/>
        </w:rPr>
        <w:t xml:space="preserve">1. </w:t>
      </w:r>
      <w:r>
        <w:rPr>
          <w:rFonts w:hint="eastAsia" w:ascii="宋体" w:hAnsi="宋体" w:eastAsia="宋体"/>
          <w:sz w:val="24"/>
          <w:lang w:val="en-US" w:eastAsia="zh-CN"/>
        </w:rPr>
        <w:t>中标人</w:t>
      </w:r>
      <w:r>
        <w:rPr>
          <w:rFonts w:hint="eastAsia" w:ascii="宋体" w:hAnsi="宋体" w:eastAsia="宋体"/>
          <w:sz w:val="24"/>
        </w:rPr>
        <w:t>应当诚信守法、公平竞争。如有通过提供虚假材料（包括但不限于虚假技术参数响应、虚假业绩、虚假证书、虚假检测报告等）谋取中标的行为，一经查实，由</w:t>
      </w:r>
      <w:r>
        <w:rPr>
          <w:rFonts w:hint="eastAsia" w:ascii="宋体" w:hAnsi="宋体" w:eastAsia="宋体"/>
          <w:sz w:val="24"/>
          <w:lang w:val="en-US" w:eastAsia="zh-CN"/>
        </w:rPr>
        <w:t>中标人</w:t>
      </w:r>
      <w:r>
        <w:rPr>
          <w:rFonts w:hint="eastAsia" w:ascii="宋体" w:hAnsi="宋体" w:eastAsia="宋体"/>
          <w:sz w:val="24"/>
        </w:rPr>
        <w:t>承担一切后果。</w:t>
      </w:r>
    </w:p>
    <w:p w14:paraId="5E2B3A65">
      <w:pPr>
        <w:wordWrap w:val="0"/>
        <w:spacing w:line="360" w:lineRule="auto"/>
        <w:ind w:firstLine="480" w:firstLineChars="200"/>
        <w:rPr>
          <w:rFonts w:hint="eastAsia" w:ascii="宋体" w:hAnsi="宋体" w:eastAsia="宋体"/>
          <w:sz w:val="24"/>
        </w:rPr>
      </w:pPr>
      <w:r>
        <w:rPr>
          <w:rFonts w:hint="eastAsia" w:ascii="宋体" w:hAnsi="宋体" w:eastAsia="宋体"/>
          <w:sz w:val="24"/>
        </w:rPr>
        <w:t>2. 保密要求。</w:t>
      </w:r>
      <w:r>
        <w:rPr>
          <w:rFonts w:hint="eastAsia" w:ascii="宋体" w:hAnsi="宋体" w:eastAsia="宋体"/>
          <w:sz w:val="24"/>
          <w:lang w:val="en-US" w:eastAsia="zh-CN"/>
        </w:rPr>
        <w:t>中标人</w:t>
      </w:r>
      <w:r>
        <w:rPr>
          <w:rFonts w:hint="eastAsia" w:ascii="宋体" w:hAnsi="宋体" w:eastAsia="宋体"/>
          <w:sz w:val="24"/>
        </w:rPr>
        <w:t>需与采购人签署保密协议，在执行服务过程中应严格按照保密协议相关要求执行。</w:t>
      </w:r>
    </w:p>
    <w:p w14:paraId="12457EE9">
      <w:pPr>
        <w:wordWrap w:val="0"/>
        <w:spacing w:line="360" w:lineRule="auto"/>
        <w:ind w:firstLine="480" w:firstLineChars="200"/>
        <w:rPr>
          <w:rFonts w:hint="eastAsia" w:ascii="宋体" w:hAnsi="宋体" w:eastAsia="宋体"/>
          <w:sz w:val="24"/>
        </w:rPr>
      </w:pPr>
      <w:r>
        <w:rPr>
          <w:rFonts w:hint="eastAsia" w:ascii="宋体" w:hAnsi="宋体" w:eastAsia="宋体"/>
          <w:sz w:val="24"/>
        </w:rPr>
        <w:t>3. 数据安全。系统内产生的所有数据均归招标方所有，未经允许</w:t>
      </w:r>
      <w:r>
        <w:rPr>
          <w:rFonts w:hint="eastAsia" w:ascii="宋体" w:hAnsi="宋体" w:eastAsia="宋体"/>
          <w:sz w:val="24"/>
          <w:lang w:val="en-US" w:eastAsia="zh-CN"/>
        </w:rPr>
        <w:t>中标人</w:t>
      </w:r>
      <w:r>
        <w:rPr>
          <w:rFonts w:hint="eastAsia" w:ascii="宋体" w:hAnsi="宋体" w:eastAsia="宋体"/>
          <w:sz w:val="24"/>
        </w:rPr>
        <w:t>不得以任何形式使用、下载、泄露原始数据，否则招标方有权追究</w:t>
      </w:r>
      <w:r>
        <w:rPr>
          <w:rFonts w:hint="eastAsia" w:ascii="宋体" w:hAnsi="宋体" w:eastAsia="宋体"/>
          <w:sz w:val="24"/>
          <w:lang w:val="en-US" w:eastAsia="zh-CN"/>
        </w:rPr>
        <w:t>中标人</w:t>
      </w:r>
      <w:r>
        <w:rPr>
          <w:rFonts w:hint="eastAsia" w:ascii="宋体" w:hAnsi="宋体" w:eastAsia="宋体"/>
          <w:sz w:val="24"/>
        </w:rPr>
        <w:t>法律责任。</w:t>
      </w:r>
    </w:p>
    <w:p w14:paraId="517ACD2B">
      <w:pPr>
        <w:wordWrap w:val="0"/>
        <w:spacing w:line="360" w:lineRule="auto"/>
        <w:ind w:firstLine="437"/>
        <w:rPr>
          <w:rFonts w:ascii="Arial" w:hAnsi="Arial" w:eastAsia="宋体" w:cs="Arial"/>
          <w:b/>
          <w:sz w:val="28"/>
          <w:szCs w:val="28"/>
        </w:rPr>
      </w:pPr>
      <w:r>
        <w:rPr>
          <w:rFonts w:hint="eastAsia" w:ascii="Arial" w:hAnsi="Arial" w:eastAsia="宋体" w:cs="Arial"/>
          <w:b/>
          <w:sz w:val="28"/>
          <w:szCs w:val="28"/>
          <w:lang w:val="en-US" w:eastAsia="zh-CN"/>
        </w:rPr>
        <w:t>六</w:t>
      </w:r>
      <w:r>
        <w:rPr>
          <w:rFonts w:hint="eastAsia" w:ascii="Arial" w:hAnsi="Arial" w:eastAsia="宋体" w:cs="Arial"/>
          <w:b/>
          <w:sz w:val="28"/>
          <w:szCs w:val="28"/>
        </w:rPr>
        <w:t>、报价要求</w:t>
      </w:r>
    </w:p>
    <w:p w14:paraId="663C285D">
      <w:r>
        <w:rPr>
          <w:rFonts w:hint="eastAsia" w:ascii="宋体" w:hAnsi="宋体" w:eastAsia="宋体"/>
          <w:sz w:val="24"/>
          <w:lang w:val="zh-TW" w:eastAsia="zh-TW"/>
        </w:rPr>
        <w:t>本项目报总价，报价中须包含完成本项目的全部费用，采购人不再另行追加费用</w:t>
      </w:r>
      <w:r>
        <w:rPr>
          <w:rFonts w:hint="eastAsia" w:ascii="宋体" w:hAnsi="宋体" w:eastAsia="宋体"/>
          <w:sz w:val="24"/>
        </w:rPr>
        <w:t>。</w:t>
      </w:r>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0030101010101"/>
    <w:charset w:val="86"/>
    <w:family w:val="auto"/>
    <w:pitch w:val="default"/>
    <w:sig w:usb0="00000000" w:usb1="00000000" w:usb2="0000000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Arial,Bold">
    <w:altName w:val="Segoe Print"/>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D56A88"/>
    <w:rsid w:val="53D56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paragraph" w:styleId="5">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4"/>
    <w:qFormat/>
    <w:uiPriority w:val="0"/>
    <w:pPr>
      <w:spacing w:after="120"/>
    </w:pPr>
    <w:rPr>
      <w:rFonts w:ascii="@微软简标宋" w:hAnsi="@微软简标宋" w:eastAsia="@微软简标宋" w:cs="@微软简标宋"/>
      <w:szCs w:val="24"/>
      <w:lang w:val="zh-CN"/>
    </w:rPr>
  </w:style>
  <w:style w:type="paragraph" w:customStyle="1" w:styleId="4">
    <w:name w:val="Default"/>
    <w:qFormat/>
    <w:uiPriority w:val="0"/>
    <w:pPr>
      <w:widowControl w:val="0"/>
      <w:autoSpaceDE w:val="0"/>
      <w:autoSpaceDN w:val="0"/>
      <w:adjustRightInd w:val="0"/>
    </w:pPr>
    <w:rPr>
      <w:rFonts w:ascii="Arial,Bold" w:hAnsi="Arial,Bold" w:eastAsia="Times New Roman" w:cs="Times New Roman"/>
      <w:lang w:val="en-US" w:eastAsia="en-US" w:bidi="ar-SA"/>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rFonts w:cs="Times New Roman"/>
      <w:kern w:val="0"/>
      <w:sz w:val="18"/>
      <w:szCs w:val="18"/>
    </w:rPr>
  </w:style>
  <w:style w:type="paragraph" w:customStyle="1" w:styleId="9">
    <w:name w:val="D&amp;L"/>
    <w:basedOn w:val="6"/>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0">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2026-05-27T09:04:00Z</dcterms:created>
  <dc:creator>森</dc:creator>
  <cp:lastModifiedBy>森</cp:lastModifiedBy>
  <dcterms:modified xsi:type="dcterms:W3CDTF">2026-05-27T09:04:57Z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3C02D68A017A42B2959B8C97F3D0E278_11</vt:lpwstr>
  </property>
  <property fmtid="{D5CDD505-2E9C-101B-9397-08002B2CF9AE}" pid="4" name="KSOTemplateDocerSaveRecord">
    <vt:lpwstr>eyJoZGlkIjoiOTc3M2Y5NzIzMDFlZjAyY2Q4Njk5ODkyYjFjNzBiNTQiLCJ1c2VySWQiOiI0MzAwMTYzNzkifQ==</vt:lpwstr>
  </property>
</Properties>
</file>