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BFF786">
      <w:pPr>
        <w:wordWrap w:val="0"/>
        <w:spacing w:line="360" w:lineRule="auto"/>
        <w:jc w:val="center"/>
        <w:outlineLvl w:val="1"/>
        <w:rPr>
          <w:rFonts w:hint="eastAsia" w:ascii="华文中宋" w:hAnsi="华文中宋" w:eastAsia="华文中宋" w:cs="Times New Roman"/>
          <w:b/>
          <w:bCs/>
          <w:kern w:val="44"/>
          <w:sz w:val="44"/>
          <w:szCs w:val="44"/>
        </w:rPr>
      </w:pPr>
      <w:bookmarkStart w:id="0" w:name="_Toc17676"/>
      <w:bookmarkStart w:id="1" w:name="_Toc32628"/>
      <w:r>
        <w:rPr>
          <w:rFonts w:hint="eastAsia" w:ascii="华文中宋" w:hAnsi="华文中宋" w:eastAsia="华文中宋" w:cs="Times New Roman"/>
          <w:b/>
          <w:bCs/>
          <w:kern w:val="44"/>
          <w:sz w:val="44"/>
          <w:szCs w:val="44"/>
        </w:rPr>
        <w:t>第三章  招标需求</w:t>
      </w:r>
      <w:bookmarkEnd w:id="0"/>
      <w:bookmarkEnd w:id="1"/>
    </w:p>
    <w:p w14:paraId="55B0E06B">
      <w:pPr>
        <w:wordWrap w:val="0"/>
        <w:spacing w:line="360" w:lineRule="auto"/>
        <w:rPr>
          <w:rFonts w:hint="eastAsia" w:ascii="宋体" w:hAnsi="宋体" w:eastAsia="宋体"/>
          <w:b/>
          <w:sz w:val="24"/>
        </w:rPr>
      </w:pPr>
      <w:r>
        <w:rPr>
          <w:rFonts w:hint="eastAsia" w:ascii="宋体" w:hAnsi="宋体" w:eastAsia="宋体"/>
          <w:b/>
          <w:sz w:val="24"/>
        </w:rPr>
        <w:t>前注：</w:t>
      </w:r>
    </w:p>
    <w:p w14:paraId="46BAE412">
      <w:pPr>
        <w:wordWrap w:val="0"/>
        <w:spacing w:line="360" w:lineRule="auto"/>
        <w:ind w:firstLine="437"/>
        <w:rPr>
          <w:rFonts w:hint="eastAsia" w:ascii="宋体" w:hAnsi="宋体" w:eastAsia="宋体"/>
          <w:sz w:val="24"/>
        </w:rPr>
      </w:pPr>
      <w:r>
        <w:rPr>
          <w:rFonts w:hint="eastAsia" w:ascii="宋体" w:hAnsi="宋体" w:eastAsia="宋体"/>
          <w:sz w:val="24"/>
        </w:rPr>
        <w:t>1.</w:t>
      </w:r>
      <w:r>
        <w:rPr>
          <w:rFonts w:ascii="宋体" w:hAnsi="宋体" w:eastAsia="宋体"/>
          <w:sz w:val="24"/>
        </w:rPr>
        <w:t>本说明中提出的技术方案仅为参考，如无明确限制，</w:t>
      </w:r>
      <w:r>
        <w:rPr>
          <w:rFonts w:hint="eastAsia" w:ascii="宋体" w:hAnsi="宋体" w:eastAsia="宋体"/>
          <w:sz w:val="24"/>
        </w:rPr>
        <w:t>投标人</w:t>
      </w:r>
      <w:r>
        <w:rPr>
          <w:rFonts w:ascii="宋体" w:hAnsi="宋体" w:eastAsia="宋体"/>
          <w:sz w:val="24"/>
        </w:rPr>
        <w:t>可以进行优化，提供满足用户实际需要的更优（或者性能实质上不低于的）</w:t>
      </w:r>
      <w:r>
        <w:rPr>
          <w:rFonts w:hint="eastAsia" w:ascii="宋体" w:hAnsi="宋体" w:eastAsia="宋体"/>
          <w:sz w:val="24"/>
        </w:rPr>
        <w:t>技术</w:t>
      </w:r>
      <w:r>
        <w:rPr>
          <w:rFonts w:ascii="宋体" w:hAnsi="宋体" w:eastAsia="宋体"/>
          <w:sz w:val="24"/>
        </w:rPr>
        <w:t>方案，且此方案须</w:t>
      </w:r>
      <w:r>
        <w:rPr>
          <w:rFonts w:hint="eastAsia" w:ascii="宋体" w:hAnsi="宋体" w:eastAsia="宋体"/>
          <w:sz w:val="24"/>
        </w:rPr>
        <w:t>评标委员会评标</w:t>
      </w:r>
      <w:r>
        <w:rPr>
          <w:rFonts w:ascii="宋体" w:hAnsi="宋体" w:eastAsia="宋体"/>
          <w:sz w:val="24"/>
        </w:rPr>
        <w:t>认可</w:t>
      </w:r>
      <w:r>
        <w:rPr>
          <w:rFonts w:hint="eastAsia" w:ascii="宋体" w:hAnsi="宋体" w:eastAsia="宋体"/>
          <w:sz w:val="24"/>
        </w:rPr>
        <w:t>。</w:t>
      </w:r>
    </w:p>
    <w:p w14:paraId="6B7BCFE9">
      <w:pPr>
        <w:wordWrap w:val="0"/>
        <w:spacing w:line="360" w:lineRule="auto"/>
        <w:ind w:firstLine="437"/>
        <w:rPr>
          <w:rFonts w:hint="eastAsia" w:ascii="宋体" w:hAnsi="宋体" w:eastAsia="宋体"/>
          <w:sz w:val="24"/>
        </w:rPr>
      </w:pPr>
      <w:r>
        <w:rPr>
          <w:rFonts w:hint="eastAsia" w:ascii="宋体" w:hAnsi="宋体" w:eastAsia="宋体"/>
          <w:sz w:val="24"/>
        </w:rPr>
        <w:t>2.本项目中试剂耗材采购须适配我单位已有设备，具体详见“货物需求清单”</w:t>
      </w:r>
    </w:p>
    <w:p w14:paraId="7B42EBFE">
      <w:pPr>
        <w:wordWrap w:val="0"/>
        <w:spacing w:line="360" w:lineRule="auto"/>
        <w:ind w:firstLine="437"/>
        <w:rPr>
          <w:rFonts w:ascii="Arial" w:hAnsi="Arial" w:eastAsia="宋体" w:cs="Arial"/>
          <w:b/>
          <w:sz w:val="28"/>
          <w:szCs w:val="28"/>
        </w:rPr>
      </w:pPr>
      <w:r>
        <w:rPr>
          <w:rFonts w:ascii="Arial" w:hAnsi="Arial" w:eastAsia="宋体" w:cs="Arial"/>
          <w:b/>
          <w:sz w:val="28"/>
          <w:szCs w:val="28"/>
        </w:rPr>
        <w:t>一、</w:t>
      </w:r>
      <w:r>
        <w:rPr>
          <w:rFonts w:hint="eastAsia" w:ascii="Arial" w:hAnsi="Arial" w:eastAsia="宋体" w:cs="Arial"/>
          <w:b/>
          <w:sz w:val="28"/>
          <w:szCs w:val="28"/>
        </w:rPr>
        <w:t>招标</w:t>
      </w:r>
      <w:r>
        <w:rPr>
          <w:rFonts w:ascii="Arial" w:hAnsi="Arial" w:eastAsia="宋体" w:cs="Arial"/>
          <w:b/>
          <w:sz w:val="28"/>
          <w:szCs w:val="28"/>
        </w:rPr>
        <w:t>需求前附表</w:t>
      </w:r>
    </w:p>
    <w:tbl>
      <w:tblPr>
        <w:tblStyle w:val="4"/>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8"/>
        <w:gridCol w:w="2214"/>
        <w:gridCol w:w="5976"/>
      </w:tblGrid>
      <w:tr w14:paraId="5D9B9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98" w:type="dxa"/>
            <w:vAlign w:val="center"/>
          </w:tcPr>
          <w:p w14:paraId="4244626B">
            <w:pPr>
              <w:pStyle w:val="6"/>
              <w:pBdr>
                <w:bottom w:val="none" w:color="auto" w:sz="0" w:space="0"/>
              </w:pBdr>
              <w:tabs>
                <w:tab w:val="clear" w:pos="4153"/>
                <w:tab w:val="clear" w:pos="8306"/>
              </w:tabs>
              <w:wordWrap w:val="0"/>
              <w:adjustRightInd/>
              <w:spacing w:line="240" w:lineRule="auto"/>
              <w:textAlignment w:val="auto"/>
              <w:rPr>
                <w:rFonts w:hint="eastAsia" w:ascii="宋体" w:hAnsi="宋体" w:eastAsia="宋体"/>
                <w:b/>
                <w:kern w:val="2"/>
              </w:rPr>
            </w:pPr>
            <w:r>
              <w:rPr>
                <w:rFonts w:hint="eastAsia" w:ascii="宋体" w:hAnsi="宋体" w:eastAsia="宋体"/>
                <w:b/>
                <w:kern w:val="2"/>
              </w:rPr>
              <w:t>序号</w:t>
            </w:r>
          </w:p>
        </w:tc>
        <w:tc>
          <w:tcPr>
            <w:tcW w:w="2214" w:type="dxa"/>
            <w:vAlign w:val="center"/>
          </w:tcPr>
          <w:p w14:paraId="6F55A6FC">
            <w:pPr>
              <w:pStyle w:val="7"/>
              <w:widowControl w:val="0"/>
              <w:wordWrap w:val="0"/>
              <w:spacing w:before="0" w:beforeAutospacing="0" w:after="0" w:afterAutospacing="0" w:line="360" w:lineRule="auto"/>
              <w:rPr>
                <w:rFonts w:hint="eastAsia" w:ascii="宋体" w:hAnsi="宋体" w:eastAsia="宋体"/>
                <w:bCs w:val="0"/>
                <w:sz w:val="24"/>
              </w:rPr>
            </w:pPr>
            <w:r>
              <w:rPr>
                <w:rFonts w:hint="eastAsia" w:ascii="宋体" w:hAnsi="宋体" w:eastAsia="宋体"/>
                <w:bCs w:val="0"/>
                <w:sz w:val="24"/>
              </w:rPr>
              <w:t>条款名称</w:t>
            </w:r>
          </w:p>
        </w:tc>
        <w:tc>
          <w:tcPr>
            <w:tcW w:w="5976" w:type="dxa"/>
            <w:vAlign w:val="center"/>
          </w:tcPr>
          <w:p w14:paraId="447868B2">
            <w:pPr>
              <w:pStyle w:val="7"/>
              <w:widowControl w:val="0"/>
              <w:wordWrap w:val="0"/>
              <w:spacing w:before="0" w:beforeAutospacing="0" w:after="0" w:afterAutospacing="0" w:line="360" w:lineRule="auto"/>
              <w:rPr>
                <w:rFonts w:hint="eastAsia" w:ascii="宋体" w:hAnsi="宋体" w:eastAsia="宋体"/>
                <w:bCs w:val="0"/>
                <w:sz w:val="24"/>
              </w:rPr>
            </w:pPr>
            <w:r>
              <w:rPr>
                <w:rFonts w:hint="eastAsia" w:ascii="宋体" w:hAnsi="宋体" w:eastAsia="宋体"/>
                <w:bCs w:val="0"/>
                <w:sz w:val="24"/>
              </w:rPr>
              <w:t>内容、说明与要求</w:t>
            </w:r>
          </w:p>
        </w:tc>
      </w:tr>
      <w:tr w14:paraId="47217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98" w:type="dxa"/>
            <w:vAlign w:val="center"/>
          </w:tcPr>
          <w:p w14:paraId="707DF2CD">
            <w:pPr>
              <w:pStyle w:val="6"/>
              <w:pBdr>
                <w:bottom w:val="none" w:color="auto" w:sz="0" w:space="0"/>
              </w:pBdr>
              <w:tabs>
                <w:tab w:val="clear" w:pos="4153"/>
                <w:tab w:val="clear" w:pos="8306"/>
              </w:tabs>
              <w:wordWrap w:val="0"/>
              <w:adjustRightInd/>
              <w:spacing w:line="240" w:lineRule="auto"/>
              <w:textAlignment w:val="auto"/>
              <w:rPr>
                <w:rFonts w:hint="eastAsia" w:ascii="宋体" w:hAnsi="宋体" w:eastAsia="宋体"/>
                <w:bCs/>
                <w:kern w:val="2"/>
              </w:rPr>
            </w:pPr>
            <w:r>
              <w:rPr>
                <w:rFonts w:hint="eastAsia" w:ascii="宋体" w:hAnsi="宋体" w:eastAsia="宋体"/>
                <w:bCs/>
                <w:kern w:val="2"/>
              </w:rPr>
              <w:t>1</w:t>
            </w:r>
          </w:p>
        </w:tc>
        <w:tc>
          <w:tcPr>
            <w:tcW w:w="2214" w:type="dxa"/>
            <w:vAlign w:val="center"/>
          </w:tcPr>
          <w:p w14:paraId="6DB2ECAD">
            <w:pPr>
              <w:spacing w:line="360" w:lineRule="auto"/>
              <w:jc w:val="center"/>
              <w:rPr>
                <w:rFonts w:hint="eastAsia" w:ascii="宋体" w:hAnsi="宋体" w:eastAsia="宋体"/>
                <w:sz w:val="24"/>
              </w:rPr>
            </w:pPr>
            <w:r>
              <w:rPr>
                <w:rFonts w:ascii="Times New Roman" w:hAnsi="Times New Roman" w:eastAsia="宋体" w:cs="Times New Roman"/>
                <w:bCs/>
                <w:kern w:val="0"/>
                <w:sz w:val="24"/>
                <w:szCs w:val="28"/>
              </w:rPr>
              <w:t>付款方式</w:t>
            </w:r>
          </w:p>
        </w:tc>
        <w:tc>
          <w:tcPr>
            <w:tcW w:w="5976" w:type="dxa"/>
            <w:vAlign w:val="center"/>
          </w:tcPr>
          <w:p w14:paraId="4BE81E94">
            <w:pPr>
              <w:spacing w:line="360" w:lineRule="auto"/>
              <w:jc w:val="left"/>
              <w:rPr>
                <w:rFonts w:hint="eastAsia" w:ascii="宋体" w:hAnsi="宋体" w:eastAsia="宋体"/>
                <w:sz w:val="24"/>
                <w:u w:val="single"/>
              </w:rPr>
            </w:pPr>
            <w:r>
              <w:rPr>
                <w:rFonts w:hint="eastAsia" w:ascii="宋体" w:hAnsi="宋体" w:eastAsia="宋体"/>
                <w:sz w:val="24"/>
              </w:rPr>
              <w:t>验收合格后一次性付款。</w:t>
            </w:r>
          </w:p>
        </w:tc>
      </w:tr>
      <w:tr w14:paraId="18563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98" w:type="dxa"/>
            <w:vAlign w:val="center"/>
          </w:tcPr>
          <w:p w14:paraId="6B40EE6B">
            <w:pPr>
              <w:pStyle w:val="6"/>
              <w:pBdr>
                <w:bottom w:val="none" w:color="auto" w:sz="0" w:space="0"/>
              </w:pBdr>
              <w:tabs>
                <w:tab w:val="clear" w:pos="4153"/>
                <w:tab w:val="clear" w:pos="8306"/>
              </w:tabs>
              <w:wordWrap w:val="0"/>
              <w:adjustRightInd/>
              <w:spacing w:line="240" w:lineRule="auto"/>
              <w:textAlignment w:val="auto"/>
              <w:rPr>
                <w:rFonts w:hint="eastAsia" w:ascii="宋体" w:hAnsi="宋体" w:eastAsia="宋体"/>
                <w:bCs/>
                <w:kern w:val="2"/>
              </w:rPr>
            </w:pPr>
            <w:r>
              <w:rPr>
                <w:rFonts w:hint="eastAsia" w:ascii="宋体" w:hAnsi="宋体" w:eastAsia="宋体"/>
                <w:bCs/>
                <w:kern w:val="2"/>
              </w:rPr>
              <w:t>2</w:t>
            </w:r>
          </w:p>
        </w:tc>
        <w:tc>
          <w:tcPr>
            <w:tcW w:w="2214" w:type="dxa"/>
            <w:vAlign w:val="center"/>
          </w:tcPr>
          <w:p w14:paraId="445D36B6">
            <w:pPr>
              <w:spacing w:line="360" w:lineRule="auto"/>
              <w:jc w:val="center"/>
              <w:rPr>
                <w:rFonts w:hint="eastAsia" w:ascii="宋体" w:hAnsi="宋体" w:eastAsia="宋体"/>
                <w:sz w:val="24"/>
              </w:rPr>
            </w:pPr>
            <w:r>
              <w:rPr>
                <w:rFonts w:ascii="Times New Roman" w:hAnsi="Times New Roman" w:eastAsia="宋体" w:cs="Times New Roman"/>
                <w:bCs/>
                <w:kern w:val="0"/>
                <w:sz w:val="24"/>
                <w:szCs w:val="28"/>
              </w:rPr>
              <w:t>供货及安装地点</w:t>
            </w:r>
          </w:p>
        </w:tc>
        <w:tc>
          <w:tcPr>
            <w:tcW w:w="5976" w:type="dxa"/>
            <w:vAlign w:val="center"/>
          </w:tcPr>
          <w:p w14:paraId="7DBF558F">
            <w:pPr>
              <w:spacing w:line="360" w:lineRule="auto"/>
              <w:jc w:val="left"/>
              <w:rPr>
                <w:rFonts w:hint="eastAsia" w:ascii="宋体" w:hAnsi="宋体" w:eastAsia="宋体"/>
                <w:sz w:val="24"/>
                <w:u w:val="single"/>
              </w:rPr>
            </w:pPr>
            <w:r>
              <w:rPr>
                <w:rFonts w:hint="eastAsia" w:ascii="Times New Roman" w:hAnsi="Times New Roman" w:eastAsia="宋体" w:cs="Times New Roman"/>
                <w:bCs/>
                <w:kern w:val="0"/>
                <w:sz w:val="24"/>
                <w:szCs w:val="28"/>
              </w:rPr>
              <w:t>安徽省疾病预防控制中心或</w:t>
            </w:r>
            <w:r>
              <w:rPr>
                <w:rFonts w:ascii="Times New Roman" w:hAnsi="Times New Roman" w:eastAsia="宋体" w:cs="Times New Roman"/>
                <w:bCs/>
                <w:kern w:val="0"/>
                <w:sz w:val="24"/>
                <w:szCs w:val="28"/>
              </w:rPr>
              <w:t>采购人指定地点。</w:t>
            </w:r>
          </w:p>
        </w:tc>
      </w:tr>
      <w:tr w14:paraId="2E39C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98" w:type="dxa"/>
            <w:vAlign w:val="center"/>
          </w:tcPr>
          <w:p w14:paraId="048008A4">
            <w:pPr>
              <w:pStyle w:val="6"/>
              <w:pBdr>
                <w:bottom w:val="none" w:color="auto" w:sz="0" w:space="0"/>
              </w:pBdr>
              <w:tabs>
                <w:tab w:val="clear" w:pos="4153"/>
                <w:tab w:val="clear" w:pos="8306"/>
              </w:tabs>
              <w:wordWrap w:val="0"/>
              <w:adjustRightInd/>
              <w:spacing w:line="240" w:lineRule="auto"/>
              <w:textAlignment w:val="auto"/>
              <w:rPr>
                <w:rFonts w:hint="eastAsia" w:ascii="宋体" w:hAnsi="宋体" w:eastAsia="宋体"/>
                <w:bCs/>
                <w:kern w:val="2"/>
              </w:rPr>
            </w:pPr>
            <w:r>
              <w:rPr>
                <w:rFonts w:hint="eastAsia" w:ascii="宋体" w:hAnsi="宋体" w:eastAsia="宋体"/>
                <w:bCs/>
                <w:kern w:val="2"/>
              </w:rPr>
              <w:t>3</w:t>
            </w:r>
          </w:p>
        </w:tc>
        <w:tc>
          <w:tcPr>
            <w:tcW w:w="2214" w:type="dxa"/>
            <w:vAlign w:val="center"/>
          </w:tcPr>
          <w:p w14:paraId="51FCBE88">
            <w:pPr>
              <w:spacing w:line="360" w:lineRule="auto"/>
              <w:jc w:val="center"/>
              <w:rPr>
                <w:rFonts w:hint="eastAsia" w:ascii="宋体" w:hAnsi="宋体" w:eastAsia="宋体"/>
                <w:sz w:val="24"/>
              </w:rPr>
            </w:pPr>
            <w:r>
              <w:rPr>
                <w:rFonts w:ascii="Times New Roman" w:hAnsi="Times New Roman" w:eastAsia="宋体" w:cs="Times New Roman"/>
                <w:bCs/>
                <w:kern w:val="0"/>
                <w:sz w:val="24"/>
                <w:szCs w:val="28"/>
              </w:rPr>
              <w:t>供货及安装期限</w:t>
            </w:r>
          </w:p>
        </w:tc>
        <w:tc>
          <w:tcPr>
            <w:tcW w:w="5976" w:type="dxa"/>
            <w:vAlign w:val="center"/>
          </w:tcPr>
          <w:p w14:paraId="040C4C84">
            <w:pPr>
              <w:spacing w:line="360" w:lineRule="auto"/>
              <w:jc w:val="left"/>
              <w:rPr>
                <w:rFonts w:ascii="Times New Roman" w:hAnsi="Times New Roman" w:eastAsia="宋体" w:cs="Times New Roman"/>
                <w:bCs/>
                <w:kern w:val="0"/>
                <w:sz w:val="24"/>
                <w:szCs w:val="28"/>
              </w:rPr>
            </w:pPr>
            <w:r>
              <w:rPr>
                <w:rFonts w:hint="eastAsia" w:ascii="Times New Roman" w:hAnsi="Times New Roman" w:eastAsia="宋体" w:cs="Times New Roman"/>
                <w:bCs/>
                <w:kern w:val="0"/>
                <w:sz w:val="24"/>
                <w:szCs w:val="28"/>
              </w:rPr>
              <w:t>合同签订生效后至6月30日前完成供货。</w:t>
            </w:r>
            <w:r>
              <w:rPr>
                <w:rFonts w:hint="eastAsia" w:ascii="Times New Roman" w:hAnsi="Times New Roman" w:eastAsia="宋体" w:cs="Times New Roman"/>
                <w:b/>
                <w:kern w:val="0"/>
                <w:sz w:val="24"/>
                <w:szCs w:val="28"/>
              </w:rPr>
              <w:t>采购需求另有规定的，以采购需求为准。</w:t>
            </w:r>
          </w:p>
        </w:tc>
      </w:tr>
      <w:tr w14:paraId="747AE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98" w:type="dxa"/>
            <w:vAlign w:val="center"/>
          </w:tcPr>
          <w:p w14:paraId="24010E11">
            <w:pPr>
              <w:pStyle w:val="6"/>
              <w:pBdr>
                <w:bottom w:val="none" w:color="auto" w:sz="0" w:space="0"/>
              </w:pBdr>
              <w:tabs>
                <w:tab w:val="clear" w:pos="4153"/>
                <w:tab w:val="clear" w:pos="8306"/>
              </w:tabs>
              <w:wordWrap w:val="0"/>
              <w:adjustRightInd/>
              <w:spacing w:line="240" w:lineRule="auto"/>
              <w:textAlignment w:val="auto"/>
              <w:rPr>
                <w:rFonts w:hint="eastAsia" w:ascii="宋体" w:hAnsi="宋体" w:eastAsia="宋体"/>
                <w:bCs/>
                <w:kern w:val="2"/>
              </w:rPr>
            </w:pPr>
            <w:r>
              <w:rPr>
                <w:rFonts w:hint="eastAsia" w:ascii="宋体" w:hAnsi="宋体" w:eastAsia="宋体"/>
                <w:bCs/>
                <w:kern w:val="2"/>
              </w:rPr>
              <w:t>4</w:t>
            </w:r>
          </w:p>
        </w:tc>
        <w:tc>
          <w:tcPr>
            <w:tcW w:w="2214" w:type="dxa"/>
            <w:vAlign w:val="center"/>
          </w:tcPr>
          <w:p w14:paraId="3B0A576B">
            <w:pPr>
              <w:spacing w:line="360" w:lineRule="auto"/>
              <w:jc w:val="center"/>
              <w:rPr>
                <w:rFonts w:hint="eastAsia" w:ascii="宋体" w:hAnsi="宋体" w:eastAsia="宋体"/>
                <w:sz w:val="24"/>
              </w:rPr>
            </w:pPr>
            <w:r>
              <w:rPr>
                <w:rFonts w:hint="eastAsia" w:ascii="宋体" w:hAnsi="宋体" w:eastAsia="宋体"/>
                <w:sz w:val="24"/>
              </w:rPr>
              <w:t>效期</w:t>
            </w:r>
          </w:p>
        </w:tc>
        <w:tc>
          <w:tcPr>
            <w:tcW w:w="5976" w:type="dxa"/>
            <w:vAlign w:val="center"/>
          </w:tcPr>
          <w:p w14:paraId="611431C7">
            <w:pPr>
              <w:spacing w:line="360" w:lineRule="auto"/>
              <w:jc w:val="left"/>
              <w:rPr>
                <w:rFonts w:ascii="Times New Roman" w:hAnsi="Times New Roman" w:eastAsia="宋体" w:cs="Times New Roman"/>
                <w:bCs/>
                <w:kern w:val="0"/>
                <w:sz w:val="24"/>
                <w:szCs w:val="28"/>
              </w:rPr>
            </w:pPr>
            <w:r>
              <w:rPr>
                <w:rFonts w:hint="eastAsia" w:ascii="Times New Roman" w:hAnsi="Times New Roman" w:eastAsia="宋体" w:cs="Times New Roman"/>
                <w:bCs/>
                <w:kern w:val="0"/>
                <w:sz w:val="24"/>
                <w:szCs w:val="28"/>
              </w:rPr>
              <w:t>验收合格之日起</w:t>
            </w:r>
            <w:r>
              <w:rPr>
                <w:rFonts w:hint="eastAsia" w:ascii="宋体" w:hAnsi="宋体" w:eastAsia="宋体" w:cs="宋体"/>
                <w:sz w:val="24"/>
                <w:szCs w:val="24"/>
              </w:rPr>
              <w:t>不低于</w:t>
            </w:r>
            <w:r>
              <w:rPr>
                <w:rFonts w:hint="eastAsia" w:ascii="Times New Roman" w:hAnsi="Times New Roman" w:eastAsia="宋体" w:cs="Times New Roman"/>
                <w:bCs/>
                <w:kern w:val="0"/>
                <w:sz w:val="24"/>
                <w:szCs w:val="28"/>
              </w:rPr>
              <w:t>总有效期三分之二，</w:t>
            </w:r>
            <w:r>
              <w:rPr>
                <w:rFonts w:hint="eastAsia" w:ascii="Times New Roman" w:hAnsi="Times New Roman" w:eastAsia="宋体" w:cs="Times New Roman"/>
                <w:b/>
                <w:kern w:val="0"/>
                <w:sz w:val="24"/>
                <w:szCs w:val="28"/>
              </w:rPr>
              <w:t>货物需求中另有规定的，以货物需求为准。</w:t>
            </w:r>
          </w:p>
        </w:tc>
      </w:tr>
    </w:tbl>
    <w:p w14:paraId="3A0E3655">
      <w:pPr>
        <w:wordWrap w:val="0"/>
        <w:spacing w:line="360" w:lineRule="auto"/>
        <w:ind w:firstLine="437"/>
        <w:rPr>
          <w:rFonts w:ascii="Arial" w:hAnsi="Arial" w:eastAsia="宋体" w:cs="Arial"/>
          <w:b/>
          <w:sz w:val="28"/>
          <w:szCs w:val="28"/>
        </w:rPr>
      </w:pPr>
      <w:r>
        <w:rPr>
          <w:rFonts w:hint="eastAsia" w:ascii="Arial" w:hAnsi="Arial" w:eastAsia="宋体" w:cs="Arial"/>
          <w:b/>
          <w:sz w:val="28"/>
          <w:szCs w:val="28"/>
        </w:rPr>
        <w:t>第1包：试剂耗材补充采购1</w:t>
      </w:r>
    </w:p>
    <w:p w14:paraId="2335F728">
      <w:pPr>
        <w:wordWrap w:val="0"/>
        <w:spacing w:line="360" w:lineRule="auto"/>
        <w:ind w:firstLine="437"/>
        <w:rPr>
          <w:rFonts w:ascii="Arial" w:hAnsi="Arial" w:eastAsia="宋体" w:cs="Arial"/>
          <w:b/>
          <w:sz w:val="28"/>
          <w:szCs w:val="28"/>
        </w:rPr>
      </w:pPr>
      <w:r>
        <w:rPr>
          <w:rFonts w:hint="eastAsia" w:ascii="Arial" w:hAnsi="Arial" w:eastAsia="宋体" w:cs="Arial"/>
          <w:b/>
          <w:sz w:val="28"/>
          <w:szCs w:val="28"/>
        </w:rPr>
        <w:t>二、货物需求</w:t>
      </w:r>
    </w:p>
    <w:p w14:paraId="7A340CBC">
      <w:pPr>
        <w:widowControl/>
        <w:wordWrap w:val="0"/>
        <w:spacing w:line="360" w:lineRule="auto"/>
        <w:ind w:firstLine="437"/>
        <w:jc w:val="left"/>
        <w:rPr>
          <w:rFonts w:hint="eastAsia" w:ascii="宋体" w:hAnsi="宋体" w:eastAsia="宋体"/>
          <w:b/>
          <w:bCs/>
          <w:sz w:val="24"/>
        </w:rPr>
      </w:pPr>
      <w:r>
        <w:rPr>
          <w:rFonts w:hint="eastAsia" w:ascii="宋体" w:hAnsi="宋体" w:eastAsia="宋体"/>
          <w:b/>
          <w:bCs/>
          <w:sz w:val="24"/>
        </w:rPr>
        <w:t>（一）货物指标要求</w:t>
      </w:r>
    </w:p>
    <w:tbl>
      <w:tblPr>
        <w:tblStyle w:val="4"/>
        <w:tblW w:w="9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1"/>
        <w:gridCol w:w="1406"/>
        <w:gridCol w:w="5723"/>
      </w:tblGrid>
      <w:tr w14:paraId="31D80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2241" w:type="dxa"/>
            <w:vAlign w:val="center"/>
          </w:tcPr>
          <w:p w14:paraId="27D8B38A">
            <w:pPr>
              <w:spacing w:line="360" w:lineRule="auto"/>
              <w:jc w:val="center"/>
              <w:rPr>
                <w:rFonts w:ascii="Times New Roman" w:hAnsi="Times New Roman" w:eastAsia="宋体" w:cs="Times New Roman"/>
                <w:b/>
                <w:bCs/>
                <w:sz w:val="24"/>
                <w:szCs w:val="18"/>
              </w:rPr>
            </w:pPr>
            <w:r>
              <w:rPr>
                <w:rFonts w:ascii="Times New Roman" w:hAnsi="Times New Roman" w:eastAsia="宋体" w:cs="Times New Roman"/>
                <w:b/>
                <w:bCs/>
                <w:sz w:val="24"/>
                <w:szCs w:val="18"/>
              </w:rPr>
              <w:t>标识重要性</w:t>
            </w:r>
          </w:p>
        </w:tc>
        <w:tc>
          <w:tcPr>
            <w:tcW w:w="1406" w:type="dxa"/>
            <w:vAlign w:val="center"/>
          </w:tcPr>
          <w:p w14:paraId="0B6DC1F1">
            <w:pPr>
              <w:spacing w:line="360" w:lineRule="auto"/>
              <w:jc w:val="center"/>
              <w:rPr>
                <w:rFonts w:ascii="Times New Roman" w:hAnsi="Times New Roman" w:eastAsia="宋体" w:cs="Times New Roman"/>
                <w:b/>
                <w:bCs/>
                <w:sz w:val="24"/>
                <w:szCs w:val="18"/>
              </w:rPr>
            </w:pPr>
            <w:r>
              <w:rPr>
                <w:rFonts w:ascii="Times New Roman" w:hAnsi="Times New Roman" w:eastAsia="宋体" w:cs="Times New Roman"/>
                <w:b/>
                <w:bCs/>
                <w:sz w:val="24"/>
                <w:szCs w:val="18"/>
              </w:rPr>
              <w:t>标识符号</w:t>
            </w:r>
          </w:p>
        </w:tc>
        <w:tc>
          <w:tcPr>
            <w:tcW w:w="5723" w:type="dxa"/>
            <w:vAlign w:val="center"/>
          </w:tcPr>
          <w:p w14:paraId="2FD440EA">
            <w:pPr>
              <w:spacing w:line="360" w:lineRule="auto"/>
              <w:jc w:val="center"/>
              <w:rPr>
                <w:rFonts w:ascii="Times New Roman" w:hAnsi="Times New Roman" w:eastAsia="宋体" w:cs="Times New Roman"/>
                <w:b/>
                <w:bCs/>
                <w:sz w:val="24"/>
                <w:szCs w:val="18"/>
              </w:rPr>
            </w:pPr>
            <w:r>
              <w:rPr>
                <w:rFonts w:ascii="Times New Roman" w:hAnsi="Times New Roman" w:eastAsia="宋体" w:cs="Times New Roman"/>
                <w:b/>
                <w:bCs/>
                <w:sz w:val="24"/>
                <w:szCs w:val="18"/>
              </w:rPr>
              <w:t>代表意思</w:t>
            </w:r>
          </w:p>
        </w:tc>
      </w:tr>
      <w:tr w14:paraId="3A060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1" w:type="dxa"/>
            <w:vAlign w:val="center"/>
          </w:tcPr>
          <w:p w14:paraId="0E5C43CB">
            <w:pPr>
              <w:spacing w:line="360" w:lineRule="auto"/>
              <w:jc w:val="center"/>
              <w:rPr>
                <w:rFonts w:ascii="Times New Roman" w:hAnsi="Times New Roman" w:eastAsia="宋体" w:cs="Times New Roman"/>
                <w:sz w:val="24"/>
                <w:szCs w:val="18"/>
              </w:rPr>
            </w:pPr>
            <w:r>
              <w:rPr>
                <w:rFonts w:ascii="Times New Roman" w:hAnsi="Times New Roman" w:eastAsia="宋体" w:cs="Times New Roman"/>
                <w:sz w:val="24"/>
                <w:szCs w:val="18"/>
              </w:rPr>
              <w:t>重要指标项</w:t>
            </w:r>
          </w:p>
        </w:tc>
        <w:tc>
          <w:tcPr>
            <w:tcW w:w="1406" w:type="dxa"/>
            <w:vAlign w:val="center"/>
          </w:tcPr>
          <w:p w14:paraId="1079361D">
            <w:pPr>
              <w:spacing w:line="360" w:lineRule="auto"/>
              <w:jc w:val="center"/>
              <w:rPr>
                <w:rFonts w:ascii="Times New Roman" w:hAnsi="Times New Roman" w:eastAsia="宋体" w:cs="Times New Roman"/>
                <w:bCs/>
                <w:sz w:val="24"/>
                <w:szCs w:val="24"/>
              </w:rPr>
            </w:pPr>
            <w:r>
              <w:rPr>
                <w:rFonts w:hint="eastAsia" w:ascii="宋体" w:hAnsi="宋体" w:eastAsia="宋体" w:cs="宋体"/>
                <w:sz w:val="24"/>
                <w:szCs w:val="24"/>
              </w:rPr>
              <w:t>★</w:t>
            </w:r>
          </w:p>
        </w:tc>
        <w:tc>
          <w:tcPr>
            <w:tcW w:w="5723" w:type="dxa"/>
            <w:vAlign w:val="center"/>
          </w:tcPr>
          <w:p w14:paraId="23A8F439">
            <w:pPr>
              <w:spacing w:line="360" w:lineRule="auto"/>
              <w:jc w:val="center"/>
              <w:rPr>
                <w:rFonts w:ascii="Times New Roman" w:hAnsi="Times New Roman" w:eastAsia="宋体" w:cs="Times New Roman"/>
                <w:sz w:val="24"/>
                <w:szCs w:val="18"/>
              </w:rPr>
            </w:pPr>
            <w:r>
              <w:rPr>
                <w:rFonts w:ascii="Times New Roman" w:hAnsi="Times New Roman" w:eastAsia="宋体" w:cs="Times New Roman"/>
                <w:sz w:val="24"/>
                <w:szCs w:val="18"/>
              </w:rPr>
              <w:t>评分项，详见评分细则</w:t>
            </w:r>
          </w:p>
        </w:tc>
      </w:tr>
      <w:tr w14:paraId="5EF4B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2241" w:type="dxa"/>
            <w:vAlign w:val="center"/>
          </w:tcPr>
          <w:p w14:paraId="76737761">
            <w:pPr>
              <w:spacing w:line="360" w:lineRule="auto"/>
              <w:jc w:val="center"/>
              <w:rPr>
                <w:rFonts w:ascii="Times New Roman" w:hAnsi="Times New Roman" w:eastAsia="宋体" w:cs="Times New Roman"/>
                <w:b/>
                <w:bCs/>
                <w:sz w:val="24"/>
                <w:szCs w:val="18"/>
              </w:rPr>
            </w:pPr>
            <w:r>
              <w:rPr>
                <w:rFonts w:ascii="Times New Roman" w:hAnsi="Times New Roman" w:eastAsia="宋体" w:cs="Times New Roman"/>
                <w:b/>
                <w:bCs/>
                <w:sz w:val="24"/>
                <w:szCs w:val="18"/>
              </w:rPr>
              <w:t>无标识项</w:t>
            </w:r>
          </w:p>
        </w:tc>
        <w:tc>
          <w:tcPr>
            <w:tcW w:w="1406" w:type="dxa"/>
            <w:vAlign w:val="center"/>
          </w:tcPr>
          <w:p w14:paraId="64BCDEB8">
            <w:pPr>
              <w:spacing w:line="360" w:lineRule="auto"/>
              <w:jc w:val="center"/>
              <w:rPr>
                <w:rFonts w:ascii="Times New Roman" w:hAnsi="Times New Roman" w:eastAsia="宋体" w:cs="Times New Roman"/>
                <w:b/>
                <w:bCs/>
                <w:sz w:val="24"/>
                <w:szCs w:val="18"/>
              </w:rPr>
            </w:pPr>
          </w:p>
        </w:tc>
        <w:tc>
          <w:tcPr>
            <w:tcW w:w="5723" w:type="dxa"/>
            <w:vAlign w:val="center"/>
          </w:tcPr>
          <w:p w14:paraId="78AB3B8C">
            <w:pPr>
              <w:pStyle w:val="10"/>
              <w:spacing w:before="76" w:line="360" w:lineRule="auto"/>
              <w:rPr>
                <w:rFonts w:ascii="Times New Roman" w:hAnsi="Times New Roman" w:eastAsia="宋体" w:cs="Times New Roman"/>
                <w:b/>
                <w:bCs/>
                <w:sz w:val="24"/>
                <w:szCs w:val="18"/>
              </w:rPr>
            </w:pPr>
            <w:r>
              <w:rPr>
                <w:rFonts w:hint="eastAsia" w:ascii="Times New Roman" w:hAnsi="Times New Roman" w:eastAsia="宋体" w:cs="Times New Roman"/>
                <w:sz w:val="24"/>
                <w:szCs w:val="24"/>
                <w:lang w:val="en-US"/>
              </w:rPr>
              <w:t>无标识项</w:t>
            </w:r>
            <w:r>
              <w:rPr>
                <w:rFonts w:ascii="Times New Roman" w:hAnsi="Times New Roman" w:eastAsia="宋体" w:cs="Times New Roman"/>
                <w:kern w:val="0"/>
                <w:sz w:val="24"/>
                <w:szCs w:val="24"/>
                <w:lang w:val="en-US" w:bidi="ar-SA"/>
              </w:rPr>
              <w:t>作</w:t>
            </w:r>
            <w:r>
              <w:rPr>
                <w:rFonts w:hint="eastAsia" w:ascii="Times New Roman" w:hAnsi="Times New Roman" w:eastAsia="宋体" w:cs="Times New Roman"/>
                <w:kern w:val="0"/>
                <w:sz w:val="24"/>
                <w:szCs w:val="24"/>
                <w:lang w:val="en-US" w:bidi="ar-SA"/>
              </w:rPr>
              <w:t>为基础指标项，全部满足得</w:t>
            </w:r>
            <w:r>
              <w:rPr>
                <w:rFonts w:hint="eastAsia" w:ascii="Times New Roman" w:hAnsi="Times New Roman" w:eastAsia="宋体" w:cs="Times New Roman"/>
                <w:kern w:val="0"/>
                <w:sz w:val="24"/>
                <w:szCs w:val="24"/>
                <w:lang w:val="en-US" w:eastAsia="zh-CN" w:bidi="ar-SA"/>
              </w:rPr>
              <w:t>5</w:t>
            </w:r>
            <w:r>
              <w:rPr>
                <w:rFonts w:hint="eastAsia" w:ascii="Times New Roman" w:hAnsi="Times New Roman" w:eastAsia="宋体" w:cs="Times New Roman"/>
                <w:kern w:val="0"/>
                <w:sz w:val="24"/>
                <w:szCs w:val="24"/>
                <w:lang w:val="en-US" w:bidi="ar-SA"/>
              </w:rPr>
              <w:t>分，有1条未响应（或负偏离）的得</w:t>
            </w:r>
            <w:r>
              <w:rPr>
                <w:rFonts w:hint="eastAsia" w:ascii="Times New Roman" w:hAnsi="Times New Roman" w:eastAsia="宋体" w:cs="Times New Roman"/>
                <w:kern w:val="0"/>
                <w:sz w:val="24"/>
                <w:szCs w:val="24"/>
                <w:lang w:val="en-US" w:eastAsia="zh-CN" w:bidi="ar-SA"/>
              </w:rPr>
              <w:t>3</w:t>
            </w:r>
            <w:r>
              <w:rPr>
                <w:rFonts w:hint="eastAsia" w:ascii="Times New Roman" w:hAnsi="Times New Roman" w:eastAsia="宋体" w:cs="Times New Roman"/>
                <w:kern w:val="0"/>
                <w:sz w:val="24"/>
                <w:szCs w:val="24"/>
                <w:lang w:val="en-US" w:bidi="ar-SA"/>
              </w:rPr>
              <w:t>分，有2条未响应（或负偏离）的得</w:t>
            </w:r>
            <w:r>
              <w:rPr>
                <w:rFonts w:hint="eastAsia" w:ascii="Times New Roman" w:hAnsi="Times New Roman" w:eastAsia="宋体" w:cs="Times New Roman"/>
                <w:kern w:val="0"/>
                <w:sz w:val="24"/>
                <w:szCs w:val="24"/>
                <w:lang w:val="en-US" w:eastAsia="zh-CN" w:bidi="ar-SA"/>
              </w:rPr>
              <w:t>1</w:t>
            </w:r>
            <w:r>
              <w:rPr>
                <w:rFonts w:hint="eastAsia" w:ascii="Times New Roman" w:hAnsi="Times New Roman" w:eastAsia="宋体" w:cs="Times New Roman"/>
                <w:kern w:val="0"/>
                <w:sz w:val="24"/>
                <w:szCs w:val="24"/>
                <w:lang w:val="en-US" w:bidi="ar-SA"/>
              </w:rPr>
              <w:t>分</w:t>
            </w:r>
            <w:r>
              <w:rPr>
                <w:rFonts w:ascii="Times New Roman" w:hAnsi="Times New Roman" w:eastAsia="宋体" w:cs="Times New Roman"/>
                <w:kern w:val="0"/>
                <w:sz w:val="24"/>
                <w:szCs w:val="24"/>
                <w:lang w:val="en-US" w:bidi="ar-SA"/>
              </w:rPr>
              <w:t>，</w:t>
            </w:r>
            <w:r>
              <w:rPr>
                <w:rFonts w:hint="eastAsia" w:ascii="Times New Roman" w:hAnsi="Times New Roman" w:eastAsia="宋体" w:cs="Times New Roman"/>
                <w:kern w:val="0"/>
                <w:sz w:val="24"/>
                <w:szCs w:val="24"/>
                <w:lang w:val="en-US" w:bidi="ar-SA"/>
              </w:rPr>
              <w:t>超过2条未响应（或负偏离）的不得分</w:t>
            </w:r>
            <w:r>
              <w:rPr>
                <w:rFonts w:hint="eastAsia" w:eastAsia="宋体"/>
                <w:sz w:val="24"/>
              </w:rPr>
              <w:t>。</w:t>
            </w:r>
          </w:p>
        </w:tc>
      </w:tr>
      <w:tr w14:paraId="52599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0" w:type="dxa"/>
            <w:gridSpan w:val="3"/>
            <w:vAlign w:val="center"/>
          </w:tcPr>
          <w:p w14:paraId="1858686F">
            <w:pPr>
              <w:spacing w:line="360" w:lineRule="auto"/>
              <w:rPr>
                <w:rFonts w:hint="eastAsia" w:ascii="宋体" w:hAnsi="宋体" w:eastAsia="宋体" w:cs="宋体"/>
                <w:b/>
                <w:sz w:val="24"/>
                <w:szCs w:val="24"/>
              </w:rPr>
            </w:pPr>
            <w:r>
              <w:rPr>
                <w:rFonts w:hint="eastAsia" w:ascii="宋体" w:hAnsi="宋体" w:eastAsia="宋体" w:cs="宋体"/>
                <w:b/>
                <w:sz w:val="24"/>
                <w:szCs w:val="24"/>
              </w:rPr>
              <w:t>注：</w:t>
            </w:r>
          </w:p>
          <w:p w14:paraId="2DE1FB35">
            <w:pPr>
              <w:spacing w:line="360" w:lineRule="auto"/>
              <w:jc w:val="lef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（1）针对下表中标注★的指标项须按招标文件要求在投标文件中提供证明材料予以佐证。</w:t>
            </w:r>
          </w:p>
          <w:p w14:paraId="3867A3CB">
            <w:pPr>
              <w:spacing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rPr>
              <w:t>1.采购需求中</w:t>
            </w:r>
            <w:r>
              <w:rPr>
                <w:rFonts w:hint="eastAsia" w:ascii="宋体" w:hAnsi="宋体" w:eastAsia="宋体" w:cs="宋体"/>
                <w:b/>
                <w:color w:val="000000"/>
                <w:sz w:val="24"/>
                <w:szCs w:val="24"/>
                <w:lang w:val="zh-CN"/>
              </w:rPr>
              <w:t>明确要求提供</w:t>
            </w:r>
            <w:r>
              <w:rPr>
                <w:rFonts w:hint="eastAsia" w:ascii="宋体" w:hAnsi="宋体" w:eastAsia="宋体" w:cs="宋体"/>
                <w:b/>
                <w:color w:val="000000"/>
                <w:sz w:val="24"/>
                <w:szCs w:val="24"/>
              </w:rPr>
              <w:t>相关</w:t>
            </w:r>
            <w:r>
              <w:rPr>
                <w:rFonts w:hint="eastAsia" w:ascii="宋体" w:hAnsi="宋体" w:eastAsia="宋体" w:cs="宋体"/>
                <w:b/>
                <w:color w:val="000000"/>
                <w:sz w:val="24"/>
                <w:szCs w:val="24"/>
                <w:lang w:val="zh-CN"/>
              </w:rPr>
              <w:t>材料</w:t>
            </w:r>
            <w:r>
              <w:rPr>
                <w:rFonts w:hint="eastAsia" w:ascii="宋体" w:hAnsi="宋体" w:eastAsia="宋体" w:cs="宋体"/>
                <w:b/>
                <w:color w:val="000000"/>
                <w:sz w:val="24"/>
                <w:szCs w:val="24"/>
              </w:rPr>
              <w:t>的</w:t>
            </w:r>
            <w:r>
              <w:rPr>
                <w:rFonts w:hint="eastAsia" w:ascii="宋体" w:hAnsi="宋体" w:eastAsia="宋体" w:cs="宋体"/>
                <w:b/>
                <w:color w:val="000000"/>
                <w:sz w:val="24"/>
                <w:szCs w:val="24"/>
                <w:lang w:val="zh-CN"/>
              </w:rPr>
              <w:t>按采购需求要求提供</w:t>
            </w:r>
            <w:r>
              <w:rPr>
                <w:rFonts w:hint="eastAsia" w:ascii="宋体" w:hAnsi="宋体" w:eastAsia="宋体" w:cs="宋体"/>
                <w:b/>
                <w:color w:val="000000"/>
                <w:sz w:val="24"/>
                <w:szCs w:val="24"/>
              </w:rPr>
              <w:t>对应证明材料</w:t>
            </w:r>
            <w:r>
              <w:rPr>
                <w:rFonts w:hint="eastAsia" w:ascii="宋体" w:hAnsi="宋体" w:eastAsia="宋体" w:cs="宋体"/>
                <w:b/>
                <w:color w:val="000000"/>
                <w:sz w:val="24"/>
                <w:szCs w:val="24"/>
                <w:lang w:val="zh-CN"/>
              </w:rPr>
              <w:t>；</w:t>
            </w:r>
          </w:p>
          <w:p w14:paraId="31311812">
            <w:pPr>
              <w:spacing w:line="360" w:lineRule="auto"/>
              <w:rPr>
                <w:rFonts w:hint="eastAsia" w:ascii="宋体" w:hAnsi="宋体" w:eastAsia="宋体" w:cs="宋体"/>
                <w:b/>
                <w:bCs/>
                <w:color w:val="000000"/>
                <w:sz w:val="24"/>
                <w:szCs w:val="24"/>
              </w:rPr>
            </w:pPr>
            <w:r>
              <w:rPr>
                <w:rFonts w:hint="eastAsia" w:ascii="宋体" w:hAnsi="宋体" w:eastAsia="宋体" w:cs="宋体"/>
                <w:b/>
                <w:color w:val="000000"/>
                <w:sz w:val="24"/>
                <w:szCs w:val="24"/>
              </w:rPr>
              <w:t>2.采购需求中未明确要求提供证明料的，投标人须自行提供</w:t>
            </w:r>
            <w:r>
              <w:rPr>
                <w:rFonts w:hint="eastAsia" w:ascii="宋体" w:hAnsi="宋体" w:eastAsia="宋体" w:cs="宋体"/>
                <w:b/>
                <w:bCs/>
                <w:color w:val="000000"/>
                <w:sz w:val="24"/>
                <w:szCs w:val="24"/>
              </w:rPr>
              <w:t>证明材料，包括产品技术白皮书、产品技术说明书、产品彩页（产品功能截图）、厂家（制造商）官网截图、第三方机构出具的带有CMA或</w:t>
            </w:r>
            <w:r>
              <w:rPr>
                <w:rFonts w:hint="eastAsia" w:ascii="宋体" w:hAnsi="宋体" w:eastAsia="宋体" w:cs="宋体"/>
                <w:b/>
                <w:bCs/>
                <w:color w:val="000000"/>
                <w:kern w:val="0"/>
                <w:sz w:val="24"/>
                <w:szCs w:val="24"/>
                <w:lang w:bidi="ar"/>
              </w:rPr>
              <w:t>CNAS</w:t>
            </w:r>
            <w:r>
              <w:rPr>
                <w:rFonts w:hint="eastAsia" w:ascii="宋体" w:hAnsi="宋体" w:eastAsia="宋体" w:cs="宋体"/>
                <w:b/>
                <w:bCs/>
                <w:color w:val="000000"/>
                <w:sz w:val="24"/>
                <w:szCs w:val="24"/>
              </w:rPr>
              <w:t>标识的检测报告，提供其中之一即可。未按以上要求提供证明材料的视为负偏离或未响应（为便于评审，建议</w:t>
            </w:r>
            <w:r>
              <w:rPr>
                <w:rFonts w:hint="eastAsia" w:ascii="宋体" w:hAnsi="宋体" w:eastAsia="宋体" w:cs="宋体"/>
                <w:b/>
                <w:color w:val="000000"/>
                <w:sz w:val="24"/>
                <w:szCs w:val="24"/>
              </w:rPr>
              <w:t>投标人</w:t>
            </w:r>
            <w:r>
              <w:rPr>
                <w:rFonts w:hint="eastAsia" w:ascii="宋体" w:hAnsi="宋体" w:eastAsia="宋体" w:cs="宋体"/>
                <w:b/>
                <w:bCs/>
                <w:color w:val="000000"/>
                <w:sz w:val="24"/>
                <w:szCs w:val="24"/>
              </w:rPr>
              <w:t>对证明材料中的关键参数进行标注）。</w:t>
            </w:r>
          </w:p>
          <w:p w14:paraId="3C40A794">
            <w:pPr>
              <w:spacing w:line="360" w:lineRule="auto"/>
              <w:rPr>
                <w:rFonts w:ascii="Times New Roman" w:hAnsi="Times New Roman" w:eastAsia="宋体" w:cs="Times New Roman"/>
                <w:b/>
                <w:sz w:val="24"/>
                <w:szCs w:val="24"/>
              </w:rPr>
            </w:pPr>
            <w:r>
              <w:rPr>
                <w:rFonts w:hint="eastAsia" w:ascii="宋体" w:hAnsi="宋体" w:eastAsia="宋体" w:cs="宋体"/>
                <w:b/>
                <w:sz w:val="24"/>
              </w:rPr>
              <w:t>（2）如某项标识中包含多条技术参数或要求，则该项标识所含内容均需满足或优于招标文件要求，否则不予认可。</w:t>
            </w:r>
          </w:p>
        </w:tc>
      </w:tr>
    </w:tbl>
    <w:p w14:paraId="424E0228">
      <w:pPr>
        <w:numPr>
          <w:ilvl w:val="0"/>
          <w:numId w:val="1"/>
        </w:numPr>
        <w:wordWrap w:val="0"/>
        <w:spacing w:line="360" w:lineRule="auto"/>
        <w:ind w:firstLine="437"/>
        <w:rPr>
          <w:rFonts w:hint="eastAsia" w:ascii="宋体" w:hAnsi="宋体" w:eastAsia="宋体"/>
          <w:b/>
          <w:bCs/>
          <w:sz w:val="24"/>
        </w:rPr>
      </w:pPr>
      <w:r>
        <w:rPr>
          <w:rFonts w:hint="eastAsia" w:ascii="宋体" w:hAnsi="宋体" w:eastAsia="宋体"/>
          <w:b/>
          <w:bCs/>
          <w:sz w:val="24"/>
        </w:rPr>
        <w:t>货物需求清单</w:t>
      </w:r>
    </w:p>
    <w:tbl>
      <w:tblPr>
        <w:tblStyle w:val="4"/>
        <w:tblW w:w="9360" w:type="dxa"/>
        <w:tblInd w:w="-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140"/>
        <w:gridCol w:w="4776"/>
        <w:gridCol w:w="924"/>
        <w:gridCol w:w="924"/>
        <w:gridCol w:w="948"/>
      </w:tblGrid>
      <w:tr w14:paraId="6998E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48" w:type="dxa"/>
            <w:vAlign w:val="center"/>
          </w:tcPr>
          <w:p w14:paraId="2A28049F">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序号</w:t>
            </w:r>
          </w:p>
        </w:tc>
        <w:tc>
          <w:tcPr>
            <w:tcW w:w="1140" w:type="dxa"/>
            <w:vAlign w:val="center"/>
          </w:tcPr>
          <w:p w14:paraId="270CA369">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货物名称</w:t>
            </w:r>
          </w:p>
        </w:tc>
        <w:tc>
          <w:tcPr>
            <w:tcW w:w="4776" w:type="dxa"/>
            <w:vAlign w:val="center"/>
          </w:tcPr>
          <w:p w14:paraId="24D00526">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技术参数及要求</w:t>
            </w:r>
          </w:p>
        </w:tc>
        <w:tc>
          <w:tcPr>
            <w:tcW w:w="924" w:type="dxa"/>
            <w:vAlign w:val="center"/>
          </w:tcPr>
          <w:p w14:paraId="77406182">
            <w:pPr>
              <w:widowControl/>
              <w:jc w:val="center"/>
              <w:textAlignment w:val="center"/>
              <w:rPr>
                <w:rFonts w:hint="eastAsia" w:ascii="宋体" w:hAnsi="宋体" w:eastAsia="宋体" w:cs="宋体"/>
                <w:b/>
                <w:bCs/>
                <w:color w:val="000000"/>
                <w:kern w:val="0"/>
                <w:sz w:val="24"/>
                <w:szCs w:val="24"/>
                <w:lang w:bidi="ar"/>
              </w:rPr>
            </w:pPr>
            <w:r>
              <w:rPr>
                <w:rFonts w:hint="eastAsia" w:ascii="宋体" w:hAnsi="宋体" w:eastAsia="宋体" w:cs="宋体"/>
                <w:b/>
                <w:bCs/>
                <w:color w:val="000000"/>
                <w:kern w:val="0"/>
                <w:sz w:val="24"/>
                <w:szCs w:val="24"/>
                <w:lang w:bidi="ar"/>
              </w:rPr>
              <w:t>单位</w:t>
            </w:r>
          </w:p>
        </w:tc>
        <w:tc>
          <w:tcPr>
            <w:tcW w:w="924" w:type="dxa"/>
            <w:vAlign w:val="center"/>
          </w:tcPr>
          <w:p w14:paraId="0DBEDBBA">
            <w:pPr>
              <w:widowControl/>
              <w:jc w:val="center"/>
              <w:textAlignment w:val="center"/>
              <w:rPr>
                <w:rFonts w:hint="eastAsia" w:ascii="宋体" w:hAnsi="宋体" w:eastAsia="宋体" w:cs="宋体"/>
                <w:b/>
                <w:bCs/>
                <w:color w:val="000000"/>
                <w:kern w:val="0"/>
                <w:sz w:val="24"/>
                <w:szCs w:val="24"/>
                <w:lang w:bidi="ar"/>
              </w:rPr>
            </w:pPr>
            <w:r>
              <w:rPr>
                <w:rFonts w:hint="eastAsia" w:ascii="宋体" w:hAnsi="宋体" w:eastAsia="宋体" w:cs="宋体"/>
                <w:b/>
                <w:bCs/>
                <w:color w:val="000000"/>
                <w:kern w:val="0"/>
                <w:sz w:val="24"/>
                <w:szCs w:val="24"/>
                <w:lang w:bidi="ar"/>
              </w:rPr>
              <w:t>数量</w:t>
            </w:r>
          </w:p>
        </w:tc>
        <w:tc>
          <w:tcPr>
            <w:tcW w:w="948" w:type="dxa"/>
            <w:vAlign w:val="center"/>
          </w:tcPr>
          <w:p w14:paraId="5026178B">
            <w:pPr>
              <w:widowControl/>
              <w:jc w:val="center"/>
              <w:textAlignment w:val="center"/>
              <w:rPr>
                <w:rFonts w:hint="eastAsia" w:ascii="宋体" w:hAnsi="宋体" w:eastAsia="宋体" w:cs="宋体"/>
                <w:b/>
                <w:bCs/>
                <w:color w:val="000000"/>
                <w:kern w:val="0"/>
                <w:sz w:val="24"/>
                <w:szCs w:val="24"/>
                <w:lang w:bidi="ar"/>
              </w:rPr>
            </w:pPr>
            <w:r>
              <w:rPr>
                <w:rFonts w:hint="eastAsia" w:ascii="宋体" w:hAnsi="宋体" w:eastAsia="宋体" w:cs="宋体"/>
                <w:b/>
                <w:bCs/>
                <w:color w:val="000000"/>
                <w:kern w:val="0"/>
                <w:sz w:val="24"/>
                <w:szCs w:val="24"/>
                <w:lang w:bidi="ar"/>
              </w:rPr>
              <w:t>备注</w:t>
            </w:r>
          </w:p>
        </w:tc>
      </w:tr>
      <w:tr w14:paraId="52F53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0" w:hRule="atLeast"/>
        </w:trPr>
        <w:tc>
          <w:tcPr>
            <w:tcW w:w="648" w:type="dxa"/>
            <w:vAlign w:val="center"/>
          </w:tcPr>
          <w:p w14:paraId="7B6F9888">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w:t>
            </w:r>
          </w:p>
        </w:tc>
        <w:tc>
          <w:tcPr>
            <w:tcW w:w="1140" w:type="dxa"/>
            <w:shd w:val="clear" w:color="auto" w:fill="FFFFFF"/>
            <w:vAlign w:val="center"/>
          </w:tcPr>
          <w:p w14:paraId="53025DD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革兰阴性菌药敏MIC板(食品)</w:t>
            </w:r>
          </w:p>
        </w:tc>
        <w:tc>
          <w:tcPr>
            <w:tcW w:w="4776" w:type="dxa"/>
            <w:shd w:val="clear" w:color="auto" w:fill="FFFFFF"/>
            <w:vAlign w:val="center"/>
          </w:tcPr>
          <w:p w14:paraId="50AF087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1.规格为2块板/人份，板1和板2各800块；</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2.适用于革兰氏阴性菌定量(MIC值)或定性(敏感S、中介I、耐药R)药敏检测分析，适用于赛默飞全自动药敏接种仪使用。</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包含29种不同浓度的抗生素：氨苄西林、氨苄西林/舒巴坦、阿莫西林/克拉维酸、头孢噻肟/克拉维酸、头孢他啶/克拉维酸、头孢他啶/阿维巴坦、头孢西丁、头孢唑啉、头孢呋辛、头孢噻肟、头孢他啶、头孢吡肟、头孢噻呋、亚胺培南、美罗培南、厄他培南、庆大霉素、链霉素、阿米卡星、多粘菌素 E、多粘菌素 B、阿奇霉素、四环素、替加环素、萘啶酸、环丙沙星、氯霉素、氟苯尼考、甲氧苄啶/磺胺甲噁唑。</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★4.包含以下配套试剂:营养肉汤培养液管、无菌生理盐水管。</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5.到货后有效期至少10个月。</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6.包被显色剂，可观察显色反应。</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7.适用于赛默飞全自动药敏接种仪使用</w:t>
            </w:r>
          </w:p>
        </w:tc>
        <w:tc>
          <w:tcPr>
            <w:tcW w:w="924" w:type="dxa"/>
            <w:shd w:val="clear" w:color="auto" w:fill="FFFFFF"/>
            <w:vAlign w:val="center"/>
          </w:tcPr>
          <w:p w14:paraId="293349FC">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块</w:t>
            </w:r>
          </w:p>
        </w:tc>
        <w:tc>
          <w:tcPr>
            <w:tcW w:w="924" w:type="dxa"/>
            <w:shd w:val="clear" w:color="auto" w:fill="FFFFFF"/>
            <w:vAlign w:val="center"/>
          </w:tcPr>
          <w:p w14:paraId="7CA05FB9">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1600</w:t>
            </w:r>
          </w:p>
        </w:tc>
        <w:tc>
          <w:tcPr>
            <w:tcW w:w="948" w:type="dxa"/>
            <w:shd w:val="clear" w:color="auto" w:fill="FFFFFF"/>
            <w:vAlign w:val="center"/>
          </w:tcPr>
          <w:p w14:paraId="099EDC8B">
            <w:pPr>
              <w:widowControl/>
              <w:jc w:val="left"/>
              <w:textAlignment w:val="center"/>
              <w:rPr>
                <w:rFonts w:hint="eastAsia" w:ascii="宋体" w:hAnsi="宋体" w:eastAsia="宋体" w:cs="宋体"/>
                <w:color w:val="000000"/>
                <w:kern w:val="0"/>
                <w:sz w:val="24"/>
                <w:szCs w:val="24"/>
                <w:lang w:bidi="ar"/>
              </w:rPr>
            </w:pPr>
          </w:p>
        </w:tc>
      </w:tr>
      <w:tr w14:paraId="1156C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48" w:type="dxa"/>
            <w:vAlign w:val="center"/>
          </w:tcPr>
          <w:p w14:paraId="6F863411">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2</w:t>
            </w:r>
          </w:p>
        </w:tc>
        <w:tc>
          <w:tcPr>
            <w:tcW w:w="1140" w:type="dxa"/>
            <w:vAlign w:val="center"/>
          </w:tcPr>
          <w:p w14:paraId="6BFCD490">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Falcon352054管</w:t>
            </w:r>
          </w:p>
        </w:tc>
        <w:tc>
          <w:tcPr>
            <w:tcW w:w="4776" w:type="dxa"/>
            <w:vAlign w:val="center"/>
          </w:tcPr>
          <w:p w14:paraId="5C19B028">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1.无菌，圆底带盖，适用于PFGE实验、VITEK制备菌悬液；</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2.规格5mL/支，125支/包</w:t>
            </w:r>
          </w:p>
        </w:tc>
        <w:tc>
          <w:tcPr>
            <w:tcW w:w="924" w:type="dxa"/>
            <w:vAlign w:val="center"/>
          </w:tcPr>
          <w:p w14:paraId="7DD0C18A">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支</w:t>
            </w:r>
          </w:p>
        </w:tc>
        <w:tc>
          <w:tcPr>
            <w:tcW w:w="924" w:type="dxa"/>
            <w:vAlign w:val="center"/>
          </w:tcPr>
          <w:p w14:paraId="5F24E928">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1500</w:t>
            </w:r>
          </w:p>
        </w:tc>
        <w:tc>
          <w:tcPr>
            <w:tcW w:w="948" w:type="dxa"/>
            <w:vAlign w:val="center"/>
          </w:tcPr>
          <w:p w14:paraId="43F0902B">
            <w:pPr>
              <w:widowControl/>
              <w:jc w:val="left"/>
              <w:textAlignment w:val="center"/>
              <w:rPr>
                <w:rFonts w:hint="eastAsia" w:ascii="宋体" w:hAnsi="宋体" w:eastAsia="宋体" w:cs="宋体"/>
                <w:color w:val="000000"/>
                <w:kern w:val="0"/>
                <w:sz w:val="24"/>
                <w:szCs w:val="24"/>
                <w:lang w:bidi="ar"/>
              </w:rPr>
            </w:pPr>
          </w:p>
        </w:tc>
      </w:tr>
      <w:tr w14:paraId="1165F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48" w:type="dxa"/>
            <w:vAlign w:val="center"/>
          </w:tcPr>
          <w:p w14:paraId="69988AE9">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3</w:t>
            </w:r>
          </w:p>
        </w:tc>
        <w:tc>
          <w:tcPr>
            <w:tcW w:w="1140" w:type="dxa"/>
            <w:vAlign w:val="center"/>
          </w:tcPr>
          <w:p w14:paraId="141A88C3">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全自动药敏接种仪AIM无菌加样头</w:t>
            </w:r>
          </w:p>
        </w:tc>
        <w:tc>
          <w:tcPr>
            <w:tcW w:w="4776" w:type="dxa"/>
            <w:vAlign w:val="center"/>
          </w:tcPr>
          <w:p w14:paraId="36872F73">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1.适用于赛默飞全自动药敏接种仪使用，2.无菌</w:t>
            </w:r>
          </w:p>
        </w:tc>
        <w:tc>
          <w:tcPr>
            <w:tcW w:w="924" w:type="dxa"/>
            <w:vAlign w:val="center"/>
          </w:tcPr>
          <w:p w14:paraId="72E1F2C4">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个</w:t>
            </w:r>
          </w:p>
        </w:tc>
        <w:tc>
          <w:tcPr>
            <w:tcW w:w="924" w:type="dxa"/>
            <w:vAlign w:val="center"/>
          </w:tcPr>
          <w:p w14:paraId="20EF3CAD">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1700</w:t>
            </w:r>
          </w:p>
        </w:tc>
        <w:tc>
          <w:tcPr>
            <w:tcW w:w="948" w:type="dxa"/>
            <w:vAlign w:val="center"/>
          </w:tcPr>
          <w:p w14:paraId="71DFC6D8">
            <w:pPr>
              <w:widowControl/>
              <w:jc w:val="left"/>
              <w:textAlignment w:val="center"/>
              <w:rPr>
                <w:rFonts w:hint="eastAsia" w:ascii="宋体" w:hAnsi="宋体" w:eastAsia="宋体" w:cs="宋体"/>
                <w:color w:val="000000"/>
                <w:kern w:val="0"/>
                <w:sz w:val="24"/>
                <w:szCs w:val="24"/>
                <w:lang w:bidi="ar"/>
              </w:rPr>
            </w:pPr>
          </w:p>
        </w:tc>
      </w:tr>
      <w:tr w14:paraId="5788A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48" w:type="dxa"/>
            <w:vAlign w:val="center"/>
          </w:tcPr>
          <w:p w14:paraId="546E7AF9">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4</w:t>
            </w:r>
          </w:p>
        </w:tc>
        <w:tc>
          <w:tcPr>
            <w:tcW w:w="1140" w:type="dxa"/>
            <w:vAlign w:val="center"/>
          </w:tcPr>
          <w:p w14:paraId="60929E6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芽胞杆菌鉴定卡（BCL卡）</w:t>
            </w:r>
          </w:p>
        </w:tc>
        <w:tc>
          <w:tcPr>
            <w:tcW w:w="4776" w:type="dxa"/>
            <w:vAlign w:val="center"/>
          </w:tcPr>
          <w:p w14:paraId="07B5811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适用于梅里埃VITEK2compact</w:t>
            </w:r>
          </w:p>
        </w:tc>
        <w:tc>
          <w:tcPr>
            <w:tcW w:w="924" w:type="dxa"/>
            <w:vAlign w:val="center"/>
          </w:tcPr>
          <w:p w14:paraId="5E9EA7DE">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块</w:t>
            </w:r>
          </w:p>
        </w:tc>
        <w:tc>
          <w:tcPr>
            <w:tcW w:w="924" w:type="dxa"/>
            <w:vAlign w:val="center"/>
          </w:tcPr>
          <w:p w14:paraId="5AFBE2D2">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20</w:t>
            </w:r>
          </w:p>
        </w:tc>
        <w:tc>
          <w:tcPr>
            <w:tcW w:w="948" w:type="dxa"/>
            <w:vAlign w:val="center"/>
          </w:tcPr>
          <w:p w14:paraId="00393FB7">
            <w:pPr>
              <w:widowControl/>
              <w:jc w:val="center"/>
              <w:textAlignment w:val="center"/>
              <w:rPr>
                <w:rFonts w:hint="eastAsia" w:ascii="宋体" w:hAnsi="宋体" w:eastAsia="宋体" w:cs="宋体"/>
                <w:color w:val="000000"/>
                <w:kern w:val="0"/>
                <w:sz w:val="24"/>
                <w:szCs w:val="24"/>
                <w:lang w:bidi="ar"/>
              </w:rPr>
            </w:pPr>
          </w:p>
        </w:tc>
      </w:tr>
      <w:tr w14:paraId="2BBF0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48" w:type="dxa"/>
            <w:vAlign w:val="center"/>
          </w:tcPr>
          <w:p w14:paraId="160F59D3">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5</w:t>
            </w:r>
          </w:p>
        </w:tc>
        <w:tc>
          <w:tcPr>
            <w:tcW w:w="1140" w:type="dxa"/>
            <w:vAlign w:val="center"/>
          </w:tcPr>
          <w:p w14:paraId="343DD85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奈瑟菌-嗜血杆菌鉴定卡（NH卡）</w:t>
            </w:r>
          </w:p>
        </w:tc>
        <w:tc>
          <w:tcPr>
            <w:tcW w:w="4776" w:type="dxa"/>
            <w:vAlign w:val="center"/>
          </w:tcPr>
          <w:p w14:paraId="50E326E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适用于梅里埃VITEK2compact</w:t>
            </w:r>
          </w:p>
        </w:tc>
        <w:tc>
          <w:tcPr>
            <w:tcW w:w="924" w:type="dxa"/>
            <w:vAlign w:val="center"/>
          </w:tcPr>
          <w:p w14:paraId="62F75A57">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块</w:t>
            </w:r>
          </w:p>
        </w:tc>
        <w:tc>
          <w:tcPr>
            <w:tcW w:w="924" w:type="dxa"/>
            <w:vAlign w:val="center"/>
          </w:tcPr>
          <w:p w14:paraId="46C2CAA0">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20</w:t>
            </w:r>
          </w:p>
        </w:tc>
        <w:tc>
          <w:tcPr>
            <w:tcW w:w="948" w:type="dxa"/>
            <w:vAlign w:val="center"/>
          </w:tcPr>
          <w:p w14:paraId="51E17845">
            <w:pPr>
              <w:widowControl/>
              <w:jc w:val="center"/>
              <w:textAlignment w:val="center"/>
              <w:rPr>
                <w:rFonts w:hint="eastAsia" w:ascii="宋体" w:hAnsi="宋体" w:eastAsia="宋体" w:cs="宋体"/>
                <w:color w:val="000000"/>
                <w:kern w:val="0"/>
                <w:sz w:val="24"/>
                <w:szCs w:val="24"/>
                <w:lang w:bidi="ar"/>
              </w:rPr>
            </w:pPr>
          </w:p>
        </w:tc>
      </w:tr>
      <w:tr w14:paraId="042C3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48" w:type="dxa"/>
            <w:vAlign w:val="center"/>
          </w:tcPr>
          <w:p w14:paraId="375E399D">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6</w:t>
            </w:r>
          </w:p>
        </w:tc>
        <w:tc>
          <w:tcPr>
            <w:tcW w:w="1140" w:type="dxa"/>
            <w:vAlign w:val="center"/>
          </w:tcPr>
          <w:p w14:paraId="5DB1AEC9">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厌氧菌及棒状杆菌鉴定卡（ANC卡）</w:t>
            </w:r>
          </w:p>
        </w:tc>
        <w:tc>
          <w:tcPr>
            <w:tcW w:w="4776" w:type="dxa"/>
            <w:vAlign w:val="center"/>
          </w:tcPr>
          <w:p w14:paraId="7B895EA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适用于梅里埃VITEK2compact</w:t>
            </w:r>
          </w:p>
        </w:tc>
        <w:tc>
          <w:tcPr>
            <w:tcW w:w="924" w:type="dxa"/>
            <w:vAlign w:val="center"/>
          </w:tcPr>
          <w:p w14:paraId="2BB5C410">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块</w:t>
            </w:r>
          </w:p>
        </w:tc>
        <w:tc>
          <w:tcPr>
            <w:tcW w:w="924" w:type="dxa"/>
            <w:vAlign w:val="center"/>
          </w:tcPr>
          <w:p w14:paraId="002E6439">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20</w:t>
            </w:r>
          </w:p>
        </w:tc>
        <w:tc>
          <w:tcPr>
            <w:tcW w:w="948" w:type="dxa"/>
            <w:vAlign w:val="center"/>
          </w:tcPr>
          <w:p w14:paraId="6DA655CE">
            <w:pPr>
              <w:widowControl/>
              <w:jc w:val="center"/>
              <w:textAlignment w:val="center"/>
              <w:rPr>
                <w:rFonts w:hint="eastAsia" w:ascii="宋体" w:hAnsi="宋体" w:eastAsia="宋体" w:cs="宋体"/>
                <w:color w:val="000000"/>
                <w:kern w:val="0"/>
                <w:sz w:val="24"/>
                <w:szCs w:val="24"/>
                <w:lang w:bidi="ar"/>
              </w:rPr>
            </w:pPr>
          </w:p>
        </w:tc>
      </w:tr>
      <w:tr w14:paraId="19EB7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48" w:type="dxa"/>
            <w:vAlign w:val="center"/>
          </w:tcPr>
          <w:p w14:paraId="29C755E2">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7</w:t>
            </w:r>
          </w:p>
        </w:tc>
        <w:tc>
          <w:tcPr>
            <w:tcW w:w="1140" w:type="dxa"/>
            <w:vAlign w:val="center"/>
          </w:tcPr>
          <w:p w14:paraId="458F6D39">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革兰氏阴性细菌鉴定板</w:t>
            </w:r>
          </w:p>
        </w:tc>
        <w:tc>
          <w:tcPr>
            <w:tcW w:w="4776" w:type="dxa"/>
            <w:vAlign w:val="center"/>
          </w:tcPr>
          <w:p w14:paraId="66C53D9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适用于梅里埃VITEK2compact</w:t>
            </w:r>
          </w:p>
        </w:tc>
        <w:tc>
          <w:tcPr>
            <w:tcW w:w="924" w:type="dxa"/>
            <w:vAlign w:val="center"/>
          </w:tcPr>
          <w:p w14:paraId="1E90EFD2">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块</w:t>
            </w:r>
          </w:p>
        </w:tc>
        <w:tc>
          <w:tcPr>
            <w:tcW w:w="924" w:type="dxa"/>
            <w:vAlign w:val="center"/>
          </w:tcPr>
          <w:p w14:paraId="1360AA0F">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w:t>
            </w:r>
          </w:p>
        </w:tc>
        <w:tc>
          <w:tcPr>
            <w:tcW w:w="948" w:type="dxa"/>
            <w:vAlign w:val="center"/>
          </w:tcPr>
          <w:p w14:paraId="03FACAA9">
            <w:pPr>
              <w:widowControl/>
              <w:jc w:val="center"/>
              <w:textAlignment w:val="center"/>
              <w:rPr>
                <w:rFonts w:hint="eastAsia" w:ascii="宋体" w:hAnsi="宋体" w:eastAsia="宋体" w:cs="宋体"/>
                <w:color w:val="000000"/>
                <w:kern w:val="0"/>
                <w:sz w:val="24"/>
                <w:szCs w:val="24"/>
                <w:lang w:bidi="ar"/>
              </w:rPr>
            </w:pPr>
          </w:p>
        </w:tc>
      </w:tr>
      <w:tr w14:paraId="6724E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48" w:type="dxa"/>
            <w:vAlign w:val="center"/>
          </w:tcPr>
          <w:p w14:paraId="741A89ED">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8</w:t>
            </w:r>
          </w:p>
        </w:tc>
        <w:tc>
          <w:tcPr>
            <w:tcW w:w="1140" w:type="dxa"/>
            <w:vAlign w:val="center"/>
          </w:tcPr>
          <w:p w14:paraId="75098D77">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革兰氏阳性细菌鉴定板</w:t>
            </w:r>
          </w:p>
        </w:tc>
        <w:tc>
          <w:tcPr>
            <w:tcW w:w="4776" w:type="dxa"/>
            <w:vAlign w:val="center"/>
          </w:tcPr>
          <w:p w14:paraId="1AD2ED36">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适用于梅里埃VITEK2compact</w:t>
            </w:r>
          </w:p>
        </w:tc>
        <w:tc>
          <w:tcPr>
            <w:tcW w:w="924" w:type="dxa"/>
            <w:vAlign w:val="center"/>
          </w:tcPr>
          <w:p w14:paraId="3C044A3E">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块</w:t>
            </w:r>
          </w:p>
        </w:tc>
        <w:tc>
          <w:tcPr>
            <w:tcW w:w="924" w:type="dxa"/>
            <w:vAlign w:val="center"/>
          </w:tcPr>
          <w:p w14:paraId="73E80B3D">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w:t>
            </w:r>
          </w:p>
        </w:tc>
        <w:tc>
          <w:tcPr>
            <w:tcW w:w="948" w:type="dxa"/>
            <w:vAlign w:val="center"/>
          </w:tcPr>
          <w:p w14:paraId="20282B74">
            <w:pPr>
              <w:widowControl/>
              <w:jc w:val="center"/>
              <w:textAlignment w:val="center"/>
              <w:rPr>
                <w:rFonts w:hint="eastAsia" w:ascii="宋体" w:hAnsi="宋体" w:eastAsia="宋体" w:cs="宋体"/>
                <w:color w:val="000000"/>
                <w:kern w:val="0"/>
                <w:sz w:val="24"/>
                <w:szCs w:val="24"/>
                <w:lang w:bidi="ar"/>
              </w:rPr>
            </w:pPr>
          </w:p>
        </w:tc>
      </w:tr>
      <w:tr w14:paraId="52E40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5" w:hRule="atLeast"/>
        </w:trPr>
        <w:tc>
          <w:tcPr>
            <w:tcW w:w="648" w:type="dxa"/>
            <w:vAlign w:val="center"/>
          </w:tcPr>
          <w:p w14:paraId="094B8498">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9</w:t>
            </w:r>
          </w:p>
        </w:tc>
        <w:tc>
          <w:tcPr>
            <w:tcW w:w="1140" w:type="dxa"/>
            <w:vAlign w:val="center"/>
          </w:tcPr>
          <w:p w14:paraId="23ED566C">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革兰氏阳性菌药敏板（金黄色葡萄球菌）</w:t>
            </w:r>
          </w:p>
        </w:tc>
        <w:tc>
          <w:tcPr>
            <w:tcW w:w="4776" w:type="dxa"/>
            <w:vAlign w:val="center"/>
          </w:tcPr>
          <w:p w14:paraId="3DFA9981">
            <w:pPr>
              <w:widowControl/>
              <w:textAlignment w:val="center"/>
              <w:rPr>
                <w:rFonts w:hint="eastAsia" w:ascii="宋体" w:hAnsi="宋体" w:eastAsia="宋体" w:cs="宋体"/>
                <w:color w:val="000000"/>
                <w:sz w:val="24"/>
                <w:szCs w:val="24"/>
              </w:rPr>
            </w:pPr>
            <w:r>
              <w:rPr>
                <w:rStyle w:val="8"/>
                <w:rFonts w:hint="default" w:ascii="宋体" w:hAnsi="宋体" w:eastAsia="宋体" w:cs="宋体"/>
                <w:sz w:val="24"/>
                <w:szCs w:val="24"/>
                <w:lang w:bidi="ar"/>
              </w:rPr>
              <w:t>★1.药敏板中含以下不同梯度浓度的抗生素，包括青霉素、苯唑西林、头孢西丁、万古霉素、达托霉素、庆大霉素、红霉素、四环素、环丙沙星、克林霉素、甲氧苄啶/磺胺甲噁唑、氯霉素。</w:t>
            </w:r>
            <w:r>
              <w:rPr>
                <w:rStyle w:val="8"/>
                <w:rFonts w:hint="default" w:ascii="宋体" w:hAnsi="宋体" w:eastAsia="宋体" w:cs="宋体"/>
                <w:sz w:val="24"/>
                <w:szCs w:val="24"/>
                <w:lang w:bidi="ar"/>
              </w:rPr>
              <w:br w:type="textWrapping"/>
            </w:r>
            <w:r>
              <w:rPr>
                <w:rStyle w:val="8"/>
                <w:rFonts w:hint="default" w:ascii="宋体" w:hAnsi="宋体" w:eastAsia="宋体" w:cs="宋体"/>
                <w:sz w:val="24"/>
                <w:szCs w:val="24"/>
                <w:lang w:bidi="ar"/>
              </w:rPr>
              <w:t>★2．包含以下配套试剂:营养肉汤培养液管、无菌生理盐水管。</w:t>
            </w:r>
            <w:r>
              <w:rPr>
                <w:rStyle w:val="8"/>
                <w:rFonts w:hint="default" w:ascii="宋体" w:hAnsi="宋体" w:eastAsia="宋体" w:cs="宋体"/>
                <w:sz w:val="24"/>
                <w:szCs w:val="24"/>
                <w:lang w:bidi="ar"/>
              </w:rPr>
              <w:br w:type="textWrapping"/>
            </w:r>
            <w:r>
              <w:rPr>
                <w:rStyle w:val="8"/>
                <w:rFonts w:hint="default" w:ascii="宋体" w:hAnsi="宋体" w:eastAsia="宋体" w:cs="宋体"/>
                <w:sz w:val="24"/>
                <w:szCs w:val="24"/>
                <w:lang w:bidi="ar"/>
              </w:rPr>
              <w:t>3.到货后有效期至少10个月。</w:t>
            </w:r>
            <w:r>
              <w:rPr>
                <w:rStyle w:val="8"/>
                <w:rFonts w:hint="default" w:ascii="宋体" w:hAnsi="宋体" w:eastAsia="宋体" w:cs="宋体"/>
                <w:sz w:val="24"/>
                <w:szCs w:val="24"/>
                <w:lang w:bidi="ar"/>
              </w:rPr>
              <w:br w:type="textWrapping"/>
            </w:r>
            <w:r>
              <w:rPr>
                <w:rStyle w:val="8"/>
                <w:rFonts w:hint="default" w:ascii="宋体" w:hAnsi="宋体" w:eastAsia="宋体" w:cs="宋体"/>
                <w:sz w:val="24"/>
                <w:szCs w:val="24"/>
                <w:lang w:bidi="ar"/>
              </w:rPr>
              <w:t>4.包被显色剂，可观察显色反应。</w:t>
            </w:r>
            <w:r>
              <w:rPr>
                <w:rStyle w:val="8"/>
                <w:rFonts w:hint="default" w:ascii="宋体" w:hAnsi="宋体" w:eastAsia="宋体" w:cs="宋体"/>
                <w:sz w:val="24"/>
                <w:szCs w:val="24"/>
                <w:lang w:bidi="ar"/>
              </w:rPr>
              <w:br w:type="textWrapping"/>
            </w:r>
            <w:r>
              <w:rPr>
                <w:rStyle w:val="8"/>
                <w:rFonts w:hint="default" w:ascii="宋体" w:hAnsi="宋体" w:eastAsia="宋体" w:cs="宋体"/>
                <w:sz w:val="24"/>
                <w:szCs w:val="24"/>
                <w:lang w:bidi="ar"/>
              </w:rPr>
              <w:t>5.适用于赛默飞全自动药敏接种仪使用</w:t>
            </w:r>
          </w:p>
        </w:tc>
        <w:tc>
          <w:tcPr>
            <w:tcW w:w="924" w:type="dxa"/>
            <w:vAlign w:val="center"/>
          </w:tcPr>
          <w:p w14:paraId="453E37CE">
            <w:pPr>
              <w:widowControl/>
              <w:jc w:val="center"/>
              <w:textAlignment w:val="center"/>
              <w:rPr>
                <w:rStyle w:val="8"/>
                <w:rFonts w:hint="default" w:ascii="宋体" w:hAnsi="宋体" w:eastAsia="宋体" w:cs="宋体"/>
                <w:sz w:val="24"/>
                <w:szCs w:val="24"/>
                <w:lang w:bidi="ar"/>
              </w:rPr>
            </w:pPr>
            <w:r>
              <w:rPr>
                <w:rFonts w:hint="eastAsia" w:ascii="宋体" w:hAnsi="宋体" w:eastAsia="宋体" w:cs="宋体"/>
                <w:color w:val="000000"/>
                <w:kern w:val="0"/>
                <w:sz w:val="24"/>
                <w:szCs w:val="24"/>
                <w:lang w:bidi="ar"/>
              </w:rPr>
              <w:t>块</w:t>
            </w:r>
          </w:p>
        </w:tc>
        <w:tc>
          <w:tcPr>
            <w:tcW w:w="924" w:type="dxa"/>
            <w:vAlign w:val="center"/>
          </w:tcPr>
          <w:p w14:paraId="703A89E5">
            <w:pPr>
              <w:widowControl/>
              <w:jc w:val="center"/>
              <w:textAlignment w:val="center"/>
              <w:rPr>
                <w:rStyle w:val="8"/>
                <w:rFonts w:hint="default" w:ascii="宋体" w:hAnsi="宋体" w:eastAsia="宋体" w:cs="宋体"/>
                <w:sz w:val="24"/>
                <w:szCs w:val="24"/>
                <w:lang w:bidi="ar"/>
              </w:rPr>
            </w:pPr>
            <w:r>
              <w:rPr>
                <w:rFonts w:hint="eastAsia" w:ascii="宋体" w:hAnsi="宋体" w:eastAsia="宋体" w:cs="宋体"/>
                <w:color w:val="000000"/>
                <w:kern w:val="0"/>
                <w:sz w:val="24"/>
                <w:szCs w:val="24"/>
                <w:lang w:bidi="ar"/>
              </w:rPr>
              <w:t>80</w:t>
            </w:r>
          </w:p>
        </w:tc>
        <w:tc>
          <w:tcPr>
            <w:tcW w:w="948" w:type="dxa"/>
            <w:vAlign w:val="center"/>
          </w:tcPr>
          <w:p w14:paraId="705396AC">
            <w:pPr>
              <w:widowControl/>
              <w:jc w:val="center"/>
              <w:textAlignment w:val="center"/>
              <w:rPr>
                <w:rStyle w:val="8"/>
                <w:rFonts w:hint="default" w:ascii="宋体" w:hAnsi="宋体" w:eastAsia="宋体" w:cs="宋体"/>
                <w:sz w:val="24"/>
                <w:szCs w:val="24"/>
                <w:lang w:bidi="ar"/>
              </w:rPr>
            </w:pPr>
          </w:p>
        </w:tc>
      </w:tr>
      <w:tr w14:paraId="0F14D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648" w:type="dxa"/>
            <w:vAlign w:val="center"/>
          </w:tcPr>
          <w:p w14:paraId="3E306277">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10</w:t>
            </w:r>
          </w:p>
        </w:tc>
        <w:tc>
          <w:tcPr>
            <w:tcW w:w="1140" w:type="dxa"/>
            <w:vAlign w:val="center"/>
          </w:tcPr>
          <w:p w14:paraId="03E93DB5">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革兰阳性菌药敏MIC板（蜡样芽胞杆菌定制板）</w:t>
            </w:r>
          </w:p>
        </w:tc>
        <w:tc>
          <w:tcPr>
            <w:tcW w:w="4776" w:type="dxa"/>
            <w:vAlign w:val="center"/>
          </w:tcPr>
          <w:p w14:paraId="33FB4460">
            <w:pPr>
              <w:widowControl/>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1.规格：1人份/套；</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药敏板中含15种不同梯度浓度的抗生素，包括氨苄西林（AMP）、环丙沙星（CIP）、氯霉素（CHL）、青霉素（PEN）、达托霉素（DAP）、庆大霉素（GEN）、苯唑西林（OXA）、复方新诺明（SXT）、头孢西丁（CFX）、红霉素（ERY）、万古霉素（VAN）、亚胺培南（IPM）、克林霉素（CLI）、四环素（TET）、红霉/克林（ERY/CLI）。</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★3．包含以下配套试剂:营养肉汤培养液管、无菌生理盐水管。</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4.包被显色剂，可观察显色反应.</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5.适用于赛默飞全自动药敏接种仪使用</w:t>
            </w:r>
          </w:p>
        </w:tc>
        <w:tc>
          <w:tcPr>
            <w:tcW w:w="924" w:type="dxa"/>
            <w:vAlign w:val="center"/>
          </w:tcPr>
          <w:p w14:paraId="56BCCA09">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块</w:t>
            </w:r>
          </w:p>
        </w:tc>
        <w:tc>
          <w:tcPr>
            <w:tcW w:w="924" w:type="dxa"/>
            <w:vAlign w:val="center"/>
          </w:tcPr>
          <w:p w14:paraId="5B8B4D5B">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w:t>
            </w:r>
          </w:p>
        </w:tc>
        <w:tc>
          <w:tcPr>
            <w:tcW w:w="948" w:type="dxa"/>
            <w:vAlign w:val="center"/>
          </w:tcPr>
          <w:p w14:paraId="1CA2BE82">
            <w:pPr>
              <w:widowControl/>
              <w:jc w:val="center"/>
              <w:textAlignment w:val="center"/>
              <w:rPr>
                <w:rFonts w:hint="eastAsia" w:ascii="宋体" w:hAnsi="宋体" w:eastAsia="宋体" w:cs="宋体"/>
                <w:color w:val="000000"/>
                <w:kern w:val="0"/>
                <w:sz w:val="24"/>
                <w:szCs w:val="24"/>
                <w:lang w:bidi="ar"/>
              </w:rPr>
            </w:pPr>
          </w:p>
        </w:tc>
      </w:tr>
      <w:tr w14:paraId="7FFEA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648" w:type="dxa"/>
            <w:vAlign w:val="center"/>
          </w:tcPr>
          <w:p w14:paraId="7A934C4B">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11</w:t>
            </w:r>
          </w:p>
        </w:tc>
        <w:tc>
          <w:tcPr>
            <w:tcW w:w="1140" w:type="dxa"/>
            <w:vAlign w:val="center"/>
          </w:tcPr>
          <w:p w14:paraId="45E62B4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MGIEasy Fast </w:t>
            </w:r>
            <w:r>
              <w:rPr>
                <w:rStyle w:val="8"/>
                <w:rFonts w:hint="default" w:ascii="宋体" w:hAnsi="宋体" w:eastAsia="宋体" w:cs="宋体"/>
                <w:sz w:val="24"/>
                <w:szCs w:val="24"/>
                <w:lang w:bidi="ar"/>
              </w:rPr>
              <w:t>酶切文库制备试剂套装 V2.0</w:t>
            </w:r>
          </w:p>
        </w:tc>
        <w:tc>
          <w:tcPr>
            <w:tcW w:w="4776" w:type="dxa"/>
            <w:vAlign w:val="center"/>
          </w:tcPr>
          <w:p w14:paraId="4C9D7C15">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适用于华大MGI2000、G99二代测序细菌建库使用；96反应/套；</w:t>
            </w:r>
          </w:p>
        </w:tc>
        <w:tc>
          <w:tcPr>
            <w:tcW w:w="924" w:type="dxa"/>
            <w:vAlign w:val="center"/>
          </w:tcPr>
          <w:p w14:paraId="66332C2F">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套</w:t>
            </w:r>
          </w:p>
        </w:tc>
        <w:tc>
          <w:tcPr>
            <w:tcW w:w="924" w:type="dxa"/>
            <w:vAlign w:val="center"/>
          </w:tcPr>
          <w:p w14:paraId="08B79C31">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w:t>
            </w:r>
          </w:p>
        </w:tc>
        <w:tc>
          <w:tcPr>
            <w:tcW w:w="948" w:type="dxa"/>
            <w:vAlign w:val="center"/>
          </w:tcPr>
          <w:p w14:paraId="49199BFD">
            <w:pPr>
              <w:widowControl/>
              <w:jc w:val="center"/>
              <w:textAlignment w:val="center"/>
              <w:rPr>
                <w:rFonts w:hint="eastAsia" w:ascii="宋体" w:hAnsi="宋体" w:eastAsia="宋体" w:cs="宋体"/>
                <w:color w:val="000000"/>
                <w:kern w:val="0"/>
                <w:sz w:val="24"/>
                <w:szCs w:val="24"/>
                <w:lang w:bidi="ar"/>
              </w:rPr>
            </w:pPr>
          </w:p>
        </w:tc>
      </w:tr>
      <w:tr w14:paraId="3AE17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48" w:type="dxa"/>
            <w:vAlign w:val="center"/>
          </w:tcPr>
          <w:p w14:paraId="1502F1E0">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12</w:t>
            </w:r>
          </w:p>
        </w:tc>
        <w:tc>
          <w:tcPr>
            <w:tcW w:w="1140" w:type="dxa"/>
            <w:vAlign w:val="center"/>
          </w:tcPr>
          <w:p w14:paraId="4D04F45C">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CAPS条形码引物3试剂盒</w:t>
            </w:r>
          </w:p>
        </w:tc>
        <w:tc>
          <w:tcPr>
            <w:tcW w:w="4776" w:type="dxa"/>
            <w:vAlign w:val="center"/>
          </w:tcPr>
          <w:p w14:paraId="19A6DA6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1.可用于双端测序方案的双 Barcode 测序引物；</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2.适配在MGI2000的测序平台上进行测序；3.参考规格≥3.5mL/支。</w:t>
            </w:r>
          </w:p>
        </w:tc>
        <w:tc>
          <w:tcPr>
            <w:tcW w:w="924" w:type="dxa"/>
            <w:vAlign w:val="center"/>
          </w:tcPr>
          <w:p w14:paraId="1182E616">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盒</w:t>
            </w:r>
          </w:p>
        </w:tc>
        <w:tc>
          <w:tcPr>
            <w:tcW w:w="924" w:type="dxa"/>
            <w:vAlign w:val="center"/>
          </w:tcPr>
          <w:p w14:paraId="14B75E97">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4</w:t>
            </w:r>
          </w:p>
        </w:tc>
        <w:tc>
          <w:tcPr>
            <w:tcW w:w="948" w:type="dxa"/>
            <w:vAlign w:val="center"/>
          </w:tcPr>
          <w:p w14:paraId="206FBF30">
            <w:pPr>
              <w:widowControl/>
              <w:jc w:val="left"/>
              <w:textAlignment w:val="center"/>
              <w:rPr>
                <w:rFonts w:hint="eastAsia" w:ascii="宋体" w:hAnsi="宋体" w:eastAsia="宋体" w:cs="宋体"/>
                <w:color w:val="000000"/>
                <w:kern w:val="0"/>
                <w:sz w:val="24"/>
                <w:szCs w:val="24"/>
                <w:lang w:bidi="ar"/>
              </w:rPr>
            </w:pPr>
          </w:p>
        </w:tc>
      </w:tr>
      <w:tr w14:paraId="5E9CC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648" w:type="dxa"/>
            <w:vAlign w:val="center"/>
          </w:tcPr>
          <w:p w14:paraId="21B82131">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13</w:t>
            </w:r>
          </w:p>
        </w:tc>
        <w:tc>
          <w:tcPr>
            <w:tcW w:w="1140" w:type="dxa"/>
            <w:vAlign w:val="center"/>
          </w:tcPr>
          <w:p w14:paraId="67E726CC">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DNBSEQ 一步法 DNB 制备试剂盒 OS-DB</w:t>
            </w:r>
          </w:p>
        </w:tc>
        <w:tc>
          <w:tcPr>
            <w:tcW w:w="4776" w:type="dxa"/>
            <w:vAlign w:val="center"/>
          </w:tcPr>
          <w:p w14:paraId="01A97439">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1、适用于华大MGI2000二代测序细菌DNB制备使用；</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2、4反应/盒</w:t>
            </w:r>
          </w:p>
        </w:tc>
        <w:tc>
          <w:tcPr>
            <w:tcW w:w="924" w:type="dxa"/>
            <w:vAlign w:val="center"/>
          </w:tcPr>
          <w:p w14:paraId="6C15D4DD">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盒</w:t>
            </w:r>
          </w:p>
        </w:tc>
        <w:tc>
          <w:tcPr>
            <w:tcW w:w="924" w:type="dxa"/>
            <w:vAlign w:val="center"/>
          </w:tcPr>
          <w:p w14:paraId="6DD6C49E">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4</w:t>
            </w:r>
          </w:p>
        </w:tc>
        <w:tc>
          <w:tcPr>
            <w:tcW w:w="948" w:type="dxa"/>
            <w:vAlign w:val="center"/>
          </w:tcPr>
          <w:p w14:paraId="3228AA20">
            <w:pPr>
              <w:widowControl/>
              <w:jc w:val="left"/>
              <w:textAlignment w:val="center"/>
              <w:rPr>
                <w:rFonts w:hint="eastAsia" w:ascii="宋体" w:hAnsi="宋体" w:eastAsia="宋体" w:cs="宋体"/>
                <w:color w:val="000000"/>
                <w:kern w:val="0"/>
                <w:sz w:val="24"/>
                <w:szCs w:val="24"/>
                <w:lang w:bidi="ar"/>
              </w:rPr>
            </w:pPr>
          </w:p>
        </w:tc>
      </w:tr>
      <w:tr w14:paraId="5A32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8" w:hRule="atLeast"/>
        </w:trPr>
        <w:tc>
          <w:tcPr>
            <w:tcW w:w="648" w:type="dxa"/>
            <w:vAlign w:val="center"/>
          </w:tcPr>
          <w:p w14:paraId="54CCC0E6">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14</w:t>
            </w:r>
          </w:p>
        </w:tc>
        <w:tc>
          <w:tcPr>
            <w:tcW w:w="1140" w:type="dxa"/>
            <w:vAlign w:val="center"/>
          </w:tcPr>
          <w:p w14:paraId="179A8FB7">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MGIEasy Fast RNA文库制备试剂套装</w:t>
            </w:r>
          </w:p>
        </w:tc>
        <w:tc>
          <w:tcPr>
            <w:tcW w:w="4776" w:type="dxa"/>
            <w:vAlign w:val="center"/>
          </w:tcPr>
          <w:p w14:paraId="0A6088DD">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1.16反应/套，本试剂盒可对人（全血 / 唾液 / 组织 / FFPE）、动物、植物、真菌、细菌、微生物、Meta RNA样本类型进行转录组测序、全转录组、长链非编码 RNA（lncRNA）、基因表达定量、宏转录组、RNA 病原检测；实现RNA病原体建库，并适配在MGI的测序平台上进行测序。</w:t>
            </w:r>
          </w:p>
        </w:tc>
        <w:tc>
          <w:tcPr>
            <w:tcW w:w="924" w:type="dxa"/>
            <w:vAlign w:val="center"/>
          </w:tcPr>
          <w:p w14:paraId="0E983D5F">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套</w:t>
            </w:r>
          </w:p>
        </w:tc>
        <w:tc>
          <w:tcPr>
            <w:tcW w:w="924" w:type="dxa"/>
            <w:vAlign w:val="center"/>
          </w:tcPr>
          <w:p w14:paraId="24051F2A">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w:t>
            </w:r>
          </w:p>
        </w:tc>
        <w:tc>
          <w:tcPr>
            <w:tcW w:w="948" w:type="dxa"/>
            <w:vAlign w:val="center"/>
          </w:tcPr>
          <w:p w14:paraId="55494D97">
            <w:pPr>
              <w:widowControl/>
              <w:jc w:val="center"/>
              <w:textAlignment w:val="center"/>
              <w:rPr>
                <w:rFonts w:hint="eastAsia" w:ascii="宋体" w:hAnsi="宋体" w:eastAsia="宋体" w:cs="宋体"/>
                <w:color w:val="000000"/>
                <w:kern w:val="0"/>
                <w:sz w:val="24"/>
                <w:szCs w:val="24"/>
                <w:lang w:bidi="ar"/>
              </w:rPr>
            </w:pPr>
          </w:p>
        </w:tc>
      </w:tr>
      <w:tr w14:paraId="1CF85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648" w:type="dxa"/>
            <w:vAlign w:val="center"/>
          </w:tcPr>
          <w:p w14:paraId="37DDFFB7">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15</w:t>
            </w:r>
          </w:p>
        </w:tc>
        <w:tc>
          <w:tcPr>
            <w:tcW w:w="1140" w:type="dxa"/>
            <w:vAlign w:val="center"/>
          </w:tcPr>
          <w:p w14:paraId="097DB6D5">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快速测序载片</w:t>
            </w:r>
          </w:p>
        </w:tc>
        <w:tc>
          <w:tcPr>
            <w:tcW w:w="4776" w:type="dxa"/>
            <w:vAlign w:val="center"/>
          </w:tcPr>
          <w:p w14:paraId="294A58A2">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1.适配在华大G99测序平台 </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2.适配PE150、SE100等高通量测序试剂套装 3.只包含单独测序芯片</w:t>
            </w:r>
          </w:p>
        </w:tc>
        <w:tc>
          <w:tcPr>
            <w:tcW w:w="924" w:type="dxa"/>
            <w:vAlign w:val="center"/>
          </w:tcPr>
          <w:p w14:paraId="6BBC00FE">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件</w:t>
            </w:r>
          </w:p>
        </w:tc>
        <w:tc>
          <w:tcPr>
            <w:tcW w:w="924" w:type="dxa"/>
            <w:vAlign w:val="center"/>
          </w:tcPr>
          <w:p w14:paraId="5F4E7114">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5</w:t>
            </w:r>
          </w:p>
        </w:tc>
        <w:tc>
          <w:tcPr>
            <w:tcW w:w="948" w:type="dxa"/>
            <w:vAlign w:val="center"/>
          </w:tcPr>
          <w:p w14:paraId="045F3740">
            <w:pPr>
              <w:widowControl/>
              <w:jc w:val="center"/>
              <w:textAlignment w:val="center"/>
              <w:rPr>
                <w:rFonts w:hint="eastAsia" w:ascii="宋体" w:hAnsi="宋体" w:eastAsia="宋体" w:cs="宋体"/>
                <w:color w:val="000000"/>
                <w:kern w:val="0"/>
                <w:sz w:val="24"/>
                <w:szCs w:val="24"/>
                <w:lang w:bidi="ar"/>
              </w:rPr>
            </w:pPr>
          </w:p>
        </w:tc>
      </w:tr>
      <w:tr w14:paraId="5F262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648" w:type="dxa"/>
            <w:vAlign w:val="center"/>
          </w:tcPr>
          <w:p w14:paraId="6ABF0B18">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16</w:t>
            </w:r>
          </w:p>
        </w:tc>
        <w:tc>
          <w:tcPr>
            <w:tcW w:w="1140" w:type="dxa"/>
            <w:vAlign w:val="center"/>
          </w:tcPr>
          <w:p w14:paraId="667559B4">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API 20E生化鉴定条</w:t>
            </w:r>
          </w:p>
        </w:tc>
        <w:tc>
          <w:tcPr>
            <w:tcW w:w="4776" w:type="dxa"/>
            <w:vAlign w:val="center"/>
          </w:tcPr>
          <w:p w14:paraId="5AF9BB8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1.用于肠杆菌科和其它非苛养、G-杆杆菌的鉴定。</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2.2026年11月供货</w:t>
            </w:r>
          </w:p>
        </w:tc>
        <w:tc>
          <w:tcPr>
            <w:tcW w:w="924" w:type="dxa"/>
            <w:vAlign w:val="center"/>
          </w:tcPr>
          <w:p w14:paraId="4C4A1D17">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支</w:t>
            </w:r>
          </w:p>
        </w:tc>
        <w:tc>
          <w:tcPr>
            <w:tcW w:w="924" w:type="dxa"/>
            <w:vAlign w:val="center"/>
          </w:tcPr>
          <w:p w14:paraId="717E591E">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200</w:t>
            </w:r>
          </w:p>
        </w:tc>
        <w:tc>
          <w:tcPr>
            <w:tcW w:w="948" w:type="dxa"/>
            <w:vAlign w:val="center"/>
          </w:tcPr>
          <w:p w14:paraId="1B67C87F">
            <w:pPr>
              <w:widowControl/>
              <w:jc w:val="left"/>
              <w:textAlignment w:val="center"/>
              <w:rPr>
                <w:rFonts w:hint="eastAsia" w:ascii="宋体" w:hAnsi="宋体" w:eastAsia="宋体" w:cs="宋体"/>
                <w:color w:val="000000"/>
                <w:kern w:val="0"/>
                <w:sz w:val="24"/>
                <w:szCs w:val="24"/>
                <w:lang w:bidi="ar"/>
              </w:rPr>
            </w:pPr>
          </w:p>
        </w:tc>
      </w:tr>
      <w:tr w14:paraId="567E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648" w:type="dxa"/>
            <w:vAlign w:val="center"/>
          </w:tcPr>
          <w:p w14:paraId="519286F4">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17</w:t>
            </w:r>
          </w:p>
        </w:tc>
        <w:tc>
          <w:tcPr>
            <w:tcW w:w="1140" w:type="dxa"/>
            <w:vAlign w:val="center"/>
          </w:tcPr>
          <w:p w14:paraId="1B93E2DD">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飞行时间质谱系统微生物样本处理试剂</w:t>
            </w:r>
          </w:p>
        </w:tc>
        <w:tc>
          <w:tcPr>
            <w:tcW w:w="4776" w:type="dxa"/>
            <w:vAlign w:val="center"/>
          </w:tcPr>
          <w:p w14:paraId="35D505A0">
            <w:pPr>
              <w:widowControl/>
              <w:jc w:val="left"/>
              <w:textAlignment w:val="center"/>
              <w:rPr>
                <w:rFonts w:hint="eastAsia" w:ascii="宋体" w:hAnsi="宋体" w:eastAsia="宋体" w:cs="宋体"/>
                <w:color w:val="000000"/>
                <w:sz w:val="24"/>
                <w:szCs w:val="24"/>
              </w:rPr>
            </w:pPr>
            <w:r>
              <w:rPr>
                <w:rStyle w:val="9"/>
                <w:rFonts w:hint="default" w:ascii="宋体" w:hAnsi="宋体" w:eastAsia="宋体" w:cs="宋体"/>
                <w:sz w:val="24"/>
                <w:szCs w:val="24"/>
                <w:lang w:bidi="ar"/>
              </w:rPr>
              <w:t>96</w:t>
            </w:r>
            <w:r>
              <w:rPr>
                <w:rFonts w:hint="eastAsia" w:ascii="宋体" w:hAnsi="宋体" w:eastAsia="宋体" w:cs="宋体"/>
                <w:color w:val="000000"/>
                <w:kern w:val="0"/>
                <w:sz w:val="24"/>
                <w:szCs w:val="24"/>
                <w:lang w:bidi="ar"/>
              </w:rPr>
              <w:t>测试/盒，适配北京毅新博创飞行时间质谱系统</w:t>
            </w:r>
          </w:p>
        </w:tc>
        <w:tc>
          <w:tcPr>
            <w:tcW w:w="924" w:type="dxa"/>
            <w:vAlign w:val="center"/>
          </w:tcPr>
          <w:p w14:paraId="2738B6D7">
            <w:pPr>
              <w:widowControl/>
              <w:jc w:val="center"/>
              <w:textAlignment w:val="center"/>
              <w:rPr>
                <w:rStyle w:val="9"/>
                <w:rFonts w:hint="default" w:ascii="宋体" w:hAnsi="宋体" w:eastAsia="宋体" w:cs="宋体"/>
                <w:sz w:val="24"/>
                <w:szCs w:val="24"/>
                <w:lang w:bidi="ar"/>
              </w:rPr>
            </w:pPr>
            <w:r>
              <w:rPr>
                <w:rFonts w:hint="eastAsia" w:ascii="宋体" w:hAnsi="宋体" w:eastAsia="宋体" w:cs="宋体"/>
                <w:color w:val="000000"/>
                <w:kern w:val="0"/>
                <w:sz w:val="24"/>
                <w:szCs w:val="24"/>
                <w:lang w:bidi="ar"/>
              </w:rPr>
              <w:t>盒</w:t>
            </w:r>
          </w:p>
        </w:tc>
        <w:tc>
          <w:tcPr>
            <w:tcW w:w="924" w:type="dxa"/>
            <w:vAlign w:val="center"/>
          </w:tcPr>
          <w:p w14:paraId="67980F55">
            <w:pPr>
              <w:widowControl/>
              <w:jc w:val="center"/>
              <w:textAlignment w:val="center"/>
              <w:rPr>
                <w:rStyle w:val="9"/>
                <w:rFonts w:hint="default" w:ascii="宋体" w:hAnsi="宋体" w:eastAsia="宋体" w:cs="宋体"/>
                <w:sz w:val="24"/>
                <w:szCs w:val="24"/>
                <w:lang w:bidi="ar"/>
              </w:rPr>
            </w:pPr>
            <w:r>
              <w:rPr>
                <w:rFonts w:hint="eastAsia" w:ascii="宋体" w:hAnsi="宋体" w:eastAsia="宋体" w:cs="宋体"/>
                <w:color w:val="000000"/>
                <w:kern w:val="0"/>
                <w:sz w:val="24"/>
                <w:szCs w:val="24"/>
                <w:lang w:bidi="ar"/>
              </w:rPr>
              <w:t>2</w:t>
            </w:r>
          </w:p>
        </w:tc>
        <w:tc>
          <w:tcPr>
            <w:tcW w:w="948" w:type="dxa"/>
            <w:vAlign w:val="center"/>
          </w:tcPr>
          <w:p w14:paraId="65EDDDBF">
            <w:pPr>
              <w:widowControl/>
              <w:jc w:val="left"/>
              <w:textAlignment w:val="center"/>
              <w:rPr>
                <w:rStyle w:val="9"/>
                <w:rFonts w:hint="default" w:ascii="宋体" w:hAnsi="宋体" w:eastAsia="宋体" w:cs="宋体"/>
                <w:sz w:val="24"/>
                <w:szCs w:val="24"/>
                <w:lang w:bidi="ar"/>
              </w:rPr>
            </w:pPr>
          </w:p>
        </w:tc>
      </w:tr>
    </w:tbl>
    <w:p w14:paraId="22D1FDEC">
      <w:pPr>
        <w:wordWrap w:val="0"/>
        <w:spacing w:line="360" w:lineRule="auto"/>
        <w:ind w:firstLine="437"/>
        <w:rPr>
          <w:rFonts w:ascii="Arial" w:hAnsi="Arial" w:eastAsia="宋体" w:cs="Arial"/>
          <w:b/>
          <w:sz w:val="28"/>
          <w:szCs w:val="28"/>
        </w:rPr>
      </w:pPr>
      <w:r>
        <w:rPr>
          <w:rFonts w:hint="eastAsia" w:ascii="Arial" w:hAnsi="Arial" w:eastAsia="宋体" w:cs="Arial"/>
          <w:b/>
          <w:sz w:val="28"/>
          <w:szCs w:val="28"/>
        </w:rPr>
        <w:t>四、报价要求</w:t>
      </w:r>
    </w:p>
    <w:p w14:paraId="2E954D31">
      <w:pPr>
        <w:wordWrap w:val="0"/>
        <w:spacing w:line="360" w:lineRule="auto"/>
        <w:ind w:firstLine="437"/>
        <w:rPr>
          <w:rFonts w:hint="eastAsia" w:ascii="宋体" w:hAnsi="宋体" w:eastAsia="宋体"/>
          <w:b/>
          <w:bCs/>
          <w:sz w:val="24"/>
        </w:rPr>
      </w:pPr>
      <w:r>
        <w:rPr>
          <w:rFonts w:hint="eastAsia" w:ascii="宋体" w:hAnsi="宋体" w:eastAsia="宋体"/>
          <w:sz w:val="24"/>
        </w:rPr>
        <w:t>本项目报总价，投标报价包括本项目需求（包含招标文件要求内容、投标文件承诺内容、评审过程澄清修改内容等）的全部货物及所需附件购置费、包装费、运输费、人工费、保险费、安装调试费、各种税费、资料费、售后服务费及完成项目应有的全部费用，中标后采购人不再另行支付任何费用，</w:t>
      </w:r>
      <w:r>
        <w:rPr>
          <w:rFonts w:hint="eastAsia" w:ascii="宋体" w:hAnsi="宋体" w:eastAsia="宋体"/>
          <w:b/>
          <w:bCs/>
          <w:sz w:val="24"/>
        </w:rPr>
        <w:t>投标分项报价表中须明确列出所投产品所含货物名称、品牌、型号规格、原产地及生产厂商，否则可能导致投标无效。</w:t>
      </w:r>
    </w:p>
    <w:p w14:paraId="79058768">
      <w:pPr>
        <w:wordWrap w:val="0"/>
        <w:spacing w:line="360" w:lineRule="auto"/>
        <w:ind w:firstLine="437"/>
        <w:rPr>
          <w:rFonts w:hint="eastAsia" w:ascii="宋体" w:hAnsi="宋体" w:eastAsia="宋体"/>
          <w:b/>
          <w:bCs/>
          <w:color w:val="FF0000"/>
          <w:sz w:val="24"/>
        </w:rPr>
        <w:sectPr>
          <w:footerReference r:id="rId3" w:type="default"/>
          <w:pgSz w:w="11906" w:h="16838"/>
          <w:pgMar w:top="1417" w:right="1417" w:bottom="1417" w:left="1417" w:header="851" w:footer="992" w:gutter="0"/>
          <w:pgNumType w:start="1"/>
          <w:cols w:space="720" w:num="1"/>
          <w:docGrid w:type="lines" w:linePitch="312" w:charSpace="0"/>
        </w:sectPr>
      </w:pPr>
    </w:p>
    <w:p w14:paraId="17A40D76">
      <w:pPr>
        <w:wordWrap w:val="0"/>
        <w:spacing w:line="360" w:lineRule="auto"/>
        <w:ind w:firstLine="437"/>
        <w:rPr>
          <w:rFonts w:ascii="Arial" w:hAnsi="Arial" w:eastAsia="宋体" w:cs="Arial"/>
          <w:b/>
          <w:sz w:val="28"/>
          <w:szCs w:val="28"/>
        </w:rPr>
      </w:pPr>
      <w:r>
        <w:rPr>
          <w:rFonts w:hint="eastAsia" w:ascii="Arial" w:hAnsi="Arial" w:eastAsia="宋体" w:cs="Arial"/>
          <w:b/>
          <w:sz w:val="28"/>
          <w:szCs w:val="28"/>
        </w:rPr>
        <w:t>第2包：试剂耗材补充采购2</w:t>
      </w:r>
    </w:p>
    <w:p w14:paraId="4605218F">
      <w:pPr>
        <w:wordWrap w:val="0"/>
        <w:spacing w:line="360" w:lineRule="auto"/>
        <w:ind w:firstLine="437"/>
        <w:rPr>
          <w:rFonts w:ascii="Arial" w:hAnsi="Arial" w:eastAsia="宋体" w:cs="Arial"/>
          <w:b/>
          <w:sz w:val="28"/>
          <w:szCs w:val="28"/>
        </w:rPr>
      </w:pPr>
      <w:r>
        <w:rPr>
          <w:rFonts w:hint="eastAsia" w:ascii="Arial" w:hAnsi="Arial" w:eastAsia="宋体" w:cs="Arial"/>
          <w:b/>
          <w:sz w:val="28"/>
          <w:szCs w:val="28"/>
        </w:rPr>
        <w:t>二、货物需求</w:t>
      </w:r>
    </w:p>
    <w:p w14:paraId="433D6757">
      <w:pPr>
        <w:widowControl/>
        <w:wordWrap w:val="0"/>
        <w:spacing w:line="360" w:lineRule="auto"/>
        <w:ind w:firstLine="437"/>
        <w:jc w:val="left"/>
        <w:rPr>
          <w:rFonts w:hint="eastAsia" w:ascii="宋体" w:hAnsi="宋体" w:eastAsia="宋体"/>
          <w:b/>
          <w:bCs/>
          <w:sz w:val="24"/>
        </w:rPr>
      </w:pPr>
      <w:r>
        <w:rPr>
          <w:rFonts w:hint="eastAsia" w:ascii="宋体" w:hAnsi="宋体" w:eastAsia="宋体"/>
          <w:b/>
          <w:bCs/>
          <w:sz w:val="24"/>
        </w:rPr>
        <w:t>（一）货物指标要求</w:t>
      </w:r>
    </w:p>
    <w:tbl>
      <w:tblPr>
        <w:tblStyle w:val="4"/>
        <w:tblW w:w="9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1"/>
        <w:gridCol w:w="1406"/>
        <w:gridCol w:w="5723"/>
      </w:tblGrid>
      <w:tr w14:paraId="38EED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2241" w:type="dxa"/>
            <w:vAlign w:val="center"/>
          </w:tcPr>
          <w:p w14:paraId="7C541FFF">
            <w:pPr>
              <w:spacing w:line="360" w:lineRule="auto"/>
              <w:jc w:val="center"/>
              <w:rPr>
                <w:rFonts w:ascii="Times New Roman" w:hAnsi="Times New Roman" w:eastAsia="宋体" w:cs="Times New Roman"/>
                <w:b/>
                <w:bCs/>
                <w:sz w:val="24"/>
                <w:szCs w:val="18"/>
              </w:rPr>
            </w:pPr>
            <w:r>
              <w:rPr>
                <w:rFonts w:ascii="Times New Roman" w:hAnsi="Times New Roman" w:eastAsia="宋体" w:cs="Times New Roman"/>
                <w:b/>
                <w:bCs/>
                <w:sz w:val="24"/>
                <w:szCs w:val="18"/>
              </w:rPr>
              <w:t>标识重要性</w:t>
            </w:r>
          </w:p>
        </w:tc>
        <w:tc>
          <w:tcPr>
            <w:tcW w:w="1406" w:type="dxa"/>
            <w:vAlign w:val="center"/>
          </w:tcPr>
          <w:p w14:paraId="79EDBFFC">
            <w:pPr>
              <w:spacing w:line="360" w:lineRule="auto"/>
              <w:jc w:val="center"/>
              <w:rPr>
                <w:rFonts w:ascii="Times New Roman" w:hAnsi="Times New Roman" w:eastAsia="宋体" w:cs="Times New Roman"/>
                <w:b/>
                <w:bCs/>
                <w:sz w:val="24"/>
                <w:szCs w:val="18"/>
              </w:rPr>
            </w:pPr>
            <w:r>
              <w:rPr>
                <w:rFonts w:ascii="Times New Roman" w:hAnsi="Times New Roman" w:eastAsia="宋体" w:cs="Times New Roman"/>
                <w:b/>
                <w:bCs/>
                <w:sz w:val="24"/>
                <w:szCs w:val="18"/>
              </w:rPr>
              <w:t>标识符号</w:t>
            </w:r>
          </w:p>
        </w:tc>
        <w:tc>
          <w:tcPr>
            <w:tcW w:w="5723" w:type="dxa"/>
            <w:vAlign w:val="center"/>
          </w:tcPr>
          <w:p w14:paraId="7A21B6E6">
            <w:pPr>
              <w:spacing w:line="360" w:lineRule="auto"/>
              <w:jc w:val="center"/>
              <w:rPr>
                <w:rFonts w:ascii="Times New Roman" w:hAnsi="Times New Roman" w:eastAsia="宋体" w:cs="Times New Roman"/>
                <w:b/>
                <w:bCs/>
                <w:sz w:val="24"/>
                <w:szCs w:val="18"/>
              </w:rPr>
            </w:pPr>
            <w:r>
              <w:rPr>
                <w:rFonts w:ascii="Times New Roman" w:hAnsi="Times New Roman" w:eastAsia="宋体" w:cs="Times New Roman"/>
                <w:b/>
                <w:bCs/>
                <w:sz w:val="24"/>
                <w:szCs w:val="18"/>
              </w:rPr>
              <w:t>代表意思</w:t>
            </w:r>
          </w:p>
        </w:tc>
      </w:tr>
      <w:tr w14:paraId="63AB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1" w:type="dxa"/>
            <w:vAlign w:val="center"/>
          </w:tcPr>
          <w:p w14:paraId="63DB3FC8">
            <w:pPr>
              <w:spacing w:line="360" w:lineRule="auto"/>
              <w:jc w:val="center"/>
              <w:rPr>
                <w:rFonts w:ascii="Times New Roman" w:hAnsi="Times New Roman" w:eastAsia="宋体" w:cs="Times New Roman"/>
                <w:sz w:val="24"/>
                <w:szCs w:val="18"/>
              </w:rPr>
            </w:pPr>
            <w:r>
              <w:rPr>
                <w:rFonts w:ascii="Times New Roman" w:hAnsi="Times New Roman" w:eastAsia="宋体" w:cs="Times New Roman"/>
                <w:sz w:val="24"/>
                <w:szCs w:val="18"/>
              </w:rPr>
              <w:t>重要指标项</w:t>
            </w:r>
          </w:p>
        </w:tc>
        <w:tc>
          <w:tcPr>
            <w:tcW w:w="1406" w:type="dxa"/>
            <w:vAlign w:val="center"/>
          </w:tcPr>
          <w:p w14:paraId="2C921794">
            <w:pPr>
              <w:spacing w:line="360" w:lineRule="auto"/>
              <w:jc w:val="center"/>
              <w:rPr>
                <w:rFonts w:ascii="Times New Roman" w:hAnsi="Times New Roman" w:eastAsia="宋体" w:cs="Times New Roman"/>
                <w:bCs/>
                <w:sz w:val="24"/>
                <w:szCs w:val="24"/>
              </w:rPr>
            </w:pPr>
            <w:r>
              <w:rPr>
                <w:rFonts w:hint="eastAsia" w:ascii="宋体" w:hAnsi="宋体" w:eastAsia="宋体" w:cs="宋体"/>
                <w:sz w:val="24"/>
                <w:szCs w:val="24"/>
              </w:rPr>
              <w:t>★</w:t>
            </w:r>
          </w:p>
        </w:tc>
        <w:tc>
          <w:tcPr>
            <w:tcW w:w="5723" w:type="dxa"/>
            <w:vAlign w:val="center"/>
          </w:tcPr>
          <w:p w14:paraId="20F6426B">
            <w:pPr>
              <w:spacing w:line="360" w:lineRule="auto"/>
              <w:jc w:val="center"/>
              <w:rPr>
                <w:rFonts w:ascii="Times New Roman" w:hAnsi="Times New Roman" w:eastAsia="宋体" w:cs="Times New Roman"/>
                <w:sz w:val="24"/>
                <w:szCs w:val="18"/>
              </w:rPr>
            </w:pPr>
            <w:r>
              <w:rPr>
                <w:rFonts w:ascii="Times New Roman" w:hAnsi="Times New Roman" w:eastAsia="宋体" w:cs="Times New Roman"/>
                <w:sz w:val="24"/>
                <w:szCs w:val="18"/>
              </w:rPr>
              <w:t>评分项，详见评分细则</w:t>
            </w:r>
          </w:p>
        </w:tc>
      </w:tr>
      <w:tr w14:paraId="5C708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2241" w:type="dxa"/>
            <w:vAlign w:val="center"/>
          </w:tcPr>
          <w:p w14:paraId="7E4771FE">
            <w:pPr>
              <w:spacing w:line="360" w:lineRule="auto"/>
              <w:jc w:val="center"/>
              <w:rPr>
                <w:rFonts w:ascii="Times New Roman" w:hAnsi="Times New Roman" w:eastAsia="宋体" w:cs="Times New Roman"/>
                <w:b/>
                <w:bCs/>
                <w:sz w:val="24"/>
                <w:szCs w:val="18"/>
              </w:rPr>
            </w:pPr>
            <w:r>
              <w:rPr>
                <w:rFonts w:ascii="Times New Roman" w:hAnsi="Times New Roman" w:eastAsia="宋体" w:cs="Times New Roman"/>
                <w:b/>
                <w:bCs/>
                <w:sz w:val="24"/>
                <w:szCs w:val="18"/>
              </w:rPr>
              <w:t>无标识项</w:t>
            </w:r>
          </w:p>
        </w:tc>
        <w:tc>
          <w:tcPr>
            <w:tcW w:w="1406" w:type="dxa"/>
            <w:vAlign w:val="center"/>
          </w:tcPr>
          <w:p w14:paraId="317174EF">
            <w:pPr>
              <w:spacing w:line="360" w:lineRule="auto"/>
              <w:jc w:val="center"/>
              <w:rPr>
                <w:rFonts w:ascii="Times New Roman" w:hAnsi="Times New Roman" w:eastAsia="宋体" w:cs="Times New Roman"/>
                <w:b/>
                <w:bCs/>
                <w:sz w:val="24"/>
                <w:szCs w:val="18"/>
              </w:rPr>
            </w:pPr>
          </w:p>
        </w:tc>
        <w:tc>
          <w:tcPr>
            <w:tcW w:w="5723" w:type="dxa"/>
            <w:vAlign w:val="center"/>
          </w:tcPr>
          <w:p w14:paraId="0F01B017">
            <w:pPr>
              <w:pStyle w:val="10"/>
              <w:spacing w:before="76" w:line="360" w:lineRule="auto"/>
              <w:rPr>
                <w:rFonts w:ascii="Times New Roman" w:hAnsi="Times New Roman" w:eastAsia="宋体" w:cs="Times New Roman"/>
                <w:b/>
                <w:bCs/>
                <w:sz w:val="24"/>
                <w:szCs w:val="18"/>
              </w:rPr>
            </w:pPr>
            <w:r>
              <w:rPr>
                <w:rFonts w:hint="eastAsia" w:ascii="Times New Roman" w:hAnsi="Times New Roman" w:eastAsia="宋体" w:cs="Times New Roman"/>
                <w:sz w:val="24"/>
                <w:szCs w:val="24"/>
                <w:lang w:val="en-US"/>
              </w:rPr>
              <w:t>无标识项</w:t>
            </w:r>
            <w:r>
              <w:rPr>
                <w:rFonts w:ascii="Times New Roman" w:hAnsi="Times New Roman" w:eastAsia="宋体" w:cs="Times New Roman"/>
                <w:kern w:val="0"/>
                <w:sz w:val="24"/>
                <w:szCs w:val="24"/>
                <w:lang w:val="en-US" w:bidi="ar-SA"/>
              </w:rPr>
              <w:t>作</w:t>
            </w:r>
            <w:r>
              <w:rPr>
                <w:rFonts w:hint="eastAsia" w:ascii="Times New Roman" w:hAnsi="Times New Roman" w:eastAsia="宋体" w:cs="Times New Roman"/>
                <w:kern w:val="0"/>
                <w:sz w:val="24"/>
                <w:szCs w:val="24"/>
                <w:lang w:val="en-US" w:bidi="ar-SA"/>
              </w:rPr>
              <w:t>为基础指标项，全部满足得</w:t>
            </w:r>
            <w:r>
              <w:rPr>
                <w:rFonts w:hint="eastAsia" w:ascii="Times New Roman" w:hAnsi="Times New Roman" w:eastAsia="宋体" w:cs="Times New Roman"/>
                <w:kern w:val="0"/>
                <w:sz w:val="24"/>
                <w:szCs w:val="24"/>
                <w:lang w:val="en-US" w:eastAsia="zh-CN" w:bidi="ar-SA"/>
              </w:rPr>
              <w:t>7</w:t>
            </w:r>
            <w:r>
              <w:rPr>
                <w:rFonts w:hint="eastAsia" w:ascii="Times New Roman" w:hAnsi="Times New Roman" w:eastAsia="宋体" w:cs="Times New Roman"/>
                <w:kern w:val="0"/>
                <w:sz w:val="24"/>
                <w:szCs w:val="24"/>
                <w:lang w:val="en-US" w:bidi="ar-SA"/>
              </w:rPr>
              <w:t>分，有1条未响应（或负偏离）的得</w:t>
            </w:r>
            <w:r>
              <w:rPr>
                <w:rFonts w:hint="eastAsia" w:ascii="Times New Roman" w:hAnsi="Times New Roman" w:eastAsia="宋体" w:cs="Times New Roman"/>
                <w:kern w:val="0"/>
                <w:sz w:val="24"/>
                <w:szCs w:val="24"/>
                <w:lang w:val="en-US" w:eastAsia="zh-CN" w:bidi="ar-SA"/>
              </w:rPr>
              <w:t>5</w:t>
            </w:r>
            <w:r>
              <w:rPr>
                <w:rFonts w:hint="eastAsia" w:ascii="Times New Roman" w:hAnsi="Times New Roman" w:eastAsia="宋体" w:cs="Times New Roman"/>
                <w:kern w:val="0"/>
                <w:sz w:val="24"/>
                <w:szCs w:val="24"/>
                <w:lang w:val="en-US" w:bidi="ar-SA"/>
              </w:rPr>
              <w:t>分，有2条未响应（或负偏离）的得</w:t>
            </w:r>
            <w:r>
              <w:rPr>
                <w:rFonts w:hint="eastAsia" w:ascii="Times New Roman" w:hAnsi="Times New Roman" w:eastAsia="宋体" w:cs="Times New Roman"/>
                <w:kern w:val="0"/>
                <w:sz w:val="24"/>
                <w:szCs w:val="24"/>
                <w:lang w:val="en-US" w:eastAsia="zh-CN" w:bidi="ar-SA"/>
              </w:rPr>
              <w:t>3</w:t>
            </w:r>
            <w:r>
              <w:rPr>
                <w:rFonts w:hint="eastAsia" w:ascii="Times New Roman" w:hAnsi="Times New Roman" w:eastAsia="宋体" w:cs="Times New Roman"/>
                <w:kern w:val="0"/>
                <w:sz w:val="24"/>
                <w:szCs w:val="24"/>
                <w:lang w:val="en-US" w:bidi="ar-SA"/>
              </w:rPr>
              <w:t>分，有</w:t>
            </w:r>
            <w:r>
              <w:rPr>
                <w:rFonts w:hint="eastAsia" w:ascii="Times New Roman" w:hAnsi="Times New Roman" w:eastAsia="宋体" w:cs="Times New Roman"/>
                <w:kern w:val="0"/>
                <w:sz w:val="24"/>
                <w:szCs w:val="24"/>
                <w:lang w:val="en-US" w:eastAsia="zh-CN" w:bidi="ar-SA"/>
              </w:rPr>
              <w:t>3</w:t>
            </w:r>
            <w:r>
              <w:rPr>
                <w:rFonts w:hint="eastAsia" w:ascii="Times New Roman" w:hAnsi="Times New Roman" w:eastAsia="宋体" w:cs="Times New Roman"/>
                <w:kern w:val="0"/>
                <w:sz w:val="24"/>
                <w:szCs w:val="24"/>
                <w:lang w:val="en-US" w:bidi="ar-SA"/>
              </w:rPr>
              <w:t>条未响应（或负偏离）的得</w:t>
            </w:r>
            <w:r>
              <w:rPr>
                <w:rFonts w:hint="eastAsia" w:ascii="Times New Roman" w:hAnsi="Times New Roman" w:eastAsia="宋体" w:cs="Times New Roman"/>
                <w:kern w:val="0"/>
                <w:sz w:val="24"/>
                <w:szCs w:val="24"/>
                <w:lang w:val="en-US" w:eastAsia="zh-CN" w:bidi="ar-SA"/>
              </w:rPr>
              <w:t>1</w:t>
            </w:r>
            <w:r>
              <w:rPr>
                <w:rFonts w:hint="eastAsia" w:ascii="Times New Roman" w:hAnsi="Times New Roman" w:eastAsia="宋体" w:cs="Times New Roman"/>
                <w:kern w:val="0"/>
                <w:sz w:val="24"/>
                <w:szCs w:val="24"/>
                <w:lang w:val="en-US" w:bidi="ar-SA"/>
              </w:rPr>
              <w:t>分</w:t>
            </w:r>
            <w:r>
              <w:rPr>
                <w:rFonts w:ascii="Times New Roman" w:hAnsi="Times New Roman" w:eastAsia="宋体" w:cs="Times New Roman"/>
                <w:kern w:val="0"/>
                <w:sz w:val="24"/>
                <w:szCs w:val="24"/>
                <w:lang w:val="en-US" w:bidi="ar-SA"/>
              </w:rPr>
              <w:t>，</w:t>
            </w:r>
            <w:r>
              <w:rPr>
                <w:rFonts w:hint="eastAsia" w:ascii="Times New Roman" w:hAnsi="Times New Roman" w:eastAsia="宋体" w:cs="Times New Roman"/>
                <w:kern w:val="0"/>
                <w:sz w:val="24"/>
                <w:szCs w:val="24"/>
                <w:lang w:val="en-US" w:bidi="ar-SA"/>
              </w:rPr>
              <w:t>超过</w:t>
            </w:r>
            <w:r>
              <w:rPr>
                <w:rFonts w:hint="eastAsia" w:ascii="Times New Roman" w:hAnsi="Times New Roman" w:eastAsia="宋体" w:cs="Times New Roman"/>
                <w:kern w:val="0"/>
                <w:sz w:val="24"/>
                <w:szCs w:val="24"/>
                <w:lang w:val="en-US" w:eastAsia="zh-CN" w:bidi="ar-SA"/>
              </w:rPr>
              <w:t>3</w:t>
            </w:r>
            <w:r>
              <w:rPr>
                <w:rFonts w:hint="eastAsia" w:ascii="Times New Roman" w:hAnsi="Times New Roman" w:eastAsia="宋体" w:cs="Times New Roman"/>
                <w:kern w:val="0"/>
                <w:sz w:val="24"/>
                <w:szCs w:val="24"/>
                <w:lang w:val="en-US" w:bidi="ar-SA"/>
              </w:rPr>
              <w:t>条未响应（或负偏离）的不得分</w:t>
            </w:r>
            <w:r>
              <w:rPr>
                <w:rFonts w:hint="eastAsia" w:eastAsia="宋体"/>
                <w:sz w:val="24"/>
              </w:rPr>
              <w:t>。</w:t>
            </w:r>
          </w:p>
        </w:tc>
      </w:tr>
      <w:tr w14:paraId="33B71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0" w:type="dxa"/>
            <w:gridSpan w:val="3"/>
            <w:vAlign w:val="center"/>
          </w:tcPr>
          <w:p w14:paraId="5E7884D9">
            <w:pPr>
              <w:spacing w:line="360" w:lineRule="auto"/>
              <w:rPr>
                <w:rFonts w:hint="eastAsia" w:ascii="宋体" w:hAnsi="宋体" w:eastAsia="宋体" w:cs="宋体"/>
                <w:b/>
                <w:sz w:val="24"/>
                <w:szCs w:val="24"/>
              </w:rPr>
            </w:pPr>
            <w:r>
              <w:rPr>
                <w:rFonts w:hint="eastAsia" w:ascii="宋体" w:hAnsi="宋体" w:eastAsia="宋体" w:cs="宋体"/>
                <w:b/>
                <w:sz w:val="24"/>
                <w:szCs w:val="24"/>
              </w:rPr>
              <w:t>注：</w:t>
            </w:r>
          </w:p>
          <w:p w14:paraId="6450AF45">
            <w:pPr>
              <w:spacing w:line="360" w:lineRule="auto"/>
              <w:jc w:val="lef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（1）针对下表中标注★的指标项须按招标文件要求在投标文件中提供证明材料予以佐证。</w:t>
            </w:r>
          </w:p>
          <w:p w14:paraId="19D4D735">
            <w:pPr>
              <w:spacing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rPr>
              <w:t>1.采购需求中</w:t>
            </w:r>
            <w:r>
              <w:rPr>
                <w:rFonts w:hint="eastAsia" w:ascii="宋体" w:hAnsi="宋体" w:eastAsia="宋体" w:cs="宋体"/>
                <w:b/>
                <w:color w:val="000000"/>
                <w:sz w:val="24"/>
                <w:szCs w:val="24"/>
                <w:lang w:val="zh-CN"/>
              </w:rPr>
              <w:t>明确要求提供</w:t>
            </w:r>
            <w:r>
              <w:rPr>
                <w:rFonts w:hint="eastAsia" w:ascii="宋体" w:hAnsi="宋体" w:eastAsia="宋体" w:cs="宋体"/>
                <w:b/>
                <w:color w:val="000000"/>
                <w:sz w:val="24"/>
                <w:szCs w:val="24"/>
              </w:rPr>
              <w:t>相关</w:t>
            </w:r>
            <w:r>
              <w:rPr>
                <w:rFonts w:hint="eastAsia" w:ascii="宋体" w:hAnsi="宋体" w:eastAsia="宋体" w:cs="宋体"/>
                <w:b/>
                <w:color w:val="000000"/>
                <w:sz w:val="24"/>
                <w:szCs w:val="24"/>
                <w:lang w:val="zh-CN"/>
              </w:rPr>
              <w:t>材料</w:t>
            </w:r>
            <w:r>
              <w:rPr>
                <w:rFonts w:hint="eastAsia" w:ascii="宋体" w:hAnsi="宋体" w:eastAsia="宋体" w:cs="宋体"/>
                <w:b/>
                <w:color w:val="000000"/>
                <w:sz w:val="24"/>
                <w:szCs w:val="24"/>
              </w:rPr>
              <w:t>的</w:t>
            </w:r>
            <w:r>
              <w:rPr>
                <w:rFonts w:hint="eastAsia" w:ascii="宋体" w:hAnsi="宋体" w:eastAsia="宋体" w:cs="宋体"/>
                <w:b/>
                <w:color w:val="000000"/>
                <w:sz w:val="24"/>
                <w:szCs w:val="24"/>
                <w:lang w:val="zh-CN"/>
              </w:rPr>
              <w:t>按采购需求要求提供</w:t>
            </w:r>
            <w:r>
              <w:rPr>
                <w:rFonts w:hint="eastAsia" w:ascii="宋体" w:hAnsi="宋体" w:eastAsia="宋体" w:cs="宋体"/>
                <w:b/>
                <w:color w:val="000000"/>
                <w:sz w:val="24"/>
                <w:szCs w:val="24"/>
              </w:rPr>
              <w:t>对应证明材料</w:t>
            </w:r>
            <w:r>
              <w:rPr>
                <w:rFonts w:hint="eastAsia" w:ascii="宋体" w:hAnsi="宋体" w:eastAsia="宋体" w:cs="宋体"/>
                <w:b/>
                <w:color w:val="000000"/>
                <w:sz w:val="24"/>
                <w:szCs w:val="24"/>
                <w:lang w:val="zh-CN"/>
              </w:rPr>
              <w:t>；</w:t>
            </w:r>
          </w:p>
          <w:p w14:paraId="5443E0B9">
            <w:pPr>
              <w:spacing w:line="360" w:lineRule="auto"/>
              <w:rPr>
                <w:rFonts w:hint="eastAsia" w:ascii="宋体" w:hAnsi="宋体" w:eastAsia="宋体" w:cs="宋体"/>
                <w:b/>
                <w:bCs/>
                <w:color w:val="000000"/>
                <w:sz w:val="24"/>
                <w:szCs w:val="24"/>
              </w:rPr>
            </w:pPr>
            <w:r>
              <w:rPr>
                <w:rFonts w:hint="eastAsia" w:ascii="宋体" w:hAnsi="宋体" w:eastAsia="宋体" w:cs="宋体"/>
                <w:b/>
                <w:color w:val="000000"/>
                <w:sz w:val="24"/>
                <w:szCs w:val="24"/>
              </w:rPr>
              <w:t>2.采购需求中未明确要求提供证明料的，投标人须自行提供</w:t>
            </w:r>
            <w:r>
              <w:rPr>
                <w:rFonts w:hint="eastAsia" w:ascii="宋体" w:hAnsi="宋体" w:eastAsia="宋体" w:cs="宋体"/>
                <w:b/>
                <w:bCs/>
                <w:color w:val="000000"/>
                <w:sz w:val="24"/>
                <w:szCs w:val="24"/>
              </w:rPr>
              <w:t>证明材料，包括产品技术白皮书、产品技术说明书、产品彩页（产品功能截图）、厂家（制造商）官网截图、第三方机构出具的带有CMA或</w:t>
            </w:r>
            <w:r>
              <w:rPr>
                <w:rFonts w:hint="eastAsia" w:ascii="宋体" w:hAnsi="宋体" w:eastAsia="宋体" w:cs="宋体"/>
                <w:b/>
                <w:bCs/>
                <w:color w:val="000000"/>
                <w:kern w:val="0"/>
                <w:sz w:val="24"/>
                <w:szCs w:val="24"/>
                <w:lang w:bidi="ar"/>
              </w:rPr>
              <w:t>CNAS</w:t>
            </w:r>
            <w:r>
              <w:rPr>
                <w:rFonts w:hint="eastAsia" w:ascii="宋体" w:hAnsi="宋体" w:eastAsia="宋体" w:cs="宋体"/>
                <w:b/>
                <w:bCs/>
                <w:color w:val="000000"/>
                <w:sz w:val="24"/>
                <w:szCs w:val="24"/>
              </w:rPr>
              <w:t>标识的检测报告，提供其中之一即可。未按以上要求提供证明材料的视为负偏离或未响应（为便于评审，建议</w:t>
            </w:r>
            <w:r>
              <w:rPr>
                <w:rFonts w:hint="eastAsia" w:ascii="宋体" w:hAnsi="宋体" w:eastAsia="宋体" w:cs="宋体"/>
                <w:b/>
                <w:color w:val="000000"/>
                <w:sz w:val="24"/>
                <w:szCs w:val="24"/>
              </w:rPr>
              <w:t>投标人</w:t>
            </w:r>
            <w:r>
              <w:rPr>
                <w:rFonts w:hint="eastAsia" w:ascii="宋体" w:hAnsi="宋体" w:eastAsia="宋体" w:cs="宋体"/>
                <w:b/>
                <w:bCs/>
                <w:color w:val="000000"/>
                <w:sz w:val="24"/>
                <w:szCs w:val="24"/>
              </w:rPr>
              <w:t>对证明材料中的关键参数进行标注）。</w:t>
            </w:r>
          </w:p>
          <w:p w14:paraId="48928786">
            <w:pPr>
              <w:spacing w:line="360" w:lineRule="auto"/>
              <w:rPr>
                <w:rFonts w:ascii="Times New Roman" w:hAnsi="Times New Roman" w:eastAsia="宋体" w:cs="Times New Roman"/>
                <w:b/>
                <w:sz w:val="24"/>
                <w:szCs w:val="24"/>
              </w:rPr>
            </w:pPr>
            <w:r>
              <w:rPr>
                <w:rFonts w:hint="eastAsia" w:ascii="宋体" w:hAnsi="宋体" w:eastAsia="宋体" w:cs="宋体"/>
                <w:b/>
                <w:sz w:val="24"/>
              </w:rPr>
              <w:t>（2）如某项标识中包含多条技术参数或要求，则该项标识所含内容均需满足或优于招标文件要求，否则不予认可。</w:t>
            </w:r>
          </w:p>
        </w:tc>
      </w:tr>
    </w:tbl>
    <w:p w14:paraId="6CF9DBFF">
      <w:pPr>
        <w:numPr>
          <w:ilvl w:val="0"/>
          <w:numId w:val="1"/>
        </w:numPr>
        <w:wordWrap w:val="0"/>
        <w:spacing w:line="360" w:lineRule="auto"/>
        <w:ind w:firstLine="437"/>
        <w:rPr>
          <w:rFonts w:hint="eastAsia"/>
        </w:rPr>
      </w:pPr>
      <w:r>
        <w:rPr>
          <w:rFonts w:hint="eastAsia" w:ascii="宋体" w:hAnsi="宋体" w:eastAsia="宋体"/>
          <w:b/>
          <w:bCs/>
          <w:sz w:val="24"/>
        </w:rPr>
        <w:t>货物需求清单</w:t>
      </w:r>
    </w:p>
    <w:tbl>
      <w:tblPr>
        <w:tblStyle w:val="4"/>
        <w:tblW w:w="9362"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1543"/>
        <w:gridCol w:w="4551"/>
        <w:gridCol w:w="912"/>
        <w:gridCol w:w="900"/>
        <w:gridCol w:w="829"/>
      </w:tblGrid>
      <w:tr w14:paraId="23CBE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27" w:type="dxa"/>
            <w:vAlign w:val="center"/>
          </w:tcPr>
          <w:p w14:paraId="6DE5D137">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序号</w:t>
            </w:r>
          </w:p>
        </w:tc>
        <w:tc>
          <w:tcPr>
            <w:tcW w:w="1543" w:type="dxa"/>
            <w:vAlign w:val="center"/>
          </w:tcPr>
          <w:p w14:paraId="08B74D46">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货物名称</w:t>
            </w:r>
          </w:p>
        </w:tc>
        <w:tc>
          <w:tcPr>
            <w:tcW w:w="4551" w:type="dxa"/>
            <w:vAlign w:val="center"/>
          </w:tcPr>
          <w:p w14:paraId="1AB2A5DB">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技术参数及要求</w:t>
            </w:r>
          </w:p>
        </w:tc>
        <w:tc>
          <w:tcPr>
            <w:tcW w:w="912" w:type="dxa"/>
            <w:vAlign w:val="center"/>
          </w:tcPr>
          <w:p w14:paraId="4A69ACCF">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单位</w:t>
            </w:r>
          </w:p>
        </w:tc>
        <w:tc>
          <w:tcPr>
            <w:tcW w:w="900" w:type="dxa"/>
            <w:vAlign w:val="center"/>
          </w:tcPr>
          <w:p w14:paraId="28A9F3EA">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数量</w:t>
            </w:r>
          </w:p>
        </w:tc>
        <w:tc>
          <w:tcPr>
            <w:tcW w:w="829" w:type="dxa"/>
            <w:vAlign w:val="center"/>
          </w:tcPr>
          <w:p w14:paraId="31F7AED2">
            <w:pPr>
              <w:widowControl/>
              <w:jc w:val="center"/>
              <w:textAlignment w:val="center"/>
              <w:rPr>
                <w:rFonts w:hint="eastAsia" w:ascii="宋体" w:hAnsi="宋体" w:eastAsia="宋体" w:cs="宋体"/>
                <w:b/>
                <w:bCs/>
                <w:color w:val="000000"/>
                <w:kern w:val="0"/>
                <w:sz w:val="24"/>
                <w:szCs w:val="24"/>
                <w:lang w:bidi="ar"/>
              </w:rPr>
            </w:pPr>
            <w:r>
              <w:rPr>
                <w:rFonts w:hint="eastAsia" w:ascii="宋体" w:hAnsi="宋体" w:eastAsia="宋体" w:cs="宋体"/>
                <w:b/>
                <w:bCs/>
                <w:color w:val="000000"/>
                <w:kern w:val="0"/>
                <w:sz w:val="24"/>
                <w:szCs w:val="24"/>
                <w:lang w:bidi="ar"/>
              </w:rPr>
              <w:t>备注</w:t>
            </w:r>
          </w:p>
        </w:tc>
      </w:tr>
      <w:tr w14:paraId="3282A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627" w:type="dxa"/>
            <w:vAlign w:val="center"/>
          </w:tcPr>
          <w:p w14:paraId="57EF701E">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w:t>
            </w:r>
          </w:p>
        </w:tc>
        <w:tc>
          <w:tcPr>
            <w:tcW w:w="1543" w:type="dxa"/>
            <w:vAlign w:val="center"/>
          </w:tcPr>
          <w:p w14:paraId="361F420E">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诺如病毒GI/诺如病毒GⅡ双重荧光PCR试剂盒</w:t>
            </w:r>
          </w:p>
        </w:tc>
        <w:tc>
          <w:tcPr>
            <w:tcW w:w="4551" w:type="dxa"/>
            <w:vAlign w:val="center"/>
          </w:tcPr>
          <w:p w14:paraId="4AF1082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1.实时荧光PCR法；</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2.区分鉴别GI、GII型别；</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3.适用于Bio-Rad（iQ5/CFX96/CFX384）、ABI（7500/7500Fast）；</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3.到货有效期8个月及以上</w:t>
            </w:r>
          </w:p>
        </w:tc>
        <w:tc>
          <w:tcPr>
            <w:tcW w:w="912" w:type="dxa"/>
            <w:vAlign w:val="center"/>
          </w:tcPr>
          <w:p w14:paraId="2D580C28">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239DFDDF">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600</w:t>
            </w:r>
          </w:p>
        </w:tc>
        <w:tc>
          <w:tcPr>
            <w:tcW w:w="829" w:type="dxa"/>
            <w:vAlign w:val="center"/>
          </w:tcPr>
          <w:p w14:paraId="14BABD37">
            <w:pPr>
              <w:widowControl/>
              <w:jc w:val="center"/>
              <w:textAlignment w:val="center"/>
              <w:rPr>
                <w:rFonts w:hint="eastAsia" w:ascii="宋体" w:hAnsi="宋体" w:eastAsia="宋体" w:cs="宋体"/>
                <w:color w:val="000000"/>
                <w:kern w:val="0"/>
                <w:sz w:val="24"/>
                <w:szCs w:val="24"/>
                <w:lang w:bidi="ar"/>
              </w:rPr>
            </w:pPr>
          </w:p>
        </w:tc>
      </w:tr>
      <w:tr w14:paraId="03E01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7" w:type="dxa"/>
            <w:vAlign w:val="center"/>
          </w:tcPr>
          <w:p w14:paraId="7433A175">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2</w:t>
            </w:r>
          </w:p>
        </w:tc>
        <w:tc>
          <w:tcPr>
            <w:tcW w:w="1543" w:type="dxa"/>
            <w:vAlign w:val="center"/>
          </w:tcPr>
          <w:p w14:paraId="2CC4F0CE">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XLD琼脂</w:t>
            </w:r>
          </w:p>
        </w:tc>
        <w:tc>
          <w:tcPr>
            <w:tcW w:w="4551" w:type="dxa"/>
            <w:vAlign w:val="center"/>
          </w:tcPr>
          <w:p w14:paraId="2A0576CB">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粉末，符合GB4789.4-2024标准</w:t>
            </w:r>
          </w:p>
        </w:tc>
        <w:tc>
          <w:tcPr>
            <w:tcW w:w="912" w:type="dxa"/>
            <w:vAlign w:val="center"/>
          </w:tcPr>
          <w:p w14:paraId="54273BD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w:t>
            </w:r>
          </w:p>
        </w:tc>
        <w:tc>
          <w:tcPr>
            <w:tcW w:w="900" w:type="dxa"/>
            <w:vAlign w:val="center"/>
          </w:tcPr>
          <w:p w14:paraId="26701716">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500</w:t>
            </w:r>
          </w:p>
        </w:tc>
        <w:tc>
          <w:tcPr>
            <w:tcW w:w="829" w:type="dxa"/>
            <w:vAlign w:val="center"/>
          </w:tcPr>
          <w:p w14:paraId="499F16E4">
            <w:pPr>
              <w:widowControl/>
              <w:jc w:val="center"/>
              <w:textAlignment w:val="center"/>
              <w:rPr>
                <w:rFonts w:hint="eastAsia" w:ascii="宋体" w:hAnsi="宋体" w:eastAsia="宋体" w:cs="宋体"/>
                <w:color w:val="000000"/>
                <w:kern w:val="0"/>
                <w:sz w:val="24"/>
                <w:szCs w:val="24"/>
                <w:lang w:bidi="ar"/>
              </w:rPr>
            </w:pPr>
          </w:p>
        </w:tc>
      </w:tr>
      <w:tr w14:paraId="72421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627" w:type="dxa"/>
            <w:vAlign w:val="center"/>
          </w:tcPr>
          <w:p w14:paraId="685648C6">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3</w:t>
            </w:r>
          </w:p>
        </w:tc>
        <w:tc>
          <w:tcPr>
            <w:tcW w:w="1543" w:type="dxa"/>
            <w:vAlign w:val="center"/>
          </w:tcPr>
          <w:p w14:paraId="6F046449">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脑心浸液琼脂</w:t>
            </w:r>
          </w:p>
        </w:tc>
        <w:tc>
          <w:tcPr>
            <w:tcW w:w="4551" w:type="dxa"/>
            <w:vAlign w:val="center"/>
          </w:tcPr>
          <w:p w14:paraId="36EC2F3E">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粉末</w:t>
            </w:r>
          </w:p>
        </w:tc>
        <w:tc>
          <w:tcPr>
            <w:tcW w:w="912" w:type="dxa"/>
            <w:vAlign w:val="center"/>
          </w:tcPr>
          <w:p w14:paraId="13C3320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w:t>
            </w:r>
          </w:p>
        </w:tc>
        <w:tc>
          <w:tcPr>
            <w:tcW w:w="900" w:type="dxa"/>
            <w:vAlign w:val="center"/>
          </w:tcPr>
          <w:p w14:paraId="0E96B51F">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2000</w:t>
            </w:r>
          </w:p>
        </w:tc>
        <w:tc>
          <w:tcPr>
            <w:tcW w:w="829" w:type="dxa"/>
            <w:vAlign w:val="center"/>
          </w:tcPr>
          <w:p w14:paraId="3F3D8954">
            <w:pPr>
              <w:widowControl/>
              <w:jc w:val="center"/>
              <w:textAlignment w:val="center"/>
              <w:rPr>
                <w:rFonts w:hint="eastAsia" w:ascii="宋体" w:hAnsi="宋体" w:eastAsia="宋体" w:cs="宋体"/>
                <w:color w:val="000000"/>
                <w:kern w:val="0"/>
                <w:sz w:val="24"/>
                <w:szCs w:val="24"/>
                <w:lang w:bidi="ar"/>
              </w:rPr>
            </w:pPr>
          </w:p>
        </w:tc>
      </w:tr>
      <w:tr w14:paraId="5F838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627" w:type="dxa"/>
            <w:vAlign w:val="center"/>
          </w:tcPr>
          <w:p w14:paraId="070841D3">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4</w:t>
            </w:r>
          </w:p>
        </w:tc>
        <w:tc>
          <w:tcPr>
            <w:tcW w:w="1543" w:type="dxa"/>
            <w:vAlign w:val="center"/>
          </w:tcPr>
          <w:p w14:paraId="6C14AD12">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弧菌显色培养基</w:t>
            </w:r>
          </w:p>
        </w:tc>
        <w:tc>
          <w:tcPr>
            <w:tcW w:w="4551" w:type="dxa"/>
            <w:vAlign w:val="center"/>
          </w:tcPr>
          <w:p w14:paraId="1186723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粉末，可配置1000mL培养基，适用于副溶血性弧菌、霍乱弧菌、创伤弧菌、溶藻弧菌的显色培养。</w:t>
            </w:r>
          </w:p>
        </w:tc>
        <w:tc>
          <w:tcPr>
            <w:tcW w:w="912" w:type="dxa"/>
            <w:vAlign w:val="center"/>
          </w:tcPr>
          <w:p w14:paraId="7AF94DE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w:t>
            </w:r>
          </w:p>
        </w:tc>
        <w:tc>
          <w:tcPr>
            <w:tcW w:w="900" w:type="dxa"/>
            <w:vAlign w:val="center"/>
          </w:tcPr>
          <w:p w14:paraId="516C414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95</w:t>
            </w:r>
          </w:p>
        </w:tc>
        <w:tc>
          <w:tcPr>
            <w:tcW w:w="829" w:type="dxa"/>
            <w:vAlign w:val="center"/>
          </w:tcPr>
          <w:p w14:paraId="771ACA0A">
            <w:pPr>
              <w:widowControl/>
              <w:jc w:val="center"/>
              <w:textAlignment w:val="center"/>
              <w:rPr>
                <w:rFonts w:hint="eastAsia" w:ascii="宋体" w:hAnsi="宋体" w:eastAsia="宋体" w:cs="宋体"/>
                <w:color w:val="000000"/>
                <w:kern w:val="0"/>
                <w:sz w:val="24"/>
                <w:szCs w:val="24"/>
                <w:lang w:bidi="ar"/>
              </w:rPr>
            </w:pPr>
          </w:p>
        </w:tc>
      </w:tr>
      <w:tr w14:paraId="7A1CE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627" w:type="dxa"/>
            <w:vAlign w:val="center"/>
          </w:tcPr>
          <w:p w14:paraId="5DF9291D">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5</w:t>
            </w:r>
          </w:p>
        </w:tc>
        <w:tc>
          <w:tcPr>
            <w:tcW w:w="1543" w:type="dxa"/>
            <w:vAlign w:val="center"/>
          </w:tcPr>
          <w:p w14:paraId="2EE468A8">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3％氯化钠胰蛋白胨大豆琼脂</w:t>
            </w:r>
          </w:p>
        </w:tc>
        <w:tc>
          <w:tcPr>
            <w:tcW w:w="4551" w:type="dxa"/>
            <w:vAlign w:val="center"/>
          </w:tcPr>
          <w:p w14:paraId="18FD8103">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粉末</w:t>
            </w:r>
          </w:p>
        </w:tc>
        <w:tc>
          <w:tcPr>
            <w:tcW w:w="912" w:type="dxa"/>
            <w:vAlign w:val="center"/>
          </w:tcPr>
          <w:p w14:paraId="1D7E70E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w:t>
            </w:r>
          </w:p>
        </w:tc>
        <w:tc>
          <w:tcPr>
            <w:tcW w:w="900" w:type="dxa"/>
            <w:vAlign w:val="center"/>
          </w:tcPr>
          <w:p w14:paraId="1E0D95E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250</w:t>
            </w:r>
          </w:p>
        </w:tc>
        <w:tc>
          <w:tcPr>
            <w:tcW w:w="829" w:type="dxa"/>
            <w:vAlign w:val="center"/>
          </w:tcPr>
          <w:p w14:paraId="5AA30A93">
            <w:pPr>
              <w:widowControl/>
              <w:jc w:val="center"/>
              <w:textAlignment w:val="center"/>
              <w:rPr>
                <w:rFonts w:hint="eastAsia" w:ascii="宋体" w:hAnsi="宋体" w:eastAsia="宋体" w:cs="宋体"/>
                <w:color w:val="000000"/>
                <w:kern w:val="0"/>
                <w:sz w:val="24"/>
                <w:szCs w:val="24"/>
                <w:lang w:bidi="ar"/>
              </w:rPr>
            </w:pPr>
          </w:p>
        </w:tc>
      </w:tr>
      <w:tr w14:paraId="18676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627" w:type="dxa"/>
            <w:vAlign w:val="center"/>
          </w:tcPr>
          <w:p w14:paraId="3F7221D1">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6</w:t>
            </w:r>
          </w:p>
        </w:tc>
        <w:tc>
          <w:tcPr>
            <w:tcW w:w="1543" w:type="dxa"/>
            <w:vAlign w:val="center"/>
          </w:tcPr>
          <w:p w14:paraId="5A64DB4E">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瓷珠菌种保存管</w:t>
            </w:r>
          </w:p>
        </w:tc>
        <w:tc>
          <w:tcPr>
            <w:tcW w:w="4551" w:type="dxa"/>
            <w:vAlign w:val="center"/>
          </w:tcPr>
          <w:p w14:paraId="747BBD6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1.无菌，一次性使用；</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2.100支/盒，每支为1.8ml冷冻管，内含天然的多孔瓷珠，珠数&gt;10，有利于细菌的吸附及保存；</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3.密封性能及耐低温性能好，可于-80℃长期保存；</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4.到货有效期8个月及以上</w:t>
            </w:r>
          </w:p>
        </w:tc>
        <w:tc>
          <w:tcPr>
            <w:tcW w:w="912" w:type="dxa"/>
            <w:vAlign w:val="center"/>
          </w:tcPr>
          <w:p w14:paraId="2871AE7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74D4ECD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1000</w:t>
            </w:r>
          </w:p>
        </w:tc>
        <w:tc>
          <w:tcPr>
            <w:tcW w:w="829" w:type="dxa"/>
            <w:vAlign w:val="center"/>
          </w:tcPr>
          <w:p w14:paraId="3599B76C">
            <w:pPr>
              <w:widowControl/>
              <w:jc w:val="center"/>
              <w:textAlignment w:val="center"/>
              <w:rPr>
                <w:rFonts w:hint="eastAsia" w:ascii="宋体" w:hAnsi="宋体" w:eastAsia="宋体" w:cs="宋体"/>
                <w:color w:val="000000"/>
                <w:kern w:val="0"/>
                <w:sz w:val="24"/>
                <w:szCs w:val="24"/>
                <w:lang w:bidi="ar"/>
              </w:rPr>
            </w:pPr>
          </w:p>
        </w:tc>
      </w:tr>
      <w:tr w14:paraId="68766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627" w:type="dxa"/>
            <w:vAlign w:val="center"/>
          </w:tcPr>
          <w:p w14:paraId="64F8C95C">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7</w:t>
            </w:r>
          </w:p>
        </w:tc>
        <w:tc>
          <w:tcPr>
            <w:tcW w:w="1543" w:type="dxa"/>
            <w:vAlign w:val="center"/>
          </w:tcPr>
          <w:p w14:paraId="451181FC">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一次性平皿</w:t>
            </w:r>
          </w:p>
        </w:tc>
        <w:tc>
          <w:tcPr>
            <w:tcW w:w="4551" w:type="dxa"/>
            <w:vAlign w:val="center"/>
          </w:tcPr>
          <w:p w14:paraId="5240EB85">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直径7cm,无菌</w:t>
            </w:r>
          </w:p>
        </w:tc>
        <w:tc>
          <w:tcPr>
            <w:tcW w:w="912" w:type="dxa"/>
            <w:vAlign w:val="center"/>
          </w:tcPr>
          <w:p w14:paraId="65811EC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c>
          <w:tcPr>
            <w:tcW w:w="900" w:type="dxa"/>
            <w:vAlign w:val="center"/>
          </w:tcPr>
          <w:p w14:paraId="60D807A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2000</w:t>
            </w:r>
          </w:p>
        </w:tc>
        <w:tc>
          <w:tcPr>
            <w:tcW w:w="829" w:type="dxa"/>
            <w:vAlign w:val="center"/>
          </w:tcPr>
          <w:p w14:paraId="4C5E4B06">
            <w:pPr>
              <w:widowControl/>
              <w:jc w:val="center"/>
              <w:textAlignment w:val="center"/>
              <w:rPr>
                <w:rFonts w:hint="eastAsia" w:ascii="宋体" w:hAnsi="宋体" w:eastAsia="宋体" w:cs="宋体"/>
                <w:color w:val="000000"/>
                <w:kern w:val="0"/>
                <w:sz w:val="24"/>
                <w:szCs w:val="24"/>
                <w:lang w:bidi="ar"/>
              </w:rPr>
            </w:pPr>
          </w:p>
        </w:tc>
      </w:tr>
      <w:tr w14:paraId="6D317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627" w:type="dxa"/>
            <w:vAlign w:val="center"/>
          </w:tcPr>
          <w:p w14:paraId="7A5B0571">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8</w:t>
            </w:r>
          </w:p>
        </w:tc>
        <w:tc>
          <w:tcPr>
            <w:tcW w:w="1543" w:type="dxa"/>
            <w:vAlign w:val="center"/>
          </w:tcPr>
          <w:p w14:paraId="42A0EE01">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一次性平皿</w:t>
            </w:r>
          </w:p>
        </w:tc>
        <w:tc>
          <w:tcPr>
            <w:tcW w:w="4551" w:type="dxa"/>
            <w:vAlign w:val="center"/>
          </w:tcPr>
          <w:p w14:paraId="31EE2FDC">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直径9cm,无菌</w:t>
            </w:r>
          </w:p>
        </w:tc>
        <w:tc>
          <w:tcPr>
            <w:tcW w:w="912" w:type="dxa"/>
            <w:vAlign w:val="center"/>
          </w:tcPr>
          <w:p w14:paraId="73EF6FD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c>
          <w:tcPr>
            <w:tcW w:w="900" w:type="dxa"/>
            <w:vAlign w:val="center"/>
          </w:tcPr>
          <w:p w14:paraId="040D235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1000</w:t>
            </w:r>
          </w:p>
        </w:tc>
        <w:tc>
          <w:tcPr>
            <w:tcW w:w="829" w:type="dxa"/>
            <w:vAlign w:val="center"/>
          </w:tcPr>
          <w:p w14:paraId="29181ED3">
            <w:pPr>
              <w:widowControl/>
              <w:jc w:val="center"/>
              <w:textAlignment w:val="center"/>
              <w:rPr>
                <w:rFonts w:hint="eastAsia" w:ascii="宋体" w:hAnsi="宋体" w:eastAsia="宋体" w:cs="宋体"/>
                <w:color w:val="000000"/>
                <w:kern w:val="0"/>
                <w:sz w:val="24"/>
                <w:szCs w:val="24"/>
                <w:lang w:bidi="ar"/>
              </w:rPr>
            </w:pPr>
          </w:p>
        </w:tc>
      </w:tr>
      <w:tr w14:paraId="1A2E8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27" w:type="dxa"/>
            <w:vAlign w:val="center"/>
          </w:tcPr>
          <w:p w14:paraId="1E0B6E5C">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9</w:t>
            </w:r>
          </w:p>
        </w:tc>
        <w:tc>
          <w:tcPr>
            <w:tcW w:w="1543" w:type="dxa"/>
            <w:vAlign w:val="center"/>
          </w:tcPr>
          <w:p w14:paraId="5200DF09">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空肠弯曲菌菌株保存管</w:t>
            </w:r>
          </w:p>
        </w:tc>
        <w:tc>
          <w:tcPr>
            <w:tcW w:w="4551" w:type="dxa"/>
            <w:vAlign w:val="center"/>
          </w:tcPr>
          <w:p w14:paraId="7CE5C790">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空肠弯曲菌保存专用，密封性能及耐低温性能好，可于-80℃长期保存</w:t>
            </w:r>
          </w:p>
        </w:tc>
        <w:tc>
          <w:tcPr>
            <w:tcW w:w="912" w:type="dxa"/>
            <w:vAlign w:val="center"/>
          </w:tcPr>
          <w:p w14:paraId="059D401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3FD1C71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200</w:t>
            </w:r>
          </w:p>
        </w:tc>
        <w:tc>
          <w:tcPr>
            <w:tcW w:w="829" w:type="dxa"/>
            <w:vAlign w:val="center"/>
          </w:tcPr>
          <w:p w14:paraId="75764DC1">
            <w:pPr>
              <w:widowControl/>
              <w:jc w:val="center"/>
              <w:textAlignment w:val="center"/>
              <w:rPr>
                <w:rFonts w:hint="eastAsia" w:ascii="宋体" w:hAnsi="宋体" w:eastAsia="宋体" w:cs="宋体"/>
                <w:color w:val="000000"/>
                <w:kern w:val="0"/>
                <w:sz w:val="24"/>
                <w:szCs w:val="24"/>
                <w:lang w:bidi="ar"/>
              </w:rPr>
            </w:pPr>
          </w:p>
        </w:tc>
      </w:tr>
      <w:tr w14:paraId="01FC5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5" w:hRule="atLeast"/>
        </w:trPr>
        <w:tc>
          <w:tcPr>
            <w:tcW w:w="627" w:type="dxa"/>
            <w:vAlign w:val="center"/>
          </w:tcPr>
          <w:p w14:paraId="5D79D479">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10</w:t>
            </w:r>
          </w:p>
        </w:tc>
        <w:tc>
          <w:tcPr>
            <w:tcW w:w="1543" w:type="dxa"/>
            <w:shd w:val="clear" w:color="auto" w:fill="FFFFFF"/>
            <w:vAlign w:val="center"/>
          </w:tcPr>
          <w:p w14:paraId="2A309BCC">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五种致泻性大肠埃希氏菌多重实时荧光PCR检测试剂盒(C版本)</w:t>
            </w:r>
          </w:p>
        </w:tc>
        <w:tc>
          <w:tcPr>
            <w:tcW w:w="4551" w:type="dxa"/>
            <w:shd w:val="clear" w:color="auto" w:fill="FFFFFF"/>
            <w:vAlign w:val="center"/>
          </w:tcPr>
          <w:p w14:paraId="72DAD69E">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1.包含</w:t>
            </w:r>
            <w:r>
              <w:rPr>
                <w:rStyle w:val="11"/>
                <w:rFonts w:hint="default" w:ascii="宋体" w:hAnsi="宋体" w:eastAsia="宋体" w:cs="宋体"/>
                <w:sz w:val="24"/>
                <w:szCs w:val="24"/>
                <w:lang w:bidi="ar"/>
              </w:rPr>
              <w:t>uidA、stx1、stx2、eae、bfpB、ipaH、sth、stp、sth、lt、aggR、escV</w:t>
            </w:r>
            <w:r>
              <w:rPr>
                <w:rFonts w:hint="eastAsia" w:ascii="宋体" w:hAnsi="宋体" w:eastAsia="宋体" w:cs="宋体"/>
                <w:color w:val="000000"/>
                <w:kern w:val="0"/>
                <w:sz w:val="24"/>
                <w:szCs w:val="24"/>
                <w:lang w:bidi="ar"/>
              </w:rPr>
              <w:t>等靶标基因，用于五种致泻性大肠埃希氏菌（EPEC、EAEC、ETEC、EHEC、EIEC）毒力基因的鉴定与区分。</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2.实时荧光PCR法；</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3.适用于Bio-Rad（iQ5/CFX96/CFX384）、ABI（7500/7500Fast）；</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4.到货有效期8个月及以上。</w:t>
            </w:r>
          </w:p>
        </w:tc>
        <w:tc>
          <w:tcPr>
            <w:tcW w:w="912" w:type="dxa"/>
            <w:shd w:val="clear" w:color="auto" w:fill="FFFFFF"/>
            <w:vAlign w:val="center"/>
          </w:tcPr>
          <w:p w14:paraId="2BC78F8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shd w:val="clear" w:color="auto" w:fill="FFFFFF"/>
            <w:vAlign w:val="center"/>
          </w:tcPr>
          <w:p w14:paraId="29C1099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200</w:t>
            </w:r>
          </w:p>
        </w:tc>
        <w:tc>
          <w:tcPr>
            <w:tcW w:w="829" w:type="dxa"/>
            <w:shd w:val="clear" w:color="auto" w:fill="FFFFFF"/>
            <w:vAlign w:val="center"/>
          </w:tcPr>
          <w:p w14:paraId="754CBBF8">
            <w:pPr>
              <w:widowControl/>
              <w:jc w:val="center"/>
              <w:textAlignment w:val="center"/>
              <w:rPr>
                <w:rFonts w:hint="eastAsia" w:ascii="宋体" w:hAnsi="宋体" w:eastAsia="宋体" w:cs="宋体"/>
                <w:color w:val="000000"/>
                <w:kern w:val="0"/>
                <w:sz w:val="24"/>
                <w:szCs w:val="24"/>
                <w:lang w:bidi="ar"/>
              </w:rPr>
            </w:pPr>
          </w:p>
        </w:tc>
      </w:tr>
      <w:tr w14:paraId="33032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27" w:type="dxa"/>
            <w:vAlign w:val="center"/>
          </w:tcPr>
          <w:p w14:paraId="6B15ED3D">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11</w:t>
            </w:r>
          </w:p>
        </w:tc>
        <w:tc>
          <w:tcPr>
            <w:tcW w:w="1543" w:type="dxa"/>
            <w:vAlign w:val="center"/>
          </w:tcPr>
          <w:p w14:paraId="7B55CD41">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 L 微需氧袋</w:t>
            </w:r>
          </w:p>
        </w:tc>
        <w:tc>
          <w:tcPr>
            <w:tcW w:w="4551" w:type="dxa"/>
            <w:vAlign w:val="center"/>
          </w:tcPr>
          <w:p w14:paraId="150FF6BD">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适用于2.5 L密封培养罐，用于微需氧微生物的培养</w:t>
            </w:r>
          </w:p>
        </w:tc>
        <w:tc>
          <w:tcPr>
            <w:tcW w:w="912" w:type="dxa"/>
            <w:vAlign w:val="center"/>
          </w:tcPr>
          <w:p w14:paraId="737DA7C6">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c>
          <w:tcPr>
            <w:tcW w:w="900" w:type="dxa"/>
            <w:vAlign w:val="center"/>
          </w:tcPr>
          <w:p w14:paraId="5BC8039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100</w:t>
            </w:r>
          </w:p>
        </w:tc>
        <w:tc>
          <w:tcPr>
            <w:tcW w:w="829" w:type="dxa"/>
            <w:vAlign w:val="center"/>
          </w:tcPr>
          <w:p w14:paraId="04B21720">
            <w:pPr>
              <w:widowControl/>
              <w:jc w:val="center"/>
              <w:textAlignment w:val="center"/>
              <w:rPr>
                <w:rFonts w:hint="eastAsia" w:ascii="宋体" w:hAnsi="宋体" w:eastAsia="宋体" w:cs="宋体"/>
                <w:color w:val="000000"/>
                <w:kern w:val="0"/>
                <w:sz w:val="24"/>
                <w:szCs w:val="24"/>
                <w:lang w:bidi="ar"/>
              </w:rPr>
            </w:pPr>
          </w:p>
        </w:tc>
      </w:tr>
      <w:tr w14:paraId="748FD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7" w:type="dxa"/>
            <w:vAlign w:val="center"/>
          </w:tcPr>
          <w:p w14:paraId="7A268A6E">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12</w:t>
            </w:r>
          </w:p>
        </w:tc>
        <w:tc>
          <w:tcPr>
            <w:tcW w:w="1543" w:type="dxa"/>
            <w:vAlign w:val="center"/>
          </w:tcPr>
          <w:p w14:paraId="795933E2">
            <w:pPr>
              <w:widowControl/>
              <w:jc w:val="left"/>
              <w:textAlignment w:val="center"/>
              <w:rPr>
                <w:rFonts w:hint="eastAsia" w:ascii="宋体" w:hAnsi="宋体" w:eastAsia="宋体" w:cs="宋体"/>
                <w:color w:val="000000"/>
                <w:sz w:val="24"/>
                <w:szCs w:val="24"/>
              </w:rPr>
            </w:pPr>
            <w:r>
              <w:rPr>
                <w:rStyle w:val="11"/>
                <w:rFonts w:hint="default" w:ascii="宋体" w:hAnsi="宋体" w:eastAsia="宋体" w:cs="宋体"/>
                <w:sz w:val="24"/>
                <w:szCs w:val="24"/>
                <w:lang w:bidi="ar"/>
              </w:rPr>
              <w:t>Premix Taq</w:t>
            </w:r>
            <w:r>
              <w:rPr>
                <w:rStyle w:val="12"/>
                <w:rFonts w:hint="default" w:ascii="宋体" w:hAnsi="宋体" w:eastAsia="宋体" w:cs="宋体"/>
                <w:sz w:val="24"/>
                <w:szCs w:val="24"/>
                <w:lang w:bidi="ar"/>
              </w:rPr>
              <w:t>TM</w:t>
            </w:r>
            <w:r>
              <w:rPr>
                <w:rFonts w:hint="eastAsia" w:ascii="宋体" w:hAnsi="宋体" w:eastAsia="宋体" w:cs="宋体"/>
                <w:color w:val="000000"/>
                <w:kern w:val="0"/>
                <w:sz w:val="24"/>
                <w:szCs w:val="24"/>
                <w:lang w:bidi="ar"/>
              </w:rPr>
              <w:t xml:space="preserve"> (</w:t>
            </w:r>
            <w:r>
              <w:rPr>
                <w:rStyle w:val="11"/>
                <w:rFonts w:hint="default" w:ascii="宋体" w:hAnsi="宋体" w:eastAsia="宋体" w:cs="宋体"/>
                <w:sz w:val="24"/>
                <w:szCs w:val="24"/>
                <w:lang w:bidi="ar"/>
              </w:rPr>
              <w:t>TaKaRa Taq</w:t>
            </w:r>
            <w:r>
              <w:rPr>
                <w:rStyle w:val="12"/>
                <w:rFonts w:hint="default" w:ascii="宋体" w:hAnsi="宋体" w:eastAsia="宋体" w:cs="宋体"/>
                <w:sz w:val="24"/>
                <w:szCs w:val="24"/>
                <w:lang w:bidi="ar"/>
              </w:rPr>
              <w:t>TM</w:t>
            </w:r>
            <w:r>
              <w:rPr>
                <w:rFonts w:hint="eastAsia" w:ascii="宋体" w:hAnsi="宋体" w:eastAsia="宋体" w:cs="宋体"/>
                <w:color w:val="000000"/>
                <w:kern w:val="0"/>
                <w:sz w:val="24"/>
                <w:szCs w:val="24"/>
                <w:lang w:bidi="ar"/>
              </w:rPr>
              <w:t xml:space="preserve"> Version 2.0 plus dye)</w:t>
            </w:r>
          </w:p>
        </w:tc>
        <w:tc>
          <w:tcPr>
            <w:tcW w:w="4551" w:type="dxa"/>
            <w:vAlign w:val="center"/>
          </w:tcPr>
          <w:p w14:paraId="4D5AC460">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1.用于PCR法扩增DNA。</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2.含有PCR反应用的DNA Polymerase、Buffer、dNTP Mixture的2倍浓度的混合物，</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★3.制品中含有电泳时所必需的色素试剂（蓝色和黄色色素），PCR反应后可以直接进行电泳，反应液为鲜艳的绿色（Emerald Green），电泳时指示效果明显，容易观察样品的电泳位置。</w:t>
            </w:r>
          </w:p>
        </w:tc>
        <w:tc>
          <w:tcPr>
            <w:tcW w:w="912" w:type="dxa"/>
            <w:vAlign w:val="center"/>
          </w:tcPr>
          <w:p w14:paraId="2255F94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Rxns</w:t>
            </w:r>
          </w:p>
        </w:tc>
        <w:tc>
          <w:tcPr>
            <w:tcW w:w="900" w:type="dxa"/>
            <w:vAlign w:val="center"/>
          </w:tcPr>
          <w:p w14:paraId="55512D6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400</w:t>
            </w:r>
          </w:p>
        </w:tc>
        <w:tc>
          <w:tcPr>
            <w:tcW w:w="829" w:type="dxa"/>
            <w:vAlign w:val="center"/>
          </w:tcPr>
          <w:p w14:paraId="79379C4F">
            <w:pPr>
              <w:widowControl/>
              <w:jc w:val="center"/>
              <w:textAlignment w:val="center"/>
              <w:rPr>
                <w:rFonts w:hint="eastAsia" w:ascii="宋体" w:hAnsi="宋体" w:eastAsia="宋体" w:cs="宋体"/>
                <w:color w:val="000000"/>
                <w:kern w:val="0"/>
                <w:sz w:val="24"/>
                <w:szCs w:val="24"/>
                <w:lang w:bidi="ar"/>
              </w:rPr>
            </w:pPr>
          </w:p>
        </w:tc>
      </w:tr>
      <w:tr w14:paraId="6813F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27" w:type="dxa"/>
            <w:vAlign w:val="center"/>
          </w:tcPr>
          <w:p w14:paraId="67B8E1D6">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13</w:t>
            </w:r>
          </w:p>
        </w:tc>
        <w:tc>
          <w:tcPr>
            <w:tcW w:w="1543" w:type="dxa"/>
            <w:vAlign w:val="center"/>
          </w:tcPr>
          <w:p w14:paraId="0A6C2518">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琼脂糖预制胶</w:t>
            </w:r>
          </w:p>
        </w:tc>
        <w:tc>
          <w:tcPr>
            <w:tcW w:w="4551" w:type="dxa"/>
            <w:vAlign w:val="center"/>
          </w:tcPr>
          <w:p w14:paraId="228E79FD">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2%浓度，1块/T；适用于Gelbox一体化电泳仪</w:t>
            </w:r>
          </w:p>
        </w:tc>
        <w:tc>
          <w:tcPr>
            <w:tcW w:w="912" w:type="dxa"/>
            <w:vAlign w:val="center"/>
          </w:tcPr>
          <w:p w14:paraId="01D9697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块</w:t>
            </w:r>
          </w:p>
        </w:tc>
        <w:tc>
          <w:tcPr>
            <w:tcW w:w="900" w:type="dxa"/>
            <w:vAlign w:val="center"/>
          </w:tcPr>
          <w:p w14:paraId="656BA81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w:t>
            </w:r>
          </w:p>
        </w:tc>
        <w:tc>
          <w:tcPr>
            <w:tcW w:w="829" w:type="dxa"/>
            <w:vAlign w:val="center"/>
          </w:tcPr>
          <w:p w14:paraId="26271931">
            <w:pPr>
              <w:widowControl/>
              <w:jc w:val="center"/>
              <w:textAlignment w:val="center"/>
              <w:rPr>
                <w:rFonts w:hint="eastAsia" w:ascii="宋体" w:hAnsi="宋体" w:eastAsia="宋体" w:cs="宋体"/>
                <w:color w:val="000000"/>
                <w:kern w:val="0"/>
                <w:sz w:val="24"/>
                <w:szCs w:val="24"/>
                <w:lang w:bidi="ar"/>
              </w:rPr>
            </w:pPr>
          </w:p>
        </w:tc>
      </w:tr>
      <w:tr w14:paraId="76F0D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627" w:type="dxa"/>
            <w:vAlign w:val="center"/>
          </w:tcPr>
          <w:p w14:paraId="4DC38425">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14</w:t>
            </w:r>
          </w:p>
        </w:tc>
        <w:tc>
          <w:tcPr>
            <w:tcW w:w="1543" w:type="dxa"/>
            <w:vAlign w:val="center"/>
          </w:tcPr>
          <w:p w14:paraId="4839141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一次性粘胶纤维采样拭子</w:t>
            </w:r>
          </w:p>
        </w:tc>
        <w:tc>
          <w:tcPr>
            <w:tcW w:w="4551" w:type="dxa"/>
            <w:vAlign w:val="center"/>
          </w:tcPr>
          <w:p w14:paraId="4E86C2F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1支/包独立包装，无菌，长纤维</w:t>
            </w:r>
          </w:p>
        </w:tc>
        <w:tc>
          <w:tcPr>
            <w:tcW w:w="912" w:type="dxa"/>
            <w:vAlign w:val="center"/>
          </w:tcPr>
          <w:p w14:paraId="7504381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5C9DFE2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3000</w:t>
            </w:r>
          </w:p>
        </w:tc>
        <w:tc>
          <w:tcPr>
            <w:tcW w:w="829" w:type="dxa"/>
            <w:vAlign w:val="center"/>
          </w:tcPr>
          <w:p w14:paraId="29DA967E">
            <w:pPr>
              <w:widowControl/>
              <w:jc w:val="center"/>
              <w:textAlignment w:val="center"/>
              <w:rPr>
                <w:rFonts w:hint="eastAsia" w:ascii="宋体" w:hAnsi="宋体" w:eastAsia="宋体" w:cs="宋体"/>
                <w:color w:val="000000"/>
                <w:kern w:val="0"/>
                <w:sz w:val="24"/>
                <w:szCs w:val="24"/>
                <w:lang w:bidi="ar"/>
              </w:rPr>
            </w:pPr>
          </w:p>
        </w:tc>
      </w:tr>
      <w:tr w14:paraId="76134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atLeast"/>
        </w:trPr>
        <w:tc>
          <w:tcPr>
            <w:tcW w:w="627" w:type="dxa"/>
            <w:vAlign w:val="center"/>
          </w:tcPr>
          <w:p w14:paraId="19884CE5">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15</w:t>
            </w:r>
          </w:p>
        </w:tc>
        <w:tc>
          <w:tcPr>
            <w:tcW w:w="1543" w:type="dxa"/>
            <w:vAlign w:val="center"/>
          </w:tcPr>
          <w:p w14:paraId="1D45FBDF">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副溶血性弧菌tlh/tdh/trh基因实时荧光PCR检测试剂盒</w:t>
            </w:r>
          </w:p>
        </w:tc>
        <w:tc>
          <w:tcPr>
            <w:tcW w:w="4551" w:type="dxa"/>
            <w:vAlign w:val="center"/>
          </w:tcPr>
          <w:p w14:paraId="0BDB16B4">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1.实时荧光PCR法，50T/盒；</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2.适用于Bio-Rad（iQ5/CFX96/CFX384）、ABI（7500/7500Fast）；</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3.到货有效期10个月及以上。</w:t>
            </w:r>
          </w:p>
        </w:tc>
        <w:tc>
          <w:tcPr>
            <w:tcW w:w="912" w:type="dxa"/>
            <w:vAlign w:val="center"/>
          </w:tcPr>
          <w:p w14:paraId="7DBC944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78D007A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100</w:t>
            </w:r>
          </w:p>
        </w:tc>
        <w:tc>
          <w:tcPr>
            <w:tcW w:w="829" w:type="dxa"/>
            <w:vAlign w:val="center"/>
          </w:tcPr>
          <w:p w14:paraId="2DC9F2A3">
            <w:pPr>
              <w:widowControl/>
              <w:jc w:val="center"/>
              <w:textAlignment w:val="center"/>
              <w:rPr>
                <w:rFonts w:hint="eastAsia" w:ascii="宋体" w:hAnsi="宋体" w:eastAsia="宋体" w:cs="宋体"/>
                <w:color w:val="000000"/>
                <w:kern w:val="0"/>
                <w:sz w:val="24"/>
                <w:szCs w:val="24"/>
                <w:lang w:bidi="ar"/>
              </w:rPr>
            </w:pPr>
          </w:p>
        </w:tc>
      </w:tr>
      <w:tr w14:paraId="77F8A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trPr>
        <w:tc>
          <w:tcPr>
            <w:tcW w:w="627" w:type="dxa"/>
            <w:vAlign w:val="center"/>
          </w:tcPr>
          <w:p w14:paraId="17F84D59">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16</w:t>
            </w:r>
          </w:p>
        </w:tc>
        <w:tc>
          <w:tcPr>
            <w:tcW w:w="1543" w:type="dxa"/>
            <w:vAlign w:val="center"/>
          </w:tcPr>
          <w:p w14:paraId="3DED656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空肠弯曲菌/结肠弯曲菌/海鸟弯曲菌核酸三重实时荧光PCR检测试剂盒</w:t>
            </w:r>
          </w:p>
        </w:tc>
        <w:tc>
          <w:tcPr>
            <w:tcW w:w="4551" w:type="dxa"/>
            <w:vAlign w:val="center"/>
          </w:tcPr>
          <w:p w14:paraId="6BEFFD14">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1.实时荧光PCR法，50T/盒；</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2.适用于Bio-Rad（iQ5/CFX96/CFX384）、ABI（7500/7500Fast）；</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3.到货有效期10个月及以上。</w:t>
            </w:r>
          </w:p>
        </w:tc>
        <w:tc>
          <w:tcPr>
            <w:tcW w:w="912" w:type="dxa"/>
            <w:vAlign w:val="center"/>
          </w:tcPr>
          <w:p w14:paraId="487D4E9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31E4F61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100</w:t>
            </w:r>
          </w:p>
        </w:tc>
        <w:tc>
          <w:tcPr>
            <w:tcW w:w="829" w:type="dxa"/>
            <w:vAlign w:val="center"/>
          </w:tcPr>
          <w:p w14:paraId="008DDE07">
            <w:pPr>
              <w:widowControl/>
              <w:jc w:val="center"/>
              <w:textAlignment w:val="center"/>
              <w:rPr>
                <w:rFonts w:hint="eastAsia" w:ascii="宋体" w:hAnsi="宋体" w:eastAsia="宋体" w:cs="宋体"/>
                <w:color w:val="000000"/>
                <w:kern w:val="0"/>
                <w:sz w:val="24"/>
                <w:szCs w:val="24"/>
                <w:lang w:bidi="ar"/>
              </w:rPr>
            </w:pPr>
          </w:p>
        </w:tc>
      </w:tr>
      <w:tr w14:paraId="48B36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627" w:type="dxa"/>
            <w:vAlign w:val="center"/>
          </w:tcPr>
          <w:p w14:paraId="2AFBE7AB">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17</w:t>
            </w:r>
          </w:p>
        </w:tc>
        <w:tc>
          <w:tcPr>
            <w:tcW w:w="1543" w:type="dxa"/>
            <w:vAlign w:val="center"/>
          </w:tcPr>
          <w:p w14:paraId="40E01CAD">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肉毒毒素编码基因（A型/B型/E型/F型）荧光PCR试剂盒</w:t>
            </w:r>
          </w:p>
        </w:tc>
        <w:tc>
          <w:tcPr>
            <w:tcW w:w="4551" w:type="dxa"/>
            <w:vAlign w:val="center"/>
          </w:tcPr>
          <w:p w14:paraId="355C8513">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1.实时荧光PCR法，50T/盒；</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2.适用于Bio-Rad（iQ5/CFX96/CFX384）、ABI（7500/7500Fast）；</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3.到货有效期10个月及以上。</w:t>
            </w:r>
          </w:p>
        </w:tc>
        <w:tc>
          <w:tcPr>
            <w:tcW w:w="912" w:type="dxa"/>
            <w:vAlign w:val="center"/>
          </w:tcPr>
          <w:p w14:paraId="7FC37D2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53EF508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w:t>
            </w:r>
          </w:p>
        </w:tc>
        <w:tc>
          <w:tcPr>
            <w:tcW w:w="829" w:type="dxa"/>
            <w:vAlign w:val="center"/>
          </w:tcPr>
          <w:p w14:paraId="59011A7F">
            <w:pPr>
              <w:widowControl/>
              <w:jc w:val="center"/>
              <w:textAlignment w:val="center"/>
              <w:rPr>
                <w:rFonts w:hint="eastAsia" w:ascii="宋体" w:hAnsi="宋体" w:eastAsia="宋体" w:cs="宋体"/>
                <w:color w:val="000000"/>
                <w:kern w:val="0"/>
                <w:sz w:val="24"/>
                <w:szCs w:val="24"/>
                <w:lang w:bidi="ar"/>
              </w:rPr>
            </w:pPr>
          </w:p>
        </w:tc>
      </w:tr>
      <w:tr w14:paraId="75B8A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trPr>
        <w:tc>
          <w:tcPr>
            <w:tcW w:w="627" w:type="dxa"/>
            <w:vAlign w:val="center"/>
          </w:tcPr>
          <w:p w14:paraId="6037D8D7">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18</w:t>
            </w:r>
          </w:p>
        </w:tc>
        <w:tc>
          <w:tcPr>
            <w:tcW w:w="1543" w:type="dxa"/>
            <w:vAlign w:val="center"/>
          </w:tcPr>
          <w:p w14:paraId="7B928381">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产气荚膜梭菌分型核酸检测试剂盒（实时荧光PCR）</w:t>
            </w:r>
          </w:p>
        </w:tc>
        <w:tc>
          <w:tcPr>
            <w:tcW w:w="4551" w:type="dxa"/>
            <w:vAlign w:val="center"/>
          </w:tcPr>
          <w:p w14:paraId="275F7CF0">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1.实时荧光PCR法，50T/盒，可检测A型、B型、C型、D型、E型、F型、G型；</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2.适用于Bio-Rad（iQ5/CFX96/CFX384）、ABI（7500/7500Fast）；</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3.到货有效期10个月及以上。</w:t>
            </w:r>
          </w:p>
        </w:tc>
        <w:tc>
          <w:tcPr>
            <w:tcW w:w="912" w:type="dxa"/>
            <w:vAlign w:val="center"/>
          </w:tcPr>
          <w:p w14:paraId="5D46876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70AF102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w:t>
            </w:r>
          </w:p>
        </w:tc>
        <w:tc>
          <w:tcPr>
            <w:tcW w:w="829" w:type="dxa"/>
            <w:vAlign w:val="center"/>
          </w:tcPr>
          <w:p w14:paraId="63C436FD">
            <w:pPr>
              <w:widowControl/>
              <w:jc w:val="center"/>
              <w:textAlignment w:val="center"/>
              <w:rPr>
                <w:rFonts w:hint="eastAsia" w:ascii="宋体" w:hAnsi="宋体" w:eastAsia="宋体" w:cs="宋体"/>
                <w:color w:val="000000"/>
                <w:kern w:val="0"/>
                <w:sz w:val="24"/>
                <w:szCs w:val="24"/>
                <w:lang w:bidi="ar"/>
              </w:rPr>
            </w:pPr>
          </w:p>
        </w:tc>
      </w:tr>
      <w:tr w14:paraId="5403C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627" w:type="dxa"/>
            <w:vAlign w:val="center"/>
          </w:tcPr>
          <w:p w14:paraId="232F88C2">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19</w:t>
            </w:r>
          </w:p>
        </w:tc>
        <w:tc>
          <w:tcPr>
            <w:tcW w:w="1543" w:type="dxa"/>
            <w:vAlign w:val="center"/>
          </w:tcPr>
          <w:p w14:paraId="78A34D1D">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梭菌菌种鉴定多重核酸检测试剂盒（实时荧光PCR）</w:t>
            </w:r>
          </w:p>
        </w:tc>
        <w:tc>
          <w:tcPr>
            <w:tcW w:w="4551" w:type="dxa"/>
            <w:vAlign w:val="center"/>
          </w:tcPr>
          <w:p w14:paraId="2122403C">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1.实时荧光PCR法，50T/盒；</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2.适用于Bio-Rad（iQ5/CFX96/CFX384）、ABI（7500/7500Fast）；</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3.到货有效期10个月及以上。</w:t>
            </w:r>
          </w:p>
        </w:tc>
        <w:tc>
          <w:tcPr>
            <w:tcW w:w="912" w:type="dxa"/>
            <w:vAlign w:val="center"/>
          </w:tcPr>
          <w:p w14:paraId="2BDAA64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17CF3E1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w:t>
            </w:r>
          </w:p>
        </w:tc>
        <w:tc>
          <w:tcPr>
            <w:tcW w:w="829" w:type="dxa"/>
            <w:vAlign w:val="center"/>
          </w:tcPr>
          <w:p w14:paraId="2538EC34">
            <w:pPr>
              <w:widowControl/>
              <w:jc w:val="center"/>
              <w:textAlignment w:val="center"/>
              <w:rPr>
                <w:rFonts w:hint="eastAsia" w:ascii="宋体" w:hAnsi="宋体" w:eastAsia="宋体" w:cs="宋体"/>
                <w:color w:val="000000"/>
                <w:kern w:val="0"/>
                <w:sz w:val="24"/>
                <w:szCs w:val="24"/>
                <w:lang w:bidi="ar"/>
              </w:rPr>
            </w:pPr>
          </w:p>
        </w:tc>
      </w:tr>
      <w:tr w14:paraId="643F0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627" w:type="dxa"/>
            <w:vAlign w:val="center"/>
          </w:tcPr>
          <w:p w14:paraId="781EB0F8">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20</w:t>
            </w:r>
          </w:p>
        </w:tc>
        <w:tc>
          <w:tcPr>
            <w:tcW w:w="1543" w:type="dxa"/>
            <w:vAlign w:val="center"/>
          </w:tcPr>
          <w:p w14:paraId="5255D680">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PCR引物合成</w:t>
            </w:r>
          </w:p>
        </w:tc>
        <w:tc>
          <w:tcPr>
            <w:tcW w:w="4551" w:type="dxa"/>
            <w:vAlign w:val="center"/>
          </w:tcPr>
          <w:p w14:paraId="388856CB">
            <w:pPr>
              <w:widowControl/>
              <w:jc w:val="left"/>
              <w:textAlignment w:val="center"/>
              <w:rPr>
                <w:rFonts w:hint="eastAsia" w:ascii="宋体" w:hAnsi="宋体" w:eastAsia="宋体" w:cs="宋体"/>
                <w:color w:val="000000"/>
                <w:sz w:val="24"/>
                <w:szCs w:val="24"/>
              </w:rPr>
            </w:pPr>
            <w:r>
              <w:rPr>
                <w:rStyle w:val="13"/>
                <w:rFonts w:hint="default" w:ascii="宋体" w:hAnsi="宋体" w:eastAsia="宋体" w:cs="宋体"/>
                <w:sz w:val="24"/>
                <w:szCs w:val="24"/>
                <w:lang w:bidi="ar"/>
              </w:rPr>
              <w:t>1.1OD/管分装；</w:t>
            </w:r>
            <w:r>
              <w:rPr>
                <w:rStyle w:val="13"/>
                <w:rFonts w:hint="default" w:ascii="宋体" w:hAnsi="宋体" w:eastAsia="宋体" w:cs="宋体"/>
                <w:sz w:val="24"/>
                <w:szCs w:val="24"/>
                <w:lang w:bidi="ar"/>
              </w:rPr>
              <w:br w:type="textWrapping"/>
            </w:r>
            <w:r>
              <w:rPr>
                <w:rStyle w:val="13"/>
                <w:rFonts w:hint="default" w:ascii="宋体" w:hAnsi="宋体" w:eastAsia="宋体" w:cs="宋体"/>
                <w:sz w:val="24"/>
                <w:szCs w:val="24"/>
                <w:lang w:bidi="ar"/>
              </w:rPr>
              <w:t>2.合成量2~5OD；</w:t>
            </w:r>
            <w:r>
              <w:rPr>
                <w:rStyle w:val="13"/>
                <w:rFonts w:hint="default" w:ascii="宋体" w:hAnsi="宋体" w:eastAsia="宋体" w:cs="宋体"/>
                <w:sz w:val="24"/>
                <w:szCs w:val="24"/>
                <w:lang w:bidi="ar"/>
              </w:rPr>
              <w:br w:type="textWrapping"/>
            </w:r>
            <w:r>
              <w:rPr>
                <w:rStyle w:val="13"/>
                <w:rFonts w:hint="default" w:ascii="宋体" w:hAnsi="宋体" w:eastAsia="宋体" w:cs="宋体"/>
                <w:sz w:val="24"/>
                <w:szCs w:val="24"/>
                <w:lang w:bidi="ar"/>
              </w:rPr>
              <w:t>3.含稀有碱基修饰费；</w:t>
            </w:r>
            <w:r>
              <w:rPr>
                <w:rStyle w:val="13"/>
                <w:rFonts w:hint="default" w:ascii="宋体" w:hAnsi="宋体" w:eastAsia="宋体" w:cs="宋体"/>
                <w:sz w:val="24"/>
                <w:szCs w:val="24"/>
                <w:lang w:bidi="ar"/>
              </w:rPr>
              <w:br w:type="textWrapping"/>
            </w:r>
            <w:r>
              <w:rPr>
                <w:rStyle w:val="13"/>
                <w:rFonts w:hint="default" w:ascii="宋体" w:hAnsi="宋体" w:eastAsia="宋体" w:cs="宋体"/>
                <w:sz w:val="24"/>
                <w:szCs w:val="24"/>
                <w:lang w:bidi="ar"/>
              </w:rPr>
              <w:t>4.纯化方式PAGE或HPLC</w:t>
            </w:r>
          </w:p>
        </w:tc>
        <w:tc>
          <w:tcPr>
            <w:tcW w:w="912" w:type="dxa"/>
            <w:vAlign w:val="center"/>
          </w:tcPr>
          <w:p w14:paraId="50D168D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条</w:t>
            </w:r>
          </w:p>
        </w:tc>
        <w:tc>
          <w:tcPr>
            <w:tcW w:w="900" w:type="dxa"/>
            <w:vAlign w:val="center"/>
          </w:tcPr>
          <w:p w14:paraId="7083F776">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200</w:t>
            </w:r>
          </w:p>
        </w:tc>
        <w:tc>
          <w:tcPr>
            <w:tcW w:w="829" w:type="dxa"/>
            <w:vAlign w:val="center"/>
          </w:tcPr>
          <w:p w14:paraId="6B44E842">
            <w:pPr>
              <w:widowControl/>
              <w:jc w:val="center"/>
              <w:textAlignment w:val="center"/>
              <w:rPr>
                <w:rFonts w:hint="eastAsia" w:ascii="宋体" w:hAnsi="宋体" w:eastAsia="宋体" w:cs="宋体"/>
                <w:color w:val="000000"/>
                <w:kern w:val="0"/>
                <w:sz w:val="24"/>
                <w:szCs w:val="24"/>
                <w:lang w:bidi="ar"/>
              </w:rPr>
            </w:pPr>
          </w:p>
        </w:tc>
      </w:tr>
      <w:tr w14:paraId="46303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627" w:type="dxa"/>
            <w:vAlign w:val="center"/>
          </w:tcPr>
          <w:p w14:paraId="5E417B33">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21</w:t>
            </w:r>
          </w:p>
        </w:tc>
        <w:tc>
          <w:tcPr>
            <w:tcW w:w="1543" w:type="dxa"/>
            <w:vAlign w:val="center"/>
          </w:tcPr>
          <w:p w14:paraId="7DE6AB64">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无菌均质袋</w:t>
            </w:r>
          </w:p>
        </w:tc>
        <w:tc>
          <w:tcPr>
            <w:tcW w:w="4551" w:type="dxa"/>
            <w:vAlign w:val="center"/>
          </w:tcPr>
          <w:p w14:paraId="3C3D607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带密封压条，规格不小于32*20CM</w:t>
            </w:r>
          </w:p>
        </w:tc>
        <w:tc>
          <w:tcPr>
            <w:tcW w:w="912" w:type="dxa"/>
            <w:vAlign w:val="center"/>
          </w:tcPr>
          <w:p w14:paraId="2080A17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c>
          <w:tcPr>
            <w:tcW w:w="900" w:type="dxa"/>
            <w:vAlign w:val="center"/>
          </w:tcPr>
          <w:p w14:paraId="120BA336">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100</w:t>
            </w:r>
          </w:p>
        </w:tc>
        <w:tc>
          <w:tcPr>
            <w:tcW w:w="829" w:type="dxa"/>
            <w:vAlign w:val="center"/>
          </w:tcPr>
          <w:p w14:paraId="4129B321">
            <w:pPr>
              <w:widowControl/>
              <w:jc w:val="center"/>
              <w:textAlignment w:val="center"/>
              <w:rPr>
                <w:rFonts w:hint="eastAsia" w:ascii="宋体" w:hAnsi="宋体" w:eastAsia="宋体" w:cs="宋体"/>
                <w:color w:val="000000"/>
                <w:kern w:val="0"/>
                <w:sz w:val="24"/>
                <w:szCs w:val="24"/>
                <w:lang w:bidi="ar"/>
              </w:rPr>
            </w:pPr>
          </w:p>
        </w:tc>
      </w:tr>
      <w:tr w14:paraId="6ED7E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27" w:type="dxa"/>
            <w:vAlign w:val="center"/>
          </w:tcPr>
          <w:p w14:paraId="21CB029C">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22</w:t>
            </w:r>
          </w:p>
        </w:tc>
        <w:tc>
          <w:tcPr>
            <w:tcW w:w="1543" w:type="dxa"/>
            <w:vAlign w:val="center"/>
          </w:tcPr>
          <w:p w14:paraId="4C5554F0">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 mL无菌离心管</w:t>
            </w:r>
          </w:p>
        </w:tc>
        <w:tc>
          <w:tcPr>
            <w:tcW w:w="4551" w:type="dxa"/>
            <w:vAlign w:val="center"/>
          </w:tcPr>
          <w:p w14:paraId="1D3D9E3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15mL/支，尖底</w:t>
            </w:r>
          </w:p>
        </w:tc>
        <w:tc>
          <w:tcPr>
            <w:tcW w:w="912" w:type="dxa"/>
            <w:vAlign w:val="center"/>
          </w:tcPr>
          <w:p w14:paraId="65F27A5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c>
          <w:tcPr>
            <w:tcW w:w="900" w:type="dxa"/>
            <w:vAlign w:val="center"/>
          </w:tcPr>
          <w:p w14:paraId="0A0786C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200</w:t>
            </w:r>
          </w:p>
        </w:tc>
        <w:tc>
          <w:tcPr>
            <w:tcW w:w="829" w:type="dxa"/>
            <w:vAlign w:val="center"/>
          </w:tcPr>
          <w:p w14:paraId="35777FCA">
            <w:pPr>
              <w:widowControl/>
              <w:jc w:val="center"/>
              <w:textAlignment w:val="center"/>
              <w:rPr>
                <w:rFonts w:hint="eastAsia" w:ascii="宋体" w:hAnsi="宋体" w:eastAsia="宋体" w:cs="宋体"/>
                <w:color w:val="000000"/>
                <w:kern w:val="0"/>
                <w:sz w:val="24"/>
                <w:szCs w:val="24"/>
                <w:lang w:bidi="ar"/>
              </w:rPr>
            </w:pPr>
          </w:p>
        </w:tc>
      </w:tr>
      <w:tr w14:paraId="7CD3E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27" w:type="dxa"/>
            <w:vAlign w:val="center"/>
          </w:tcPr>
          <w:p w14:paraId="1E21B158">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23</w:t>
            </w:r>
          </w:p>
        </w:tc>
        <w:tc>
          <w:tcPr>
            <w:tcW w:w="1543" w:type="dxa"/>
            <w:vAlign w:val="center"/>
          </w:tcPr>
          <w:p w14:paraId="0E81BE32">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 mL无菌离心管</w:t>
            </w:r>
          </w:p>
        </w:tc>
        <w:tc>
          <w:tcPr>
            <w:tcW w:w="4551" w:type="dxa"/>
            <w:vAlign w:val="center"/>
          </w:tcPr>
          <w:p w14:paraId="3EBF285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50mL/支，尖底</w:t>
            </w:r>
          </w:p>
        </w:tc>
        <w:tc>
          <w:tcPr>
            <w:tcW w:w="912" w:type="dxa"/>
            <w:vAlign w:val="center"/>
          </w:tcPr>
          <w:p w14:paraId="234F710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c>
          <w:tcPr>
            <w:tcW w:w="900" w:type="dxa"/>
            <w:vAlign w:val="center"/>
          </w:tcPr>
          <w:p w14:paraId="4A017C9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100</w:t>
            </w:r>
          </w:p>
        </w:tc>
        <w:tc>
          <w:tcPr>
            <w:tcW w:w="829" w:type="dxa"/>
            <w:vAlign w:val="center"/>
          </w:tcPr>
          <w:p w14:paraId="2FA313B3">
            <w:pPr>
              <w:widowControl/>
              <w:jc w:val="center"/>
              <w:textAlignment w:val="center"/>
              <w:rPr>
                <w:rFonts w:hint="eastAsia" w:ascii="宋体" w:hAnsi="宋体" w:eastAsia="宋体" w:cs="宋体"/>
                <w:color w:val="000000"/>
                <w:kern w:val="0"/>
                <w:sz w:val="24"/>
                <w:szCs w:val="24"/>
                <w:lang w:bidi="ar"/>
              </w:rPr>
            </w:pPr>
          </w:p>
        </w:tc>
      </w:tr>
      <w:tr w14:paraId="4274D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27" w:type="dxa"/>
            <w:vAlign w:val="center"/>
          </w:tcPr>
          <w:p w14:paraId="394FAB2E">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24</w:t>
            </w:r>
          </w:p>
        </w:tc>
        <w:tc>
          <w:tcPr>
            <w:tcW w:w="1543" w:type="dxa"/>
            <w:vAlign w:val="center"/>
          </w:tcPr>
          <w:p w14:paraId="224B64E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 uL一次性接种环</w:t>
            </w:r>
          </w:p>
        </w:tc>
        <w:tc>
          <w:tcPr>
            <w:tcW w:w="4551" w:type="dxa"/>
            <w:shd w:val="clear" w:color="auto" w:fill="FFFFFF"/>
            <w:vAlign w:val="center"/>
          </w:tcPr>
          <w:p w14:paraId="49921ED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无菌，10支/包独立包装</w:t>
            </w:r>
          </w:p>
        </w:tc>
        <w:tc>
          <w:tcPr>
            <w:tcW w:w="912" w:type="dxa"/>
            <w:vAlign w:val="center"/>
          </w:tcPr>
          <w:p w14:paraId="6940D1C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44FB9E0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3000</w:t>
            </w:r>
          </w:p>
        </w:tc>
        <w:tc>
          <w:tcPr>
            <w:tcW w:w="829" w:type="dxa"/>
            <w:vAlign w:val="center"/>
          </w:tcPr>
          <w:p w14:paraId="18BA166E">
            <w:pPr>
              <w:widowControl/>
              <w:jc w:val="center"/>
              <w:textAlignment w:val="center"/>
              <w:rPr>
                <w:rFonts w:hint="eastAsia" w:ascii="宋体" w:hAnsi="宋体" w:eastAsia="宋体" w:cs="宋体"/>
                <w:color w:val="000000"/>
                <w:kern w:val="0"/>
                <w:sz w:val="24"/>
                <w:szCs w:val="24"/>
                <w:lang w:bidi="ar"/>
              </w:rPr>
            </w:pPr>
          </w:p>
        </w:tc>
      </w:tr>
      <w:tr w14:paraId="72362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27" w:type="dxa"/>
            <w:vAlign w:val="center"/>
          </w:tcPr>
          <w:p w14:paraId="6F471ABA">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25</w:t>
            </w:r>
          </w:p>
        </w:tc>
        <w:tc>
          <w:tcPr>
            <w:tcW w:w="1543" w:type="dxa"/>
            <w:vAlign w:val="center"/>
          </w:tcPr>
          <w:p w14:paraId="1D5CACE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 uL一次性接种环</w:t>
            </w:r>
          </w:p>
        </w:tc>
        <w:tc>
          <w:tcPr>
            <w:tcW w:w="4551" w:type="dxa"/>
            <w:shd w:val="clear" w:color="auto" w:fill="FFFFFF"/>
            <w:vAlign w:val="center"/>
          </w:tcPr>
          <w:p w14:paraId="27994E6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无菌，10支/包独立包装</w:t>
            </w:r>
          </w:p>
        </w:tc>
        <w:tc>
          <w:tcPr>
            <w:tcW w:w="912" w:type="dxa"/>
            <w:vAlign w:val="center"/>
          </w:tcPr>
          <w:p w14:paraId="5CB4D2D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794CB1D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1000</w:t>
            </w:r>
          </w:p>
        </w:tc>
        <w:tc>
          <w:tcPr>
            <w:tcW w:w="829" w:type="dxa"/>
            <w:vAlign w:val="center"/>
          </w:tcPr>
          <w:p w14:paraId="4B4DB731">
            <w:pPr>
              <w:widowControl/>
              <w:jc w:val="center"/>
              <w:textAlignment w:val="center"/>
              <w:rPr>
                <w:rFonts w:hint="eastAsia" w:ascii="宋体" w:hAnsi="宋体" w:eastAsia="宋体" w:cs="宋体"/>
                <w:color w:val="000000"/>
                <w:kern w:val="0"/>
                <w:sz w:val="24"/>
                <w:szCs w:val="24"/>
                <w:lang w:bidi="ar"/>
              </w:rPr>
            </w:pPr>
          </w:p>
        </w:tc>
      </w:tr>
      <w:tr w14:paraId="385FC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27" w:type="dxa"/>
            <w:vAlign w:val="center"/>
          </w:tcPr>
          <w:p w14:paraId="145BE53E">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26</w:t>
            </w:r>
          </w:p>
        </w:tc>
        <w:tc>
          <w:tcPr>
            <w:tcW w:w="1543" w:type="dxa"/>
            <w:vAlign w:val="center"/>
          </w:tcPr>
          <w:p w14:paraId="26A0E017">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蜡样芽胞杆菌标准菌株</w:t>
            </w:r>
          </w:p>
        </w:tc>
        <w:tc>
          <w:tcPr>
            <w:tcW w:w="4551" w:type="dxa"/>
            <w:vAlign w:val="center"/>
          </w:tcPr>
          <w:p w14:paraId="07B1622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ATCC 11778</w:t>
            </w:r>
          </w:p>
        </w:tc>
        <w:tc>
          <w:tcPr>
            <w:tcW w:w="912" w:type="dxa"/>
            <w:vAlign w:val="center"/>
          </w:tcPr>
          <w:p w14:paraId="63ED2A6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212CD47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5DC440DC">
            <w:pPr>
              <w:widowControl/>
              <w:jc w:val="center"/>
              <w:textAlignment w:val="center"/>
              <w:rPr>
                <w:rFonts w:hint="eastAsia" w:ascii="宋体" w:hAnsi="宋体" w:eastAsia="宋体" w:cs="宋体"/>
                <w:color w:val="000000"/>
                <w:kern w:val="0"/>
                <w:sz w:val="24"/>
                <w:szCs w:val="24"/>
                <w:lang w:bidi="ar"/>
              </w:rPr>
            </w:pPr>
          </w:p>
        </w:tc>
      </w:tr>
      <w:tr w14:paraId="7F2C0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27" w:type="dxa"/>
            <w:vAlign w:val="center"/>
          </w:tcPr>
          <w:p w14:paraId="388047C1">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27</w:t>
            </w:r>
          </w:p>
        </w:tc>
        <w:tc>
          <w:tcPr>
            <w:tcW w:w="1543" w:type="dxa"/>
            <w:vAlign w:val="center"/>
          </w:tcPr>
          <w:p w14:paraId="601766DB">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苏云金芽胞杆菌标准菌株</w:t>
            </w:r>
          </w:p>
        </w:tc>
        <w:tc>
          <w:tcPr>
            <w:tcW w:w="4551" w:type="dxa"/>
            <w:vAlign w:val="center"/>
          </w:tcPr>
          <w:p w14:paraId="10F575D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ATCC 10792</w:t>
            </w:r>
          </w:p>
        </w:tc>
        <w:tc>
          <w:tcPr>
            <w:tcW w:w="912" w:type="dxa"/>
            <w:vAlign w:val="center"/>
          </w:tcPr>
          <w:p w14:paraId="5C7BB20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0BF0EE5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52D30D5A">
            <w:pPr>
              <w:widowControl/>
              <w:jc w:val="center"/>
              <w:textAlignment w:val="center"/>
              <w:rPr>
                <w:rFonts w:hint="eastAsia" w:ascii="宋体" w:hAnsi="宋体" w:eastAsia="宋体" w:cs="宋体"/>
                <w:color w:val="000000"/>
                <w:kern w:val="0"/>
                <w:sz w:val="24"/>
                <w:szCs w:val="24"/>
                <w:lang w:bidi="ar"/>
              </w:rPr>
            </w:pPr>
          </w:p>
        </w:tc>
      </w:tr>
      <w:tr w14:paraId="1AE21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27" w:type="dxa"/>
            <w:vAlign w:val="center"/>
          </w:tcPr>
          <w:p w14:paraId="222478F3">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28</w:t>
            </w:r>
          </w:p>
        </w:tc>
        <w:tc>
          <w:tcPr>
            <w:tcW w:w="1543" w:type="dxa"/>
            <w:vAlign w:val="center"/>
          </w:tcPr>
          <w:p w14:paraId="440AB6A7">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蕈状芽胞杆菌标准菌株</w:t>
            </w:r>
          </w:p>
        </w:tc>
        <w:tc>
          <w:tcPr>
            <w:tcW w:w="4551" w:type="dxa"/>
            <w:vAlign w:val="center"/>
          </w:tcPr>
          <w:p w14:paraId="606398C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ATCC 10206</w:t>
            </w:r>
          </w:p>
        </w:tc>
        <w:tc>
          <w:tcPr>
            <w:tcW w:w="912" w:type="dxa"/>
            <w:vAlign w:val="center"/>
          </w:tcPr>
          <w:p w14:paraId="27B971C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6135485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4E5E6261">
            <w:pPr>
              <w:widowControl/>
              <w:jc w:val="center"/>
              <w:textAlignment w:val="center"/>
              <w:rPr>
                <w:rFonts w:hint="eastAsia" w:ascii="宋体" w:hAnsi="宋体" w:eastAsia="宋体" w:cs="宋体"/>
                <w:color w:val="000000"/>
                <w:kern w:val="0"/>
                <w:sz w:val="24"/>
                <w:szCs w:val="24"/>
                <w:lang w:bidi="ar"/>
              </w:rPr>
            </w:pPr>
          </w:p>
        </w:tc>
      </w:tr>
      <w:tr w14:paraId="02EA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27" w:type="dxa"/>
            <w:vAlign w:val="center"/>
          </w:tcPr>
          <w:p w14:paraId="5679EDA2">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29</w:t>
            </w:r>
          </w:p>
        </w:tc>
        <w:tc>
          <w:tcPr>
            <w:tcW w:w="1543" w:type="dxa"/>
            <w:vAlign w:val="center"/>
          </w:tcPr>
          <w:p w14:paraId="345E2A61">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巨大芽胞杆菌标准菌株</w:t>
            </w:r>
          </w:p>
        </w:tc>
        <w:tc>
          <w:tcPr>
            <w:tcW w:w="4551" w:type="dxa"/>
            <w:vAlign w:val="center"/>
          </w:tcPr>
          <w:p w14:paraId="3C7DD6C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ATCC 14581</w:t>
            </w:r>
          </w:p>
        </w:tc>
        <w:tc>
          <w:tcPr>
            <w:tcW w:w="912" w:type="dxa"/>
            <w:vAlign w:val="center"/>
          </w:tcPr>
          <w:p w14:paraId="09EA602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30F2F12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7A4B2391">
            <w:pPr>
              <w:widowControl/>
              <w:jc w:val="center"/>
              <w:textAlignment w:val="center"/>
              <w:rPr>
                <w:rFonts w:hint="eastAsia" w:ascii="宋体" w:hAnsi="宋体" w:eastAsia="宋体" w:cs="宋体"/>
                <w:color w:val="000000"/>
                <w:kern w:val="0"/>
                <w:sz w:val="24"/>
                <w:szCs w:val="24"/>
                <w:lang w:bidi="ar"/>
              </w:rPr>
            </w:pPr>
          </w:p>
        </w:tc>
      </w:tr>
      <w:tr w14:paraId="63D26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627" w:type="dxa"/>
            <w:vAlign w:val="center"/>
          </w:tcPr>
          <w:p w14:paraId="5C87CE93">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30</w:t>
            </w:r>
          </w:p>
        </w:tc>
        <w:tc>
          <w:tcPr>
            <w:tcW w:w="1543" w:type="dxa"/>
            <w:vAlign w:val="center"/>
          </w:tcPr>
          <w:p w14:paraId="658EFA78">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哥伦比亚血平板</w:t>
            </w:r>
          </w:p>
        </w:tc>
        <w:tc>
          <w:tcPr>
            <w:tcW w:w="4551" w:type="dxa"/>
            <w:vAlign w:val="center"/>
          </w:tcPr>
          <w:p w14:paraId="1A955FB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用于苛养和非苛养型细菌的培养，以及溶血性细菌的鉴别。90mm×20个/盒。</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要求分批次供货，紧急情况下三天到货</w:t>
            </w:r>
          </w:p>
        </w:tc>
        <w:tc>
          <w:tcPr>
            <w:tcW w:w="912" w:type="dxa"/>
            <w:vAlign w:val="center"/>
          </w:tcPr>
          <w:p w14:paraId="52AF9E1F">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块</w:t>
            </w:r>
          </w:p>
        </w:tc>
        <w:tc>
          <w:tcPr>
            <w:tcW w:w="900" w:type="dxa"/>
            <w:vAlign w:val="center"/>
          </w:tcPr>
          <w:p w14:paraId="1AB1F54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100</w:t>
            </w:r>
          </w:p>
        </w:tc>
        <w:tc>
          <w:tcPr>
            <w:tcW w:w="829" w:type="dxa"/>
            <w:vAlign w:val="center"/>
          </w:tcPr>
          <w:p w14:paraId="667EA7D5">
            <w:pPr>
              <w:widowControl/>
              <w:jc w:val="center"/>
              <w:textAlignment w:val="center"/>
              <w:rPr>
                <w:rFonts w:hint="eastAsia" w:ascii="宋体" w:hAnsi="宋体" w:eastAsia="宋体" w:cs="宋体"/>
                <w:color w:val="000000"/>
                <w:kern w:val="0"/>
                <w:sz w:val="24"/>
                <w:szCs w:val="24"/>
                <w:lang w:bidi="ar"/>
              </w:rPr>
            </w:pPr>
          </w:p>
        </w:tc>
      </w:tr>
      <w:tr w14:paraId="43443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27" w:type="dxa"/>
            <w:vAlign w:val="center"/>
          </w:tcPr>
          <w:p w14:paraId="299CDB7B">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31</w:t>
            </w:r>
          </w:p>
        </w:tc>
        <w:tc>
          <w:tcPr>
            <w:tcW w:w="1543" w:type="dxa"/>
            <w:vAlign w:val="center"/>
          </w:tcPr>
          <w:p w14:paraId="3AA68AF8">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 L厌氧产气袋</w:t>
            </w:r>
          </w:p>
        </w:tc>
        <w:tc>
          <w:tcPr>
            <w:tcW w:w="4551" w:type="dxa"/>
            <w:vAlign w:val="center"/>
          </w:tcPr>
          <w:p w14:paraId="5D611C9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适用于2.5 L密封培养罐，用于厌氧微生物的培养</w:t>
            </w:r>
          </w:p>
        </w:tc>
        <w:tc>
          <w:tcPr>
            <w:tcW w:w="912" w:type="dxa"/>
            <w:vAlign w:val="center"/>
          </w:tcPr>
          <w:p w14:paraId="6C3C962F">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c>
          <w:tcPr>
            <w:tcW w:w="900" w:type="dxa"/>
            <w:vAlign w:val="center"/>
          </w:tcPr>
          <w:p w14:paraId="206B550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30</w:t>
            </w:r>
          </w:p>
        </w:tc>
        <w:tc>
          <w:tcPr>
            <w:tcW w:w="829" w:type="dxa"/>
            <w:vAlign w:val="center"/>
          </w:tcPr>
          <w:p w14:paraId="15FE0356">
            <w:pPr>
              <w:widowControl/>
              <w:jc w:val="center"/>
              <w:textAlignment w:val="center"/>
              <w:rPr>
                <w:rFonts w:hint="eastAsia" w:ascii="宋体" w:hAnsi="宋体" w:eastAsia="宋体" w:cs="宋体"/>
                <w:color w:val="000000"/>
                <w:kern w:val="0"/>
                <w:sz w:val="24"/>
                <w:szCs w:val="24"/>
                <w:lang w:bidi="ar"/>
              </w:rPr>
            </w:pPr>
          </w:p>
        </w:tc>
      </w:tr>
      <w:tr w14:paraId="775CB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27" w:type="dxa"/>
            <w:vAlign w:val="center"/>
          </w:tcPr>
          <w:p w14:paraId="28CD04F5">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32</w:t>
            </w:r>
          </w:p>
        </w:tc>
        <w:tc>
          <w:tcPr>
            <w:tcW w:w="1543" w:type="dxa"/>
            <w:vAlign w:val="center"/>
          </w:tcPr>
          <w:p w14:paraId="21147D8C">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Magen细菌DNA提取试剂盒</w:t>
            </w:r>
          </w:p>
        </w:tc>
        <w:tc>
          <w:tcPr>
            <w:tcW w:w="4551" w:type="dxa"/>
            <w:vAlign w:val="center"/>
          </w:tcPr>
          <w:p w14:paraId="203603F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HiPure Bacterial DNA Kit，50次/盒，用于细菌DNA的提取</w:t>
            </w:r>
          </w:p>
        </w:tc>
        <w:tc>
          <w:tcPr>
            <w:tcW w:w="912" w:type="dxa"/>
            <w:vAlign w:val="center"/>
          </w:tcPr>
          <w:p w14:paraId="588C735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盒</w:t>
            </w:r>
          </w:p>
        </w:tc>
        <w:tc>
          <w:tcPr>
            <w:tcW w:w="900" w:type="dxa"/>
            <w:vAlign w:val="center"/>
          </w:tcPr>
          <w:p w14:paraId="30C8B7E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829" w:type="dxa"/>
            <w:vAlign w:val="center"/>
          </w:tcPr>
          <w:p w14:paraId="1EB9C02F">
            <w:pPr>
              <w:widowControl/>
              <w:jc w:val="center"/>
              <w:textAlignment w:val="center"/>
              <w:rPr>
                <w:rFonts w:hint="eastAsia" w:ascii="宋体" w:hAnsi="宋体" w:eastAsia="宋体" w:cs="宋体"/>
                <w:color w:val="000000"/>
                <w:kern w:val="0"/>
                <w:sz w:val="24"/>
                <w:szCs w:val="24"/>
                <w:lang w:bidi="ar"/>
              </w:rPr>
            </w:pPr>
          </w:p>
        </w:tc>
      </w:tr>
      <w:tr w14:paraId="6BC99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27" w:type="dxa"/>
            <w:vAlign w:val="center"/>
          </w:tcPr>
          <w:p w14:paraId="3C214D3A">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33</w:t>
            </w:r>
          </w:p>
        </w:tc>
        <w:tc>
          <w:tcPr>
            <w:tcW w:w="1543" w:type="dxa"/>
            <w:vAlign w:val="center"/>
          </w:tcPr>
          <w:p w14:paraId="0F59F365">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李斯特氏菌显色培养基基础</w:t>
            </w:r>
          </w:p>
        </w:tc>
        <w:tc>
          <w:tcPr>
            <w:tcW w:w="4551" w:type="dxa"/>
            <w:vAlign w:val="center"/>
          </w:tcPr>
          <w:p w14:paraId="64F945C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1000ml/瓶；到货有效期10个月及以上。</w:t>
            </w:r>
          </w:p>
        </w:tc>
        <w:tc>
          <w:tcPr>
            <w:tcW w:w="912" w:type="dxa"/>
            <w:vAlign w:val="center"/>
          </w:tcPr>
          <w:p w14:paraId="5C211B3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3ECAE60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163233EC">
            <w:pPr>
              <w:widowControl/>
              <w:jc w:val="center"/>
              <w:textAlignment w:val="center"/>
              <w:rPr>
                <w:rFonts w:hint="eastAsia" w:ascii="宋体" w:hAnsi="宋体" w:eastAsia="宋体" w:cs="宋体"/>
                <w:color w:val="000000"/>
                <w:kern w:val="0"/>
                <w:sz w:val="24"/>
                <w:szCs w:val="24"/>
                <w:lang w:bidi="ar"/>
              </w:rPr>
            </w:pPr>
          </w:p>
        </w:tc>
      </w:tr>
      <w:tr w14:paraId="0FEF1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27" w:type="dxa"/>
            <w:vAlign w:val="center"/>
          </w:tcPr>
          <w:p w14:paraId="7BE6874F">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34</w:t>
            </w:r>
          </w:p>
        </w:tc>
        <w:tc>
          <w:tcPr>
            <w:tcW w:w="1543" w:type="dxa"/>
            <w:vAlign w:val="center"/>
          </w:tcPr>
          <w:p w14:paraId="4C646505">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李斯特氏菌显色培养基增补剂</w:t>
            </w:r>
          </w:p>
        </w:tc>
        <w:tc>
          <w:tcPr>
            <w:tcW w:w="4551" w:type="dxa"/>
            <w:vAlign w:val="center"/>
          </w:tcPr>
          <w:p w14:paraId="74847BF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配套李斯特氏菌显色培养基基础</w:t>
            </w:r>
          </w:p>
        </w:tc>
        <w:tc>
          <w:tcPr>
            <w:tcW w:w="912" w:type="dxa"/>
            <w:vAlign w:val="center"/>
          </w:tcPr>
          <w:p w14:paraId="5D30462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74B7CBB6">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32D6539E">
            <w:pPr>
              <w:widowControl/>
              <w:jc w:val="center"/>
              <w:textAlignment w:val="center"/>
              <w:rPr>
                <w:rFonts w:hint="eastAsia" w:ascii="宋体" w:hAnsi="宋体" w:eastAsia="宋体" w:cs="宋体"/>
                <w:color w:val="000000"/>
                <w:kern w:val="0"/>
                <w:sz w:val="24"/>
                <w:szCs w:val="24"/>
                <w:lang w:bidi="ar"/>
              </w:rPr>
            </w:pPr>
          </w:p>
        </w:tc>
      </w:tr>
      <w:tr w14:paraId="41978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27" w:type="dxa"/>
            <w:vAlign w:val="center"/>
          </w:tcPr>
          <w:p w14:paraId="75D8133C">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35</w:t>
            </w:r>
          </w:p>
        </w:tc>
        <w:tc>
          <w:tcPr>
            <w:tcW w:w="1543" w:type="dxa"/>
            <w:vAlign w:val="center"/>
          </w:tcPr>
          <w:p w14:paraId="31FF6AD2">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0.45% NaCl盐水溶液</w:t>
            </w:r>
          </w:p>
        </w:tc>
        <w:tc>
          <w:tcPr>
            <w:tcW w:w="4551" w:type="dxa"/>
            <w:vAlign w:val="center"/>
          </w:tcPr>
          <w:p w14:paraId="146378D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500mL/瓶；梅里埃VITEK 2 compact配套耗材</w:t>
            </w:r>
          </w:p>
        </w:tc>
        <w:tc>
          <w:tcPr>
            <w:tcW w:w="912" w:type="dxa"/>
            <w:vAlign w:val="center"/>
          </w:tcPr>
          <w:p w14:paraId="0EF7939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5BEA1A2F">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829" w:type="dxa"/>
            <w:vAlign w:val="center"/>
          </w:tcPr>
          <w:p w14:paraId="4E3AE214">
            <w:pPr>
              <w:widowControl/>
              <w:jc w:val="center"/>
              <w:textAlignment w:val="center"/>
              <w:rPr>
                <w:rFonts w:hint="eastAsia" w:ascii="宋体" w:hAnsi="宋体" w:eastAsia="宋体" w:cs="宋体"/>
                <w:color w:val="000000"/>
                <w:kern w:val="0"/>
                <w:sz w:val="24"/>
                <w:szCs w:val="24"/>
                <w:lang w:bidi="ar"/>
              </w:rPr>
            </w:pPr>
          </w:p>
        </w:tc>
      </w:tr>
      <w:tr w14:paraId="2C6F7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trPr>
        <w:tc>
          <w:tcPr>
            <w:tcW w:w="627" w:type="dxa"/>
            <w:vAlign w:val="center"/>
          </w:tcPr>
          <w:p w14:paraId="1F136307">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36</w:t>
            </w:r>
          </w:p>
        </w:tc>
        <w:tc>
          <w:tcPr>
            <w:tcW w:w="1543" w:type="dxa"/>
            <w:vAlign w:val="center"/>
          </w:tcPr>
          <w:p w14:paraId="5DA07EED">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唐菖蒲伯克霍尔德氏菌毒力基因PCR检测试剂盒</w:t>
            </w:r>
          </w:p>
        </w:tc>
        <w:tc>
          <w:tcPr>
            <w:tcW w:w="4551" w:type="dxa"/>
            <w:vAlign w:val="center"/>
          </w:tcPr>
          <w:p w14:paraId="42034458">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1.规格25T/盒；</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2.实时荧光PCR法；</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3.适用于Bio-Rad（iQ5/CFX96/CFX384）、ABI（7500/7500Fast）；</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4.到货有效期10个月及以上。</w:t>
            </w:r>
          </w:p>
        </w:tc>
        <w:tc>
          <w:tcPr>
            <w:tcW w:w="912" w:type="dxa"/>
            <w:vAlign w:val="center"/>
          </w:tcPr>
          <w:p w14:paraId="2804468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7D59156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w:t>
            </w:r>
          </w:p>
        </w:tc>
        <w:tc>
          <w:tcPr>
            <w:tcW w:w="829" w:type="dxa"/>
            <w:vAlign w:val="center"/>
          </w:tcPr>
          <w:p w14:paraId="50A3B0A0">
            <w:pPr>
              <w:widowControl/>
              <w:jc w:val="center"/>
              <w:textAlignment w:val="center"/>
              <w:rPr>
                <w:rFonts w:hint="eastAsia" w:ascii="宋体" w:hAnsi="宋体" w:eastAsia="宋体" w:cs="宋体"/>
                <w:color w:val="000000"/>
                <w:kern w:val="0"/>
                <w:sz w:val="24"/>
                <w:szCs w:val="24"/>
                <w:lang w:bidi="ar"/>
              </w:rPr>
            </w:pPr>
          </w:p>
        </w:tc>
      </w:tr>
      <w:tr w14:paraId="110B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627" w:type="dxa"/>
            <w:vAlign w:val="center"/>
          </w:tcPr>
          <w:p w14:paraId="73171914">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37</w:t>
            </w:r>
          </w:p>
        </w:tc>
        <w:tc>
          <w:tcPr>
            <w:tcW w:w="1543" w:type="dxa"/>
            <w:vAlign w:val="center"/>
          </w:tcPr>
          <w:p w14:paraId="2C05B934">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五种致病弯曲菌核酸多重实时荧光PCR检测试剂盒</w:t>
            </w:r>
          </w:p>
        </w:tc>
        <w:tc>
          <w:tcPr>
            <w:tcW w:w="4551" w:type="dxa"/>
            <w:vAlign w:val="center"/>
          </w:tcPr>
          <w:p w14:paraId="0CBFC662">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1.用于五种致病弯曲菌,检测目标：空肠弯曲菌、结肠弯曲菌、海鸟弯曲菌、胎儿弯曲菌胎儿亚种、乌普萨拉弯曲菌和弯曲菌种属的荧光定量检测；</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2.规格25T/盒；</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3.实时荧光PCR法；</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4.适用于Bio-Rad（iQ5/CFX96/CFX384）、ABI（7500/7500Fast）；</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5.到货有效期10个月及以上。</w:t>
            </w:r>
          </w:p>
        </w:tc>
        <w:tc>
          <w:tcPr>
            <w:tcW w:w="912" w:type="dxa"/>
            <w:vAlign w:val="center"/>
          </w:tcPr>
          <w:p w14:paraId="267AFBA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3BCCE23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w:t>
            </w:r>
          </w:p>
        </w:tc>
        <w:tc>
          <w:tcPr>
            <w:tcW w:w="829" w:type="dxa"/>
            <w:vAlign w:val="center"/>
          </w:tcPr>
          <w:p w14:paraId="7E1D9CC7">
            <w:pPr>
              <w:widowControl/>
              <w:jc w:val="center"/>
              <w:textAlignment w:val="center"/>
              <w:rPr>
                <w:rFonts w:hint="eastAsia" w:ascii="宋体" w:hAnsi="宋体" w:eastAsia="宋体" w:cs="宋体"/>
                <w:color w:val="000000"/>
                <w:kern w:val="0"/>
                <w:sz w:val="24"/>
                <w:szCs w:val="24"/>
                <w:lang w:bidi="ar"/>
              </w:rPr>
            </w:pPr>
          </w:p>
        </w:tc>
      </w:tr>
      <w:tr w14:paraId="5FE5D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atLeast"/>
        </w:trPr>
        <w:tc>
          <w:tcPr>
            <w:tcW w:w="627" w:type="dxa"/>
            <w:vAlign w:val="center"/>
          </w:tcPr>
          <w:p w14:paraId="34B2BC32">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38</w:t>
            </w:r>
          </w:p>
        </w:tc>
        <w:tc>
          <w:tcPr>
            <w:tcW w:w="1543" w:type="dxa"/>
            <w:vAlign w:val="center"/>
          </w:tcPr>
          <w:p w14:paraId="26576A4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空肠弯曲菌血清分型核酸多重实时荧光PCR检测试剂盒</w:t>
            </w:r>
          </w:p>
        </w:tc>
        <w:tc>
          <w:tcPr>
            <w:tcW w:w="4551" w:type="dxa"/>
            <w:vAlign w:val="center"/>
          </w:tcPr>
          <w:p w14:paraId="52ABA9D2">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1.规格：25T/盒；</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2.适用于定性检测从纯培养物或单菌落中提取的空肠弯曲菌的血清分型，涵盖7种空肠弯曲菌血清型（HS:1、 HS:2、HS:4、HS:19、HS:23/36、HS:41 及 HS:44）；</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3.适用于Bio-Rad（iQ5/CFX96/CFX384）、ABI（7500/7500Fast）；</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4.到货有效期10个月及以上。</w:t>
            </w:r>
          </w:p>
        </w:tc>
        <w:tc>
          <w:tcPr>
            <w:tcW w:w="912" w:type="dxa"/>
            <w:vAlign w:val="center"/>
          </w:tcPr>
          <w:p w14:paraId="25D7CB4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1E73293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w:t>
            </w:r>
          </w:p>
        </w:tc>
        <w:tc>
          <w:tcPr>
            <w:tcW w:w="829" w:type="dxa"/>
            <w:vAlign w:val="center"/>
          </w:tcPr>
          <w:p w14:paraId="49013B75">
            <w:pPr>
              <w:widowControl/>
              <w:jc w:val="center"/>
              <w:textAlignment w:val="center"/>
              <w:rPr>
                <w:rFonts w:hint="eastAsia" w:ascii="宋体" w:hAnsi="宋体" w:eastAsia="宋体" w:cs="宋体"/>
                <w:color w:val="000000"/>
                <w:kern w:val="0"/>
                <w:sz w:val="24"/>
                <w:szCs w:val="24"/>
                <w:lang w:bidi="ar"/>
              </w:rPr>
            </w:pPr>
          </w:p>
        </w:tc>
      </w:tr>
      <w:tr w14:paraId="48393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627" w:type="dxa"/>
            <w:vAlign w:val="center"/>
          </w:tcPr>
          <w:p w14:paraId="580963DF">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39</w:t>
            </w:r>
          </w:p>
        </w:tc>
        <w:tc>
          <w:tcPr>
            <w:tcW w:w="1543" w:type="dxa"/>
            <w:vAlign w:val="center"/>
          </w:tcPr>
          <w:p w14:paraId="37EE05BC">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蜡样芽胞杆菌hblC/nheB/cesB基因实时荧光PCR检测试剂盒</w:t>
            </w:r>
          </w:p>
        </w:tc>
        <w:tc>
          <w:tcPr>
            <w:tcW w:w="4551" w:type="dxa"/>
            <w:vAlign w:val="center"/>
          </w:tcPr>
          <w:p w14:paraId="391FD7F1">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1.规格25T/盒；</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2.实时荧光PCR法；</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3.适用于Bio-Rad（iQ5/CFX96/CFX384）、ABI（7500/7500Fast）；</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4.到货有效期10个月及以上。</w:t>
            </w:r>
          </w:p>
        </w:tc>
        <w:tc>
          <w:tcPr>
            <w:tcW w:w="912" w:type="dxa"/>
            <w:vAlign w:val="center"/>
          </w:tcPr>
          <w:p w14:paraId="47A9CCC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4EEDD2D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w:t>
            </w:r>
          </w:p>
        </w:tc>
        <w:tc>
          <w:tcPr>
            <w:tcW w:w="829" w:type="dxa"/>
            <w:vAlign w:val="center"/>
          </w:tcPr>
          <w:p w14:paraId="78AFD745">
            <w:pPr>
              <w:widowControl/>
              <w:jc w:val="center"/>
              <w:textAlignment w:val="center"/>
              <w:rPr>
                <w:rFonts w:hint="eastAsia" w:ascii="宋体" w:hAnsi="宋体" w:eastAsia="宋体" w:cs="宋体"/>
                <w:color w:val="000000"/>
                <w:kern w:val="0"/>
                <w:sz w:val="24"/>
                <w:szCs w:val="24"/>
                <w:lang w:bidi="ar"/>
              </w:rPr>
            </w:pPr>
          </w:p>
        </w:tc>
      </w:tr>
      <w:tr w14:paraId="6D34A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627" w:type="dxa"/>
            <w:vAlign w:val="center"/>
          </w:tcPr>
          <w:p w14:paraId="4A36849C">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40</w:t>
            </w:r>
          </w:p>
        </w:tc>
        <w:tc>
          <w:tcPr>
            <w:tcW w:w="1543" w:type="dxa"/>
            <w:vAlign w:val="center"/>
          </w:tcPr>
          <w:p w14:paraId="0B38B3B0">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副溶血性弧菌tlh/tdh/trh基因实时荧光PCR检测试剂盒</w:t>
            </w:r>
          </w:p>
        </w:tc>
        <w:tc>
          <w:tcPr>
            <w:tcW w:w="4551" w:type="dxa"/>
            <w:vAlign w:val="center"/>
          </w:tcPr>
          <w:p w14:paraId="1C52D435">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1.规格25T/盒；</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2.实时荧光PCR法；</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3.适用于Bio-Rad（iQ5/CFX96/CFX384）、ABI（7500/7500Fast）；</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4.到货有效期10个月及以上。</w:t>
            </w:r>
          </w:p>
        </w:tc>
        <w:tc>
          <w:tcPr>
            <w:tcW w:w="912" w:type="dxa"/>
            <w:vAlign w:val="center"/>
          </w:tcPr>
          <w:p w14:paraId="206BA72F">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54D4A49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w:t>
            </w:r>
          </w:p>
        </w:tc>
        <w:tc>
          <w:tcPr>
            <w:tcW w:w="829" w:type="dxa"/>
            <w:vAlign w:val="center"/>
          </w:tcPr>
          <w:p w14:paraId="1C2BB9D4">
            <w:pPr>
              <w:widowControl/>
              <w:jc w:val="center"/>
              <w:textAlignment w:val="center"/>
              <w:rPr>
                <w:rFonts w:hint="eastAsia" w:ascii="宋体" w:hAnsi="宋体" w:eastAsia="宋体" w:cs="宋体"/>
                <w:color w:val="000000"/>
                <w:kern w:val="0"/>
                <w:sz w:val="24"/>
                <w:szCs w:val="24"/>
                <w:lang w:bidi="ar"/>
              </w:rPr>
            </w:pPr>
          </w:p>
        </w:tc>
      </w:tr>
      <w:tr w14:paraId="5F803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627" w:type="dxa"/>
            <w:vAlign w:val="center"/>
          </w:tcPr>
          <w:p w14:paraId="3F2E7223">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41</w:t>
            </w:r>
          </w:p>
        </w:tc>
        <w:tc>
          <w:tcPr>
            <w:tcW w:w="1543" w:type="dxa"/>
            <w:vAlign w:val="center"/>
          </w:tcPr>
          <w:p w14:paraId="64DC87A8">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金黄色葡萄球菌mecA/nuc基因实时荧光PCR检测试剂盒</w:t>
            </w:r>
          </w:p>
        </w:tc>
        <w:tc>
          <w:tcPr>
            <w:tcW w:w="4551" w:type="dxa"/>
            <w:vAlign w:val="center"/>
          </w:tcPr>
          <w:p w14:paraId="0BFC99C0">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1.规格25T/盒；</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2.实时荧光PCR法；</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3.适用于Bio-Rad（iQ5/CFX96/CFX384）、ABI（7500/7500Fast）；</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4.到货有效期10个月及以上。</w:t>
            </w:r>
          </w:p>
        </w:tc>
        <w:tc>
          <w:tcPr>
            <w:tcW w:w="912" w:type="dxa"/>
            <w:vAlign w:val="center"/>
          </w:tcPr>
          <w:p w14:paraId="578C80F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458ED3F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w:t>
            </w:r>
          </w:p>
        </w:tc>
        <w:tc>
          <w:tcPr>
            <w:tcW w:w="829" w:type="dxa"/>
            <w:vAlign w:val="center"/>
          </w:tcPr>
          <w:p w14:paraId="725394D9">
            <w:pPr>
              <w:widowControl/>
              <w:jc w:val="center"/>
              <w:textAlignment w:val="center"/>
              <w:rPr>
                <w:rFonts w:hint="eastAsia" w:ascii="宋体" w:hAnsi="宋体" w:eastAsia="宋体" w:cs="宋体"/>
                <w:color w:val="000000"/>
                <w:kern w:val="0"/>
                <w:sz w:val="24"/>
                <w:szCs w:val="24"/>
                <w:lang w:bidi="ar"/>
              </w:rPr>
            </w:pPr>
          </w:p>
        </w:tc>
      </w:tr>
      <w:tr w14:paraId="63318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trPr>
        <w:tc>
          <w:tcPr>
            <w:tcW w:w="627" w:type="dxa"/>
            <w:vAlign w:val="center"/>
          </w:tcPr>
          <w:p w14:paraId="78F199EE">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42</w:t>
            </w:r>
          </w:p>
        </w:tc>
        <w:tc>
          <w:tcPr>
            <w:tcW w:w="1543" w:type="dxa"/>
            <w:vAlign w:val="center"/>
          </w:tcPr>
          <w:p w14:paraId="7A11B377">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金黄色葡萄球菌毒力基因PCR检测试剂盒</w:t>
            </w:r>
          </w:p>
        </w:tc>
        <w:tc>
          <w:tcPr>
            <w:tcW w:w="4551" w:type="dxa"/>
            <w:vAlign w:val="center"/>
          </w:tcPr>
          <w:p w14:paraId="5BABB8AC">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1.规格：25T/盒</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★2.用于定性检测从纯培养物或单菌落中提取的金黄色葡萄球菌的毒力基因分型，检测肠毒素基因(sea、seb、sec、sed、see)）。</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3.实时荧光PCR法；</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4.适用于Bio-Rad（iQ5/CFX96/CFX384）、ABI（7500/7500Fast）；</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5.到货有效期10个月及以上。</w:t>
            </w:r>
          </w:p>
        </w:tc>
        <w:tc>
          <w:tcPr>
            <w:tcW w:w="912" w:type="dxa"/>
            <w:vAlign w:val="center"/>
          </w:tcPr>
          <w:p w14:paraId="5E73850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65F7E5A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w:t>
            </w:r>
          </w:p>
        </w:tc>
        <w:tc>
          <w:tcPr>
            <w:tcW w:w="829" w:type="dxa"/>
            <w:vAlign w:val="center"/>
          </w:tcPr>
          <w:p w14:paraId="356B6BB5">
            <w:pPr>
              <w:widowControl/>
              <w:jc w:val="center"/>
              <w:textAlignment w:val="center"/>
              <w:rPr>
                <w:rFonts w:hint="eastAsia" w:ascii="宋体" w:hAnsi="宋体" w:eastAsia="宋体" w:cs="宋体"/>
                <w:color w:val="000000"/>
                <w:kern w:val="0"/>
                <w:sz w:val="24"/>
                <w:szCs w:val="24"/>
                <w:lang w:bidi="ar"/>
              </w:rPr>
            </w:pPr>
          </w:p>
        </w:tc>
      </w:tr>
      <w:tr w14:paraId="6DF89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627" w:type="dxa"/>
            <w:vAlign w:val="center"/>
          </w:tcPr>
          <w:p w14:paraId="315B9E35">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43</w:t>
            </w:r>
          </w:p>
        </w:tc>
        <w:tc>
          <w:tcPr>
            <w:tcW w:w="1543" w:type="dxa"/>
            <w:vAlign w:val="center"/>
          </w:tcPr>
          <w:p w14:paraId="05F6100D">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金黄色葡萄球菌肠毒素分型 ELISA 检测试剂盒</w:t>
            </w:r>
          </w:p>
        </w:tc>
        <w:tc>
          <w:tcPr>
            <w:tcW w:w="4551" w:type="dxa"/>
            <w:vAlign w:val="center"/>
          </w:tcPr>
          <w:p w14:paraId="230A4977">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1.酶联免疫法检测食品和细菌培养液中的金黄色葡萄球菌肠毒素（SET）A，B，C，D，E。</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2.12测试/盒：每一个试剂盒中的试剂足够进行 12 次检测（96 孔板中的一列 8 孔用来做一个检测）。</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3.阳性质控的吸光度值应该大于等于 1.0。 阴性质控的吸光度平均值应该小于等于 0.2。</w:t>
            </w:r>
          </w:p>
        </w:tc>
        <w:tc>
          <w:tcPr>
            <w:tcW w:w="912" w:type="dxa"/>
            <w:vAlign w:val="center"/>
          </w:tcPr>
          <w:p w14:paraId="7D88757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552119BF">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24</w:t>
            </w:r>
          </w:p>
        </w:tc>
        <w:tc>
          <w:tcPr>
            <w:tcW w:w="829" w:type="dxa"/>
            <w:vAlign w:val="center"/>
          </w:tcPr>
          <w:p w14:paraId="0CBABF75">
            <w:pPr>
              <w:widowControl/>
              <w:jc w:val="center"/>
              <w:textAlignment w:val="center"/>
              <w:rPr>
                <w:rFonts w:hint="eastAsia" w:ascii="宋体" w:hAnsi="宋体" w:eastAsia="宋体" w:cs="宋体"/>
                <w:color w:val="000000"/>
                <w:kern w:val="0"/>
                <w:sz w:val="24"/>
                <w:szCs w:val="24"/>
                <w:lang w:bidi="ar"/>
              </w:rPr>
            </w:pPr>
          </w:p>
        </w:tc>
      </w:tr>
      <w:tr w14:paraId="186A1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627" w:type="dxa"/>
            <w:vAlign w:val="center"/>
          </w:tcPr>
          <w:p w14:paraId="5D8FCCAF">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44</w:t>
            </w:r>
          </w:p>
        </w:tc>
        <w:tc>
          <w:tcPr>
            <w:tcW w:w="1543" w:type="dxa"/>
            <w:vAlign w:val="center"/>
          </w:tcPr>
          <w:p w14:paraId="297B6AE8">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厌氧梭菌菌种鉴定实时荧光PCR检测试剂盒</w:t>
            </w:r>
          </w:p>
        </w:tc>
        <w:tc>
          <w:tcPr>
            <w:tcW w:w="4551" w:type="dxa"/>
            <w:vAlign w:val="center"/>
          </w:tcPr>
          <w:p w14:paraId="65AEEAD0">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1.规格25T/盒；</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2.实时荧光PCR法；</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3.适用于Bio-Rad（iQ5/CFX96/CFX384）、ABI（7500/7500Fast）；</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4.到货有效期10个月及以上。</w:t>
            </w:r>
          </w:p>
        </w:tc>
        <w:tc>
          <w:tcPr>
            <w:tcW w:w="912" w:type="dxa"/>
            <w:vAlign w:val="center"/>
          </w:tcPr>
          <w:p w14:paraId="0DAE57A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34A2F34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w:t>
            </w:r>
          </w:p>
        </w:tc>
        <w:tc>
          <w:tcPr>
            <w:tcW w:w="829" w:type="dxa"/>
            <w:vAlign w:val="center"/>
          </w:tcPr>
          <w:p w14:paraId="1E6D0723">
            <w:pPr>
              <w:widowControl/>
              <w:jc w:val="center"/>
              <w:textAlignment w:val="center"/>
              <w:rPr>
                <w:rFonts w:hint="eastAsia" w:ascii="宋体" w:hAnsi="宋体" w:eastAsia="宋体" w:cs="宋体"/>
                <w:color w:val="000000"/>
                <w:kern w:val="0"/>
                <w:sz w:val="24"/>
                <w:szCs w:val="24"/>
                <w:lang w:bidi="ar"/>
              </w:rPr>
            </w:pPr>
          </w:p>
        </w:tc>
      </w:tr>
      <w:tr w14:paraId="151E5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627" w:type="dxa"/>
            <w:vAlign w:val="center"/>
          </w:tcPr>
          <w:p w14:paraId="458F0777">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45</w:t>
            </w:r>
          </w:p>
        </w:tc>
        <w:tc>
          <w:tcPr>
            <w:tcW w:w="1543" w:type="dxa"/>
            <w:vAlign w:val="center"/>
          </w:tcPr>
          <w:p w14:paraId="6ECFC3F4">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肉毒梭菌毒素基因（A、B、E、F型）多重实时荧光PCR检测试剂盒</w:t>
            </w:r>
          </w:p>
        </w:tc>
        <w:tc>
          <w:tcPr>
            <w:tcW w:w="4551" w:type="dxa"/>
            <w:vAlign w:val="center"/>
          </w:tcPr>
          <w:p w14:paraId="425DFDF4">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1.规格25T/盒；</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2.实时荧光PCR法；</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3.适用于Bio-Rad（iQ5/CFX96/CFX384）、ABI（7500/7500Fast）；</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4.到货有效期10个月及以上。</w:t>
            </w:r>
          </w:p>
        </w:tc>
        <w:tc>
          <w:tcPr>
            <w:tcW w:w="912" w:type="dxa"/>
            <w:vAlign w:val="center"/>
          </w:tcPr>
          <w:p w14:paraId="1774131F">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025A6EE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w:t>
            </w:r>
          </w:p>
        </w:tc>
        <w:tc>
          <w:tcPr>
            <w:tcW w:w="829" w:type="dxa"/>
            <w:vAlign w:val="center"/>
          </w:tcPr>
          <w:p w14:paraId="3AB5A8AF">
            <w:pPr>
              <w:widowControl/>
              <w:jc w:val="center"/>
              <w:textAlignment w:val="center"/>
              <w:rPr>
                <w:rFonts w:hint="eastAsia" w:ascii="宋体" w:hAnsi="宋体" w:eastAsia="宋体" w:cs="宋体"/>
                <w:color w:val="000000"/>
                <w:kern w:val="0"/>
                <w:sz w:val="24"/>
                <w:szCs w:val="24"/>
                <w:lang w:bidi="ar"/>
              </w:rPr>
            </w:pPr>
          </w:p>
        </w:tc>
      </w:tr>
      <w:tr w14:paraId="68FD3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trPr>
        <w:tc>
          <w:tcPr>
            <w:tcW w:w="627" w:type="dxa"/>
            <w:vAlign w:val="center"/>
          </w:tcPr>
          <w:p w14:paraId="43B8DC37">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46</w:t>
            </w:r>
          </w:p>
        </w:tc>
        <w:tc>
          <w:tcPr>
            <w:tcW w:w="1543" w:type="dxa"/>
            <w:vAlign w:val="center"/>
          </w:tcPr>
          <w:p w14:paraId="28FA5E31">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高效率高保真PCR酶</w:t>
            </w:r>
          </w:p>
        </w:tc>
        <w:tc>
          <w:tcPr>
            <w:tcW w:w="4551" w:type="dxa"/>
            <w:vAlign w:val="center"/>
          </w:tcPr>
          <w:p w14:paraId="7CA0F65E">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1.200U×1支，用于PCR实验，KOD高保真酶，含2种抗KOD单克隆抗体预混酶；</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2.保真性至少为为Taq DNA Polymerase的70 倍;</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3.对难以扩增的序列目的片段及长目的片段的可靠性（PCR成功率）更高。</w:t>
            </w:r>
          </w:p>
        </w:tc>
        <w:tc>
          <w:tcPr>
            <w:tcW w:w="912" w:type="dxa"/>
            <w:vAlign w:val="center"/>
          </w:tcPr>
          <w:p w14:paraId="70D3074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6FDE108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829" w:type="dxa"/>
            <w:vAlign w:val="center"/>
          </w:tcPr>
          <w:p w14:paraId="088325F1">
            <w:pPr>
              <w:widowControl/>
              <w:jc w:val="center"/>
              <w:textAlignment w:val="center"/>
              <w:rPr>
                <w:rFonts w:hint="eastAsia" w:ascii="宋体" w:hAnsi="宋体" w:eastAsia="宋体" w:cs="宋体"/>
                <w:color w:val="000000"/>
                <w:kern w:val="0"/>
                <w:sz w:val="24"/>
                <w:szCs w:val="24"/>
                <w:lang w:bidi="ar"/>
              </w:rPr>
            </w:pPr>
          </w:p>
        </w:tc>
      </w:tr>
      <w:tr w14:paraId="763AC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627" w:type="dxa"/>
            <w:vAlign w:val="center"/>
          </w:tcPr>
          <w:p w14:paraId="5CD9E6DF">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47</w:t>
            </w:r>
          </w:p>
        </w:tc>
        <w:tc>
          <w:tcPr>
            <w:tcW w:w="1543" w:type="dxa"/>
            <w:vAlign w:val="center"/>
          </w:tcPr>
          <w:p w14:paraId="15E2F60B">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酵母氮源（无氨基酸）</w:t>
            </w:r>
          </w:p>
        </w:tc>
        <w:tc>
          <w:tcPr>
            <w:tcW w:w="4551" w:type="dxa"/>
            <w:vAlign w:val="center"/>
          </w:tcPr>
          <w:p w14:paraId="7B6B1422">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1.500</w:t>
            </w:r>
            <w:r>
              <w:rPr>
                <w:rStyle w:val="14"/>
                <w:rFonts w:hint="eastAsia" w:ascii="宋体" w:hAnsi="宋体" w:eastAsia="宋体" w:cs="宋体"/>
                <w:sz w:val="24"/>
                <w:szCs w:val="24"/>
                <w:lang w:bidi="ar"/>
              </w:rPr>
              <w:t xml:space="preserve"> </w:t>
            </w:r>
            <w:r>
              <w:rPr>
                <w:rFonts w:hint="eastAsia" w:ascii="宋体" w:hAnsi="宋体" w:eastAsia="宋体" w:cs="宋体"/>
                <w:color w:val="000000"/>
                <w:kern w:val="0"/>
                <w:sz w:val="24"/>
                <w:szCs w:val="24"/>
                <w:lang w:bidi="ar"/>
              </w:rPr>
              <w:t>g/瓶，酵母氮源基础培养基</w:t>
            </w:r>
            <w:r>
              <w:rPr>
                <w:rStyle w:val="14"/>
                <w:rFonts w:hint="eastAsia" w:ascii="宋体" w:hAnsi="宋体" w:eastAsia="宋体" w:cs="宋体"/>
                <w:sz w:val="24"/>
                <w:szCs w:val="24"/>
                <w:lang w:bidi="ar"/>
              </w:rPr>
              <w:t xml:space="preserve"> </w:t>
            </w:r>
            <w:r>
              <w:rPr>
                <w:rFonts w:hint="eastAsia" w:ascii="宋体" w:hAnsi="宋体" w:eastAsia="宋体" w:cs="宋体"/>
                <w:color w:val="000000"/>
                <w:kern w:val="0"/>
                <w:sz w:val="24"/>
                <w:szCs w:val="24"/>
                <w:lang w:bidi="ar"/>
              </w:rPr>
              <w:t>(Yeast</w:t>
            </w:r>
            <w:r>
              <w:rPr>
                <w:rStyle w:val="14"/>
                <w:rFonts w:hint="eastAsia" w:ascii="宋体" w:hAnsi="宋体" w:eastAsia="宋体" w:cs="宋体"/>
                <w:sz w:val="24"/>
                <w:szCs w:val="24"/>
                <w:lang w:bidi="ar"/>
              </w:rPr>
              <w:t xml:space="preserve"> </w:t>
            </w:r>
            <w:r>
              <w:rPr>
                <w:rFonts w:hint="eastAsia" w:ascii="宋体" w:hAnsi="宋体" w:eastAsia="宋体" w:cs="宋体"/>
                <w:color w:val="000000"/>
                <w:kern w:val="0"/>
                <w:sz w:val="24"/>
                <w:szCs w:val="24"/>
                <w:lang w:bidi="ar"/>
              </w:rPr>
              <w:t>nitrogen</w:t>
            </w:r>
            <w:r>
              <w:rPr>
                <w:rStyle w:val="14"/>
                <w:rFonts w:hint="eastAsia" w:ascii="宋体" w:hAnsi="宋体" w:eastAsia="宋体" w:cs="宋体"/>
                <w:sz w:val="24"/>
                <w:szCs w:val="24"/>
                <w:lang w:bidi="ar"/>
              </w:rPr>
              <w:t xml:space="preserve"> </w:t>
            </w:r>
            <w:r>
              <w:rPr>
                <w:rFonts w:hint="eastAsia" w:ascii="宋体" w:hAnsi="宋体" w:eastAsia="宋体" w:cs="宋体"/>
                <w:color w:val="000000"/>
                <w:kern w:val="0"/>
                <w:sz w:val="24"/>
                <w:szCs w:val="24"/>
                <w:lang w:bidi="ar"/>
              </w:rPr>
              <w:t>base)</w:t>
            </w:r>
            <w:r>
              <w:rPr>
                <w:rStyle w:val="14"/>
                <w:rFonts w:hint="eastAsia" w:ascii="宋体" w:hAnsi="宋体" w:eastAsia="宋体" w:cs="宋体"/>
                <w:sz w:val="24"/>
                <w:szCs w:val="24"/>
                <w:lang w:bidi="ar"/>
              </w:rPr>
              <w:t xml:space="preserve"> </w:t>
            </w:r>
            <w:r>
              <w:rPr>
                <w:rFonts w:hint="eastAsia" w:ascii="宋体" w:hAnsi="宋体" w:eastAsia="宋体" w:cs="宋体"/>
                <w:color w:val="000000"/>
                <w:kern w:val="0"/>
                <w:sz w:val="24"/>
                <w:szCs w:val="24"/>
                <w:lang w:bidi="ar"/>
              </w:rPr>
              <w:t>即YNB培养基，是酵母营养缺陷型筛选培养基的组份本产品不含氨基酸。</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2.可为酵母菌提供不含氨基酸的氮源和生长因子。</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3.用于配制酵母菌营养缺陷型筛选培养基和表达培养基。</w:t>
            </w:r>
          </w:p>
        </w:tc>
        <w:tc>
          <w:tcPr>
            <w:tcW w:w="912" w:type="dxa"/>
            <w:vAlign w:val="center"/>
          </w:tcPr>
          <w:p w14:paraId="3AC202D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253DD9D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2D90FB08">
            <w:pPr>
              <w:widowControl/>
              <w:jc w:val="center"/>
              <w:textAlignment w:val="center"/>
              <w:rPr>
                <w:rFonts w:hint="eastAsia" w:ascii="宋体" w:hAnsi="宋体" w:eastAsia="宋体" w:cs="宋体"/>
                <w:color w:val="000000"/>
                <w:kern w:val="0"/>
                <w:sz w:val="24"/>
                <w:szCs w:val="24"/>
                <w:lang w:bidi="ar"/>
              </w:rPr>
            </w:pPr>
          </w:p>
        </w:tc>
      </w:tr>
      <w:tr w14:paraId="1237F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5" w:hRule="atLeast"/>
        </w:trPr>
        <w:tc>
          <w:tcPr>
            <w:tcW w:w="627" w:type="dxa"/>
            <w:vAlign w:val="center"/>
          </w:tcPr>
          <w:p w14:paraId="19A36197">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48</w:t>
            </w:r>
          </w:p>
        </w:tc>
        <w:tc>
          <w:tcPr>
            <w:tcW w:w="1543" w:type="dxa"/>
            <w:vAlign w:val="center"/>
          </w:tcPr>
          <w:p w14:paraId="552031F7">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酵母基因组DNA提取试剂盒</w:t>
            </w:r>
          </w:p>
        </w:tc>
        <w:tc>
          <w:tcPr>
            <w:tcW w:w="4551" w:type="dxa"/>
            <w:vAlign w:val="center"/>
          </w:tcPr>
          <w:p w14:paraId="64068054">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1.50T/盒，试剂盒采用高效、专一结合 DNA 的离心吸附柱和独特的缓冲液系统。</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2.提取酵母菌基因组DNA，样品裂解后，DNA 在高盐条件下与硅胶膜特异结合，在低盐、高 pH 值时 DNA 从硅胶膜上洗脱下来。</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3.纯化过的基因组 DNA 可直接用作 PCR 模板、酶切、杂交等分子生物学实验。</w:t>
            </w:r>
          </w:p>
        </w:tc>
        <w:tc>
          <w:tcPr>
            <w:tcW w:w="912" w:type="dxa"/>
            <w:vAlign w:val="center"/>
          </w:tcPr>
          <w:p w14:paraId="397C885F">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次</w:t>
            </w:r>
          </w:p>
        </w:tc>
        <w:tc>
          <w:tcPr>
            <w:tcW w:w="900" w:type="dxa"/>
            <w:vAlign w:val="center"/>
          </w:tcPr>
          <w:p w14:paraId="1BF85D1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200</w:t>
            </w:r>
          </w:p>
        </w:tc>
        <w:tc>
          <w:tcPr>
            <w:tcW w:w="829" w:type="dxa"/>
            <w:vAlign w:val="center"/>
          </w:tcPr>
          <w:p w14:paraId="2390FE74">
            <w:pPr>
              <w:widowControl/>
              <w:jc w:val="center"/>
              <w:textAlignment w:val="center"/>
              <w:rPr>
                <w:rFonts w:hint="eastAsia" w:ascii="宋体" w:hAnsi="宋体" w:eastAsia="宋体" w:cs="宋体"/>
                <w:color w:val="000000"/>
                <w:kern w:val="0"/>
                <w:sz w:val="24"/>
                <w:szCs w:val="24"/>
                <w:lang w:bidi="ar"/>
              </w:rPr>
            </w:pPr>
          </w:p>
        </w:tc>
      </w:tr>
      <w:tr w14:paraId="14C5B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627" w:type="dxa"/>
            <w:vAlign w:val="center"/>
          </w:tcPr>
          <w:p w14:paraId="77368F1F">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49</w:t>
            </w:r>
          </w:p>
        </w:tc>
        <w:tc>
          <w:tcPr>
            <w:tcW w:w="1543" w:type="dxa"/>
            <w:vAlign w:val="center"/>
          </w:tcPr>
          <w:p w14:paraId="2F960EDE">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Realtime PCR 用的逆转录试剂盒</w:t>
            </w:r>
          </w:p>
        </w:tc>
        <w:tc>
          <w:tcPr>
            <w:tcW w:w="4551" w:type="dxa"/>
            <w:vAlign w:val="center"/>
          </w:tcPr>
          <w:p w14:paraId="22B57762">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1.10μl 每反应体系，可以使用200次。2.添加了能强力分解DNA的gDNA Remover，在逆转录反应前对模板RNA进行处理，就可以简便地制备无基因组DNA的cDNA。</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3.本品为放置于-20℃也不会冻结的完全预混型试剂。只要添加模板RNA和水，就可以简便高效率地合成cDNA，且重复性良好。</w:t>
            </w:r>
          </w:p>
        </w:tc>
        <w:tc>
          <w:tcPr>
            <w:tcW w:w="912" w:type="dxa"/>
            <w:vAlign w:val="center"/>
          </w:tcPr>
          <w:p w14:paraId="53FF78D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57223FC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200</w:t>
            </w:r>
          </w:p>
        </w:tc>
        <w:tc>
          <w:tcPr>
            <w:tcW w:w="829" w:type="dxa"/>
            <w:vAlign w:val="center"/>
          </w:tcPr>
          <w:p w14:paraId="19852546">
            <w:pPr>
              <w:widowControl/>
              <w:jc w:val="center"/>
              <w:textAlignment w:val="center"/>
              <w:rPr>
                <w:rFonts w:hint="eastAsia" w:ascii="宋体" w:hAnsi="宋体" w:eastAsia="宋体" w:cs="宋体"/>
                <w:color w:val="000000"/>
                <w:kern w:val="0"/>
                <w:sz w:val="24"/>
                <w:szCs w:val="24"/>
                <w:lang w:bidi="ar"/>
              </w:rPr>
            </w:pPr>
          </w:p>
        </w:tc>
      </w:tr>
      <w:tr w14:paraId="10A43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627" w:type="dxa"/>
            <w:vAlign w:val="center"/>
          </w:tcPr>
          <w:p w14:paraId="04C72741">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50</w:t>
            </w:r>
          </w:p>
        </w:tc>
        <w:tc>
          <w:tcPr>
            <w:tcW w:w="1543" w:type="dxa"/>
            <w:vAlign w:val="center"/>
          </w:tcPr>
          <w:p w14:paraId="462168E0">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qPCR SYBR Green染料法预混试剂</w:t>
            </w:r>
          </w:p>
        </w:tc>
        <w:tc>
          <w:tcPr>
            <w:tcW w:w="4551" w:type="dxa"/>
            <w:vAlign w:val="center"/>
          </w:tcPr>
          <w:p w14:paraId="34C269D1">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2×实时定量PCR扩增的预混合溶液,含有荧光染料SYBR Green I，适用于染料法荧光定量PCR。5个1ml分装。</w:t>
            </w:r>
          </w:p>
        </w:tc>
        <w:tc>
          <w:tcPr>
            <w:tcW w:w="912" w:type="dxa"/>
            <w:vAlign w:val="center"/>
          </w:tcPr>
          <w:p w14:paraId="15B014C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mL</w:t>
            </w:r>
          </w:p>
        </w:tc>
        <w:tc>
          <w:tcPr>
            <w:tcW w:w="900" w:type="dxa"/>
            <w:vAlign w:val="center"/>
          </w:tcPr>
          <w:p w14:paraId="335B816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829" w:type="dxa"/>
            <w:vAlign w:val="center"/>
          </w:tcPr>
          <w:p w14:paraId="201285B5">
            <w:pPr>
              <w:widowControl/>
              <w:jc w:val="center"/>
              <w:textAlignment w:val="center"/>
              <w:rPr>
                <w:rFonts w:hint="eastAsia" w:ascii="宋体" w:hAnsi="宋体" w:eastAsia="宋体" w:cs="宋体"/>
                <w:color w:val="000000"/>
                <w:kern w:val="0"/>
                <w:sz w:val="24"/>
                <w:szCs w:val="24"/>
                <w:lang w:bidi="ar"/>
              </w:rPr>
            </w:pPr>
          </w:p>
        </w:tc>
      </w:tr>
      <w:tr w14:paraId="01008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627" w:type="dxa"/>
            <w:vAlign w:val="center"/>
          </w:tcPr>
          <w:p w14:paraId="1AE83E0B">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51</w:t>
            </w:r>
          </w:p>
        </w:tc>
        <w:tc>
          <w:tcPr>
            <w:tcW w:w="1543" w:type="dxa"/>
            <w:vAlign w:val="center"/>
          </w:tcPr>
          <w:p w14:paraId="06AE678F">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一次性医用无粉丁腈手套（M）</w:t>
            </w:r>
          </w:p>
        </w:tc>
        <w:tc>
          <w:tcPr>
            <w:tcW w:w="4551" w:type="dxa"/>
            <w:vAlign w:val="center"/>
          </w:tcPr>
          <w:p w14:paraId="1CE49E2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1.加长，医用，无粉，蓝色，麻面，独立包装，一次性丁腈手套。</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2.不含乳胶成分，弹力指数高，柔软指数高，防刺穿指数高，耐腐蚀指数高，防油污指数高。</w:t>
            </w:r>
          </w:p>
        </w:tc>
        <w:tc>
          <w:tcPr>
            <w:tcW w:w="912" w:type="dxa"/>
            <w:vAlign w:val="center"/>
          </w:tcPr>
          <w:p w14:paraId="02DABA56">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双</w:t>
            </w:r>
          </w:p>
        </w:tc>
        <w:tc>
          <w:tcPr>
            <w:tcW w:w="900" w:type="dxa"/>
            <w:vAlign w:val="center"/>
          </w:tcPr>
          <w:p w14:paraId="1C3811F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1000</w:t>
            </w:r>
          </w:p>
        </w:tc>
        <w:tc>
          <w:tcPr>
            <w:tcW w:w="829" w:type="dxa"/>
            <w:vAlign w:val="center"/>
          </w:tcPr>
          <w:p w14:paraId="386279FF">
            <w:pPr>
              <w:widowControl/>
              <w:jc w:val="center"/>
              <w:textAlignment w:val="center"/>
              <w:rPr>
                <w:rFonts w:hint="eastAsia" w:ascii="宋体" w:hAnsi="宋体" w:eastAsia="宋体" w:cs="宋体"/>
                <w:color w:val="000000"/>
                <w:kern w:val="0"/>
                <w:sz w:val="24"/>
                <w:szCs w:val="24"/>
                <w:lang w:bidi="ar"/>
              </w:rPr>
            </w:pPr>
          </w:p>
        </w:tc>
      </w:tr>
      <w:tr w14:paraId="0B3E4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627" w:type="dxa"/>
            <w:vAlign w:val="center"/>
          </w:tcPr>
          <w:p w14:paraId="308C3610">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52</w:t>
            </w:r>
          </w:p>
        </w:tc>
        <w:tc>
          <w:tcPr>
            <w:tcW w:w="1543" w:type="dxa"/>
            <w:vAlign w:val="center"/>
          </w:tcPr>
          <w:p w14:paraId="78DE637C">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医用口罩</w:t>
            </w:r>
          </w:p>
        </w:tc>
        <w:tc>
          <w:tcPr>
            <w:tcW w:w="4551" w:type="dxa"/>
            <w:vAlign w:val="center"/>
          </w:tcPr>
          <w:p w14:paraId="4601421F">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一次性医用口罩，环氧乙烷灭菌 ，独立包装。</w:t>
            </w:r>
          </w:p>
        </w:tc>
        <w:tc>
          <w:tcPr>
            <w:tcW w:w="912" w:type="dxa"/>
            <w:vAlign w:val="center"/>
          </w:tcPr>
          <w:p w14:paraId="578F9D3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只</w:t>
            </w:r>
          </w:p>
        </w:tc>
        <w:tc>
          <w:tcPr>
            <w:tcW w:w="900" w:type="dxa"/>
            <w:vAlign w:val="center"/>
          </w:tcPr>
          <w:p w14:paraId="2C9A571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2000</w:t>
            </w:r>
          </w:p>
        </w:tc>
        <w:tc>
          <w:tcPr>
            <w:tcW w:w="829" w:type="dxa"/>
            <w:vAlign w:val="center"/>
          </w:tcPr>
          <w:p w14:paraId="6BDE966E">
            <w:pPr>
              <w:widowControl/>
              <w:jc w:val="center"/>
              <w:textAlignment w:val="center"/>
              <w:rPr>
                <w:rFonts w:hint="eastAsia" w:ascii="宋体" w:hAnsi="宋体" w:eastAsia="宋体" w:cs="宋体"/>
                <w:color w:val="000000"/>
                <w:kern w:val="0"/>
                <w:sz w:val="24"/>
                <w:szCs w:val="24"/>
                <w:lang w:bidi="ar"/>
              </w:rPr>
            </w:pPr>
          </w:p>
        </w:tc>
      </w:tr>
      <w:tr w14:paraId="36FF4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627" w:type="dxa"/>
            <w:vAlign w:val="center"/>
          </w:tcPr>
          <w:p w14:paraId="763D5819">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53</w:t>
            </w:r>
          </w:p>
        </w:tc>
        <w:tc>
          <w:tcPr>
            <w:tcW w:w="1543" w:type="dxa"/>
            <w:vAlign w:val="center"/>
          </w:tcPr>
          <w:p w14:paraId="6E62652E">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酒精消毒湿巾</w:t>
            </w:r>
          </w:p>
        </w:tc>
        <w:tc>
          <w:tcPr>
            <w:tcW w:w="4551" w:type="dxa"/>
            <w:vAlign w:val="center"/>
          </w:tcPr>
          <w:p w14:paraId="6DD468E0">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消字号，酒精含量为</w:t>
            </w:r>
            <w:r>
              <w:rPr>
                <w:rStyle w:val="13"/>
                <w:rFonts w:hint="default" w:ascii="宋体" w:hAnsi="宋体" w:eastAsia="宋体" w:cs="宋体"/>
                <w:sz w:val="24"/>
                <w:szCs w:val="24"/>
                <w:lang w:bidi="ar"/>
              </w:rPr>
              <w:t>75%，100片/包，15*20cm，每片独立包装</w:t>
            </w:r>
          </w:p>
        </w:tc>
        <w:tc>
          <w:tcPr>
            <w:tcW w:w="912" w:type="dxa"/>
            <w:vAlign w:val="center"/>
          </w:tcPr>
          <w:p w14:paraId="0B6635D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片</w:t>
            </w:r>
          </w:p>
        </w:tc>
        <w:tc>
          <w:tcPr>
            <w:tcW w:w="900" w:type="dxa"/>
            <w:vAlign w:val="center"/>
          </w:tcPr>
          <w:p w14:paraId="3984F71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5000</w:t>
            </w:r>
          </w:p>
        </w:tc>
        <w:tc>
          <w:tcPr>
            <w:tcW w:w="829" w:type="dxa"/>
            <w:vAlign w:val="center"/>
          </w:tcPr>
          <w:p w14:paraId="36C9FC7B">
            <w:pPr>
              <w:widowControl/>
              <w:jc w:val="center"/>
              <w:textAlignment w:val="center"/>
              <w:rPr>
                <w:rFonts w:hint="eastAsia" w:ascii="宋体" w:hAnsi="宋体" w:eastAsia="宋体" w:cs="宋体"/>
                <w:color w:val="000000"/>
                <w:kern w:val="0"/>
                <w:sz w:val="24"/>
                <w:szCs w:val="24"/>
                <w:lang w:bidi="ar"/>
              </w:rPr>
            </w:pPr>
          </w:p>
        </w:tc>
      </w:tr>
      <w:tr w14:paraId="28B3C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627" w:type="dxa"/>
            <w:vAlign w:val="center"/>
          </w:tcPr>
          <w:p w14:paraId="0EF8F5DB">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54</w:t>
            </w:r>
          </w:p>
        </w:tc>
        <w:tc>
          <w:tcPr>
            <w:tcW w:w="1543" w:type="dxa"/>
            <w:vAlign w:val="center"/>
          </w:tcPr>
          <w:p w14:paraId="2B45B79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刀切纸</w:t>
            </w:r>
          </w:p>
        </w:tc>
        <w:tc>
          <w:tcPr>
            <w:tcW w:w="4551" w:type="dxa"/>
            <w:vAlign w:val="center"/>
          </w:tcPr>
          <w:p w14:paraId="17BAD0BF">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8包/箱，3层，原生木浆</w:t>
            </w:r>
          </w:p>
        </w:tc>
        <w:tc>
          <w:tcPr>
            <w:tcW w:w="912" w:type="dxa"/>
            <w:vAlign w:val="center"/>
          </w:tcPr>
          <w:p w14:paraId="7FEA4BF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箱</w:t>
            </w:r>
          </w:p>
        </w:tc>
        <w:tc>
          <w:tcPr>
            <w:tcW w:w="900" w:type="dxa"/>
            <w:vAlign w:val="center"/>
          </w:tcPr>
          <w:p w14:paraId="3D054ED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829" w:type="dxa"/>
            <w:vAlign w:val="center"/>
          </w:tcPr>
          <w:p w14:paraId="00B8B060">
            <w:pPr>
              <w:widowControl/>
              <w:jc w:val="center"/>
              <w:textAlignment w:val="center"/>
              <w:rPr>
                <w:rFonts w:hint="eastAsia" w:ascii="宋体" w:hAnsi="宋体" w:eastAsia="宋体" w:cs="宋体"/>
                <w:color w:val="000000"/>
                <w:kern w:val="0"/>
                <w:sz w:val="24"/>
                <w:szCs w:val="24"/>
                <w:lang w:bidi="ar"/>
              </w:rPr>
            </w:pPr>
          </w:p>
        </w:tc>
      </w:tr>
      <w:tr w14:paraId="2B279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627" w:type="dxa"/>
            <w:vAlign w:val="center"/>
          </w:tcPr>
          <w:p w14:paraId="1BB2D77F">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55</w:t>
            </w:r>
          </w:p>
        </w:tc>
        <w:tc>
          <w:tcPr>
            <w:tcW w:w="1543" w:type="dxa"/>
            <w:shd w:val="clear" w:color="auto" w:fill="FFFFFF"/>
            <w:vAlign w:val="center"/>
          </w:tcPr>
          <w:p w14:paraId="2D808ED7">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涂布棒（独立包装）</w:t>
            </w:r>
          </w:p>
        </w:tc>
        <w:tc>
          <w:tcPr>
            <w:tcW w:w="4551" w:type="dxa"/>
            <w:shd w:val="clear" w:color="auto" w:fill="FFFFFF"/>
            <w:vAlign w:val="center"/>
          </w:tcPr>
          <w:p w14:paraId="6D2C81AF">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1.1支/袋，100袋/包。</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2.用于细菌平板涂布实验和推板实验等,聚苯乙烯材质。</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3.EO灭菌，一次性使用。</w:t>
            </w:r>
          </w:p>
        </w:tc>
        <w:tc>
          <w:tcPr>
            <w:tcW w:w="912" w:type="dxa"/>
            <w:shd w:val="clear" w:color="auto" w:fill="FFFFFF"/>
            <w:vAlign w:val="center"/>
          </w:tcPr>
          <w:p w14:paraId="44B391E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2591507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1000</w:t>
            </w:r>
          </w:p>
        </w:tc>
        <w:tc>
          <w:tcPr>
            <w:tcW w:w="829" w:type="dxa"/>
            <w:vAlign w:val="center"/>
          </w:tcPr>
          <w:p w14:paraId="2A67E48A">
            <w:pPr>
              <w:widowControl/>
              <w:jc w:val="center"/>
              <w:textAlignment w:val="center"/>
              <w:rPr>
                <w:rFonts w:hint="eastAsia" w:ascii="宋体" w:hAnsi="宋体" w:eastAsia="宋体" w:cs="宋体"/>
                <w:color w:val="000000"/>
                <w:kern w:val="0"/>
                <w:sz w:val="24"/>
                <w:szCs w:val="24"/>
                <w:lang w:bidi="ar"/>
              </w:rPr>
            </w:pPr>
          </w:p>
        </w:tc>
      </w:tr>
      <w:tr w14:paraId="2424D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627" w:type="dxa"/>
            <w:vAlign w:val="center"/>
          </w:tcPr>
          <w:p w14:paraId="19E593C8">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56</w:t>
            </w:r>
          </w:p>
        </w:tc>
        <w:tc>
          <w:tcPr>
            <w:tcW w:w="1543" w:type="dxa"/>
            <w:vAlign w:val="center"/>
          </w:tcPr>
          <w:p w14:paraId="6B430263">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DTT溶液</w:t>
            </w:r>
          </w:p>
        </w:tc>
        <w:tc>
          <w:tcPr>
            <w:tcW w:w="4551" w:type="dxa"/>
            <w:vAlign w:val="center"/>
          </w:tcPr>
          <w:p w14:paraId="568A315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1mL/支，浓度1M</w:t>
            </w:r>
          </w:p>
        </w:tc>
        <w:tc>
          <w:tcPr>
            <w:tcW w:w="912" w:type="dxa"/>
            <w:vAlign w:val="center"/>
          </w:tcPr>
          <w:p w14:paraId="513AF03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4D378AF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829" w:type="dxa"/>
            <w:vAlign w:val="center"/>
          </w:tcPr>
          <w:p w14:paraId="2C364CFD">
            <w:pPr>
              <w:widowControl/>
              <w:jc w:val="center"/>
              <w:textAlignment w:val="center"/>
              <w:rPr>
                <w:rFonts w:hint="eastAsia" w:ascii="宋体" w:hAnsi="宋体" w:eastAsia="宋体" w:cs="宋体"/>
                <w:color w:val="000000"/>
                <w:kern w:val="0"/>
                <w:sz w:val="24"/>
                <w:szCs w:val="24"/>
                <w:lang w:bidi="ar"/>
              </w:rPr>
            </w:pPr>
          </w:p>
        </w:tc>
      </w:tr>
      <w:tr w14:paraId="0B7D1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627" w:type="dxa"/>
            <w:vAlign w:val="center"/>
          </w:tcPr>
          <w:p w14:paraId="1212E9F5">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57</w:t>
            </w:r>
          </w:p>
        </w:tc>
        <w:tc>
          <w:tcPr>
            <w:tcW w:w="1543" w:type="dxa"/>
            <w:vAlign w:val="center"/>
          </w:tcPr>
          <w:p w14:paraId="35C00D0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氯化锌滴定溶液标准物质</w:t>
            </w:r>
          </w:p>
        </w:tc>
        <w:tc>
          <w:tcPr>
            <w:tcW w:w="4551" w:type="dxa"/>
            <w:vAlign w:val="center"/>
          </w:tcPr>
          <w:p w14:paraId="6811B006">
            <w:pPr>
              <w:widowControl/>
              <w:jc w:val="center"/>
              <w:textAlignment w:val="center"/>
              <w:rPr>
                <w:rFonts w:hint="eastAsia" w:ascii="宋体" w:hAnsi="宋体" w:eastAsia="宋体" w:cs="宋体"/>
                <w:color w:val="000000"/>
                <w:sz w:val="24"/>
                <w:szCs w:val="24"/>
              </w:rPr>
            </w:pPr>
            <w:r>
              <w:rPr>
                <w:rStyle w:val="13"/>
                <w:rFonts w:hint="default" w:ascii="宋体" w:hAnsi="宋体" w:eastAsia="宋体" w:cs="宋体"/>
                <w:sz w:val="24"/>
                <w:szCs w:val="24"/>
                <w:lang w:bidi="ar"/>
              </w:rPr>
              <w:t>500mL</w:t>
            </w:r>
            <w:r>
              <w:rPr>
                <w:rStyle w:val="15"/>
                <w:rFonts w:hint="default" w:ascii="宋体" w:hAnsi="宋体" w:eastAsia="宋体" w:cs="宋体"/>
                <w:sz w:val="24"/>
                <w:szCs w:val="24"/>
                <w:lang w:bidi="ar"/>
              </w:rPr>
              <w:t>，c(ZnCl</w:t>
            </w:r>
            <w:r>
              <w:rPr>
                <w:rStyle w:val="16"/>
                <w:rFonts w:hint="default" w:ascii="宋体" w:hAnsi="宋体" w:eastAsia="宋体" w:cs="宋体"/>
                <w:sz w:val="24"/>
                <w:szCs w:val="24"/>
                <w:lang w:bidi="ar"/>
              </w:rPr>
              <w:t>2</w:t>
            </w:r>
            <w:r>
              <w:rPr>
                <w:rStyle w:val="15"/>
                <w:rFonts w:hint="default" w:ascii="宋体" w:hAnsi="宋体" w:eastAsia="宋体" w:cs="宋体"/>
                <w:sz w:val="24"/>
                <w:szCs w:val="24"/>
                <w:lang w:bidi="ar"/>
              </w:rPr>
              <w:t>)=0.02mol/L</w:t>
            </w:r>
          </w:p>
        </w:tc>
        <w:tc>
          <w:tcPr>
            <w:tcW w:w="912" w:type="dxa"/>
            <w:vAlign w:val="center"/>
          </w:tcPr>
          <w:p w14:paraId="479B83F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6610C2A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7E6AFC20">
            <w:pPr>
              <w:widowControl/>
              <w:jc w:val="center"/>
              <w:textAlignment w:val="center"/>
              <w:rPr>
                <w:rFonts w:hint="eastAsia" w:ascii="宋体" w:hAnsi="宋体" w:eastAsia="宋体" w:cs="宋体"/>
                <w:color w:val="000000"/>
                <w:kern w:val="0"/>
                <w:sz w:val="24"/>
                <w:szCs w:val="24"/>
                <w:lang w:bidi="ar"/>
              </w:rPr>
            </w:pPr>
          </w:p>
        </w:tc>
      </w:tr>
      <w:tr w14:paraId="20BD7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627" w:type="dxa"/>
            <w:vAlign w:val="center"/>
          </w:tcPr>
          <w:p w14:paraId="4E7B4E08">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58</w:t>
            </w:r>
          </w:p>
        </w:tc>
        <w:tc>
          <w:tcPr>
            <w:tcW w:w="1543" w:type="dxa"/>
            <w:vAlign w:val="center"/>
          </w:tcPr>
          <w:p w14:paraId="39791F6D">
            <w:pPr>
              <w:widowControl/>
              <w:jc w:val="left"/>
              <w:textAlignment w:val="center"/>
              <w:rPr>
                <w:rFonts w:hint="eastAsia" w:ascii="宋体" w:hAnsi="宋体" w:eastAsia="宋体" w:cs="宋体"/>
                <w:color w:val="000000"/>
                <w:sz w:val="24"/>
                <w:szCs w:val="24"/>
              </w:rPr>
            </w:pPr>
            <w:r>
              <w:rPr>
                <w:rStyle w:val="13"/>
                <w:rFonts w:hint="default" w:ascii="宋体" w:hAnsi="宋体" w:eastAsia="宋体" w:cs="宋体"/>
                <w:sz w:val="24"/>
                <w:szCs w:val="24"/>
                <w:lang w:bidi="ar"/>
              </w:rPr>
              <w:t>吐温 20</w:t>
            </w:r>
          </w:p>
        </w:tc>
        <w:tc>
          <w:tcPr>
            <w:tcW w:w="4551" w:type="dxa"/>
            <w:vAlign w:val="center"/>
          </w:tcPr>
          <w:p w14:paraId="266266B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500mL</w:t>
            </w:r>
          </w:p>
        </w:tc>
        <w:tc>
          <w:tcPr>
            <w:tcW w:w="912" w:type="dxa"/>
            <w:vAlign w:val="center"/>
          </w:tcPr>
          <w:p w14:paraId="79CDF53B">
            <w:pPr>
              <w:widowControl/>
              <w:jc w:val="center"/>
              <w:textAlignment w:val="center"/>
              <w:rPr>
                <w:rFonts w:hint="eastAsia" w:ascii="宋体" w:hAnsi="宋体" w:eastAsia="宋体" w:cs="宋体"/>
                <w:color w:val="000000"/>
                <w:sz w:val="24"/>
                <w:szCs w:val="24"/>
              </w:rPr>
            </w:pPr>
            <w:r>
              <w:rPr>
                <w:rStyle w:val="13"/>
                <w:rFonts w:hint="default" w:ascii="宋体" w:hAnsi="宋体" w:eastAsia="宋体" w:cs="宋体"/>
                <w:sz w:val="24"/>
                <w:szCs w:val="24"/>
                <w:lang w:bidi="ar"/>
              </w:rPr>
              <w:t>瓶</w:t>
            </w:r>
          </w:p>
        </w:tc>
        <w:tc>
          <w:tcPr>
            <w:tcW w:w="900" w:type="dxa"/>
            <w:vAlign w:val="center"/>
          </w:tcPr>
          <w:p w14:paraId="6B16466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5FDBEE8A">
            <w:pPr>
              <w:widowControl/>
              <w:jc w:val="center"/>
              <w:textAlignment w:val="center"/>
              <w:rPr>
                <w:rFonts w:hint="eastAsia" w:ascii="宋体" w:hAnsi="宋体" w:eastAsia="宋体" w:cs="宋体"/>
                <w:color w:val="000000"/>
                <w:kern w:val="0"/>
                <w:sz w:val="24"/>
                <w:szCs w:val="24"/>
                <w:lang w:bidi="ar"/>
              </w:rPr>
            </w:pPr>
          </w:p>
        </w:tc>
      </w:tr>
      <w:tr w14:paraId="4368A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627" w:type="dxa"/>
            <w:vAlign w:val="center"/>
          </w:tcPr>
          <w:p w14:paraId="7C283655">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59</w:t>
            </w:r>
          </w:p>
        </w:tc>
        <w:tc>
          <w:tcPr>
            <w:tcW w:w="1543" w:type="dxa"/>
            <w:vAlign w:val="center"/>
          </w:tcPr>
          <w:p w14:paraId="40F61BC1">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50mM Hepes Solution</w:t>
            </w:r>
          </w:p>
        </w:tc>
        <w:tc>
          <w:tcPr>
            <w:tcW w:w="4551" w:type="dxa"/>
            <w:vAlign w:val="center"/>
          </w:tcPr>
          <w:p w14:paraId="7E0AE23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500mL/瓶，pH7.5,无菌</w:t>
            </w:r>
          </w:p>
        </w:tc>
        <w:tc>
          <w:tcPr>
            <w:tcW w:w="912" w:type="dxa"/>
            <w:vAlign w:val="center"/>
          </w:tcPr>
          <w:p w14:paraId="422D3B2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4250438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829" w:type="dxa"/>
            <w:vAlign w:val="center"/>
          </w:tcPr>
          <w:p w14:paraId="3A14AA22">
            <w:pPr>
              <w:widowControl/>
              <w:jc w:val="center"/>
              <w:textAlignment w:val="center"/>
              <w:rPr>
                <w:rFonts w:hint="eastAsia" w:ascii="宋体" w:hAnsi="宋体" w:eastAsia="宋体" w:cs="宋体"/>
                <w:color w:val="000000"/>
                <w:kern w:val="0"/>
                <w:sz w:val="24"/>
                <w:szCs w:val="24"/>
                <w:lang w:bidi="ar"/>
              </w:rPr>
            </w:pPr>
          </w:p>
        </w:tc>
      </w:tr>
      <w:tr w14:paraId="58D95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627" w:type="dxa"/>
            <w:vAlign w:val="center"/>
          </w:tcPr>
          <w:p w14:paraId="08E775E5">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60</w:t>
            </w:r>
          </w:p>
        </w:tc>
        <w:tc>
          <w:tcPr>
            <w:tcW w:w="1543" w:type="dxa"/>
            <w:vAlign w:val="center"/>
          </w:tcPr>
          <w:p w14:paraId="04FB9E32">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载玻片</w:t>
            </w:r>
          </w:p>
        </w:tc>
        <w:tc>
          <w:tcPr>
            <w:tcW w:w="4551" w:type="dxa"/>
            <w:vAlign w:val="center"/>
          </w:tcPr>
          <w:p w14:paraId="1A9B6B63">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 50片/盒。</w:t>
            </w:r>
          </w:p>
        </w:tc>
        <w:tc>
          <w:tcPr>
            <w:tcW w:w="912" w:type="dxa"/>
            <w:vAlign w:val="center"/>
          </w:tcPr>
          <w:p w14:paraId="5A1A1AF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盒</w:t>
            </w:r>
          </w:p>
        </w:tc>
        <w:tc>
          <w:tcPr>
            <w:tcW w:w="900" w:type="dxa"/>
            <w:vAlign w:val="center"/>
          </w:tcPr>
          <w:p w14:paraId="45BA837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20</w:t>
            </w:r>
          </w:p>
        </w:tc>
        <w:tc>
          <w:tcPr>
            <w:tcW w:w="829" w:type="dxa"/>
            <w:vAlign w:val="center"/>
          </w:tcPr>
          <w:p w14:paraId="16ECCF8E">
            <w:pPr>
              <w:widowControl/>
              <w:jc w:val="center"/>
              <w:textAlignment w:val="center"/>
              <w:rPr>
                <w:rFonts w:hint="eastAsia" w:ascii="宋体" w:hAnsi="宋体" w:eastAsia="宋体" w:cs="宋体"/>
                <w:color w:val="000000"/>
                <w:kern w:val="0"/>
                <w:sz w:val="24"/>
                <w:szCs w:val="24"/>
                <w:lang w:bidi="ar"/>
              </w:rPr>
            </w:pPr>
          </w:p>
        </w:tc>
      </w:tr>
      <w:tr w14:paraId="21EDE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627" w:type="dxa"/>
            <w:vAlign w:val="center"/>
          </w:tcPr>
          <w:p w14:paraId="50190BFD">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61</w:t>
            </w:r>
          </w:p>
        </w:tc>
        <w:tc>
          <w:tcPr>
            <w:tcW w:w="1543" w:type="dxa"/>
            <w:vAlign w:val="center"/>
          </w:tcPr>
          <w:p w14:paraId="23AF1905">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一次性塑料摇菌管</w:t>
            </w:r>
          </w:p>
        </w:tc>
        <w:tc>
          <w:tcPr>
            <w:tcW w:w="4551" w:type="dxa"/>
            <w:vAlign w:val="center"/>
          </w:tcPr>
          <w:p w14:paraId="653D3B32">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1.体积12mL容量，50支/包，每支灭菌独立包装。</w:t>
            </w:r>
          </w:p>
        </w:tc>
        <w:tc>
          <w:tcPr>
            <w:tcW w:w="912" w:type="dxa"/>
            <w:vAlign w:val="center"/>
          </w:tcPr>
          <w:p w14:paraId="4FCDBAC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5C4003B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500</w:t>
            </w:r>
          </w:p>
        </w:tc>
        <w:tc>
          <w:tcPr>
            <w:tcW w:w="829" w:type="dxa"/>
            <w:vAlign w:val="center"/>
          </w:tcPr>
          <w:p w14:paraId="3DF25DA7">
            <w:pPr>
              <w:widowControl/>
              <w:jc w:val="center"/>
              <w:textAlignment w:val="center"/>
              <w:rPr>
                <w:rFonts w:hint="eastAsia" w:ascii="宋体" w:hAnsi="宋体" w:eastAsia="宋体" w:cs="宋体"/>
                <w:color w:val="000000"/>
                <w:kern w:val="0"/>
                <w:sz w:val="24"/>
                <w:szCs w:val="24"/>
                <w:lang w:bidi="ar"/>
              </w:rPr>
            </w:pPr>
          </w:p>
        </w:tc>
      </w:tr>
      <w:tr w14:paraId="6128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0" w:hRule="atLeast"/>
        </w:trPr>
        <w:tc>
          <w:tcPr>
            <w:tcW w:w="627" w:type="dxa"/>
            <w:vAlign w:val="center"/>
          </w:tcPr>
          <w:p w14:paraId="741559B1">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62</w:t>
            </w:r>
          </w:p>
        </w:tc>
        <w:tc>
          <w:tcPr>
            <w:tcW w:w="1543" w:type="dxa"/>
            <w:vAlign w:val="center"/>
          </w:tcPr>
          <w:p w14:paraId="45885565">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全国传染病呼吸道多病原核酸检测试剂盒</w:t>
            </w:r>
          </w:p>
        </w:tc>
        <w:tc>
          <w:tcPr>
            <w:tcW w:w="4551" w:type="dxa"/>
            <w:vAlign w:val="center"/>
          </w:tcPr>
          <w:p w14:paraId="422578F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适用范围：适用于定性检测从血液、脑脊液等无菌部位样本中提取的脑膜炎奈瑟菌、百日咳鲍特菌、白喉棒状杆菌、肺炎支原体、军团菌、鹦鹉热衣原体、侵袭性肺炎链球菌、侵袭性流感嗜血杆菌、肺炎克雷伯菌、A 族链球菌、B 族链球菌、曲霉菌、隐球菌、念珠菌、人博卡病毒、人细小病毒 B19、水痘-带状疱疹病毒、BK 多瘤病毒、JC 多瘤病毒的核酸。</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2.反应体系：可根据需要提供拆卸的96孔板（0.1ml或0.2ml）全混预分装体系包装，每个反应孔核酸体积≤5μL，终体积≤25μL，核酸上样孔数≤7孔，同品牌多个不同试剂可使用同一扩增程序上机使用。</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 xml:space="preserve">3.检测性能：灵敏度最低500copies/mL，与其他病原菌均无交叉反应。 </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4.试剂同品牌厂家免费提供qPCR分析软件进行多病原核酸检测结果判读，一键即可完成多种病原体的结果判读，判读的试剂盒种类应覆盖≥500种常见病原微生物的核酸检测试剂盒。</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5.质量控制：含有1管阴性对照和1管阳性对照，便于结果判定。</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6.有效期：-20±5℃保存，有效期不低于12个月，冻融次数≥7次。</w:t>
            </w:r>
          </w:p>
        </w:tc>
        <w:tc>
          <w:tcPr>
            <w:tcW w:w="912" w:type="dxa"/>
            <w:vAlign w:val="center"/>
          </w:tcPr>
          <w:p w14:paraId="6A2EF0D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11EFF06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60</w:t>
            </w:r>
          </w:p>
        </w:tc>
        <w:tc>
          <w:tcPr>
            <w:tcW w:w="829" w:type="dxa"/>
            <w:vAlign w:val="center"/>
          </w:tcPr>
          <w:p w14:paraId="6F177084">
            <w:pPr>
              <w:widowControl/>
              <w:jc w:val="center"/>
              <w:textAlignment w:val="center"/>
              <w:rPr>
                <w:rFonts w:hint="eastAsia" w:ascii="宋体" w:hAnsi="宋体" w:eastAsia="宋体" w:cs="宋体"/>
                <w:color w:val="000000"/>
                <w:kern w:val="0"/>
                <w:sz w:val="24"/>
                <w:szCs w:val="24"/>
                <w:lang w:bidi="ar"/>
              </w:rPr>
            </w:pPr>
          </w:p>
        </w:tc>
      </w:tr>
      <w:tr w14:paraId="5C0E5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627" w:type="dxa"/>
            <w:vAlign w:val="center"/>
          </w:tcPr>
          <w:p w14:paraId="4AE6B06E">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63</w:t>
            </w:r>
          </w:p>
        </w:tc>
        <w:tc>
          <w:tcPr>
            <w:tcW w:w="1543" w:type="dxa"/>
            <w:vAlign w:val="center"/>
          </w:tcPr>
          <w:p w14:paraId="456C27AE">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全国传染病自然疫源多病原核酸检测试剂盒</w:t>
            </w:r>
          </w:p>
        </w:tc>
        <w:tc>
          <w:tcPr>
            <w:tcW w:w="4551" w:type="dxa"/>
            <w:vAlign w:val="center"/>
          </w:tcPr>
          <w:p w14:paraId="6DF1F522">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适用范围：适用于定性检测从血液、脑脊液、咽拭子及培养物等样本中提取的鼠疫耶尔森菌、布鲁氏菌、炭疽芽胞杆菌、鼻疽伯克霍尔德菌、类鼻疽伯克霍尔德菌、猪链球菌、钩端螺旋体（致病性）、乙型脑炎病毒、汉坦病毒、克里米亚-刚果出血热病毒、西尼罗病毒、发热伴血小板减少综合征病毒（新型布尼亚病毒/大别班达病毒）、狂犬病毒、塔姆德病毒、伪狂犬病毒、塔黑纳病毒、淋巴细胞脉络丛脑膜炎病毒的核酸。</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2.反应体系：可根据需要提供拆卸的96孔板（0.1ml或0.2ml）全混预分装体系包装，每个反应孔核酸体积≤5μL，终体积≤25μL，核酸上样孔数≤6孔，同品牌多个不同试剂可使用同一扩增程序上机使用。</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3.检测性能：灵敏度最低500copies/mL，与其他病原菌均无交叉反应。</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4.试剂同品牌厂家免费提供qPCR分析软件进行多病原核酸检测结果判读，一键即可完成多种病原体的结果判读，判读的试剂盒种类应覆盖≥500种常见病原微生物的核酸检测试剂盒。</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5.质量控制：含有1管阴性对照和1管阳性对照，便于结果判定。</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6.有效期：-20±5℃保存，有效期≥12个月，冻融次数≥7次。</w:t>
            </w:r>
          </w:p>
        </w:tc>
        <w:tc>
          <w:tcPr>
            <w:tcW w:w="912" w:type="dxa"/>
            <w:vAlign w:val="center"/>
          </w:tcPr>
          <w:p w14:paraId="483C6ED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377F3A5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40</w:t>
            </w:r>
          </w:p>
        </w:tc>
        <w:tc>
          <w:tcPr>
            <w:tcW w:w="829" w:type="dxa"/>
            <w:vAlign w:val="center"/>
          </w:tcPr>
          <w:p w14:paraId="2EDC9331">
            <w:pPr>
              <w:widowControl/>
              <w:jc w:val="center"/>
              <w:textAlignment w:val="center"/>
              <w:rPr>
                <w:rFonts w:hint="eastAsia" w:ascii="宋体" w:hAnsi="宋体" w:eastAsia="宋体" w:cs="宋体"/>
                <w:color w:val="000000"/>
                <w:kern w:val="0"/>
                <w:sz w:val="24"/>
                <w:szCs w:val="24"/>
                <w:lang w:bidi="ar"/>
              </w:rPr>
            </w:pPr>
          </w:p>
        </w:tc>
      </w:tr>
      <w:tr w14:paraId="0D3F0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0" w:hRule="atLeast"/>
        </w:trPr>
        <w:tc>
          <w:tcPr>
            <w:tcW w:w="627" w:type="dxa"/>
            <w:vAlign w:val="center"/>
          </w:tcPr>
          <w:p w14:paraId="6CBFD3CB">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64</w:t>
            </w:r>
          </w:p>
        </w:tc>
        <w:tc>
          <w:tcPr>
            <w:tcW w:w="1543" w:type="dxa"/>
            <w:vAlign w:val="center"/>
          </w:tcPr>
          <w:p w14:paraId="0AB00D64">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全国传染病肠道多病原核酸检测试剂盒</w:t>
            </w:r>
          </w:p>
        </w:tc>
        <w:tc>
          <w:tcPr>
            <w:tcW w:w="4551" w:type="dxa"/>
            <w:vAlign w:val="center"/>
          </w:tcPr>
          <w:p w14:paraId="3A6F9BEF">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适用范围：适用于定性检测从粪便、肛拭子、呕吐物及培养物等样本中提取的霍乱弧菌、产肠毒素及志贺毒素的大肠埃希菌、志贺菌、伤寒和副伤寒沙门菌、空肠弯曲菌、结肠弯曲菌、小肠结肠炎耶尔森菌、甲肝病毒、戊肝病毒、心病毒、库赛病毒、嵴病毒、人副肠孤病毒等肠道病原的核酸。</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2.反应体系：可根据需要提供拆卸的96孔板（0.1ml或0.2ml）全混预分装体系包装，每个反应孔核酸体积≤5μL，终体积≤25μL，核酸上样孔数≤7孔，同品牌多个不同试剂可使用同一扩增程序上机使用。</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3.检测性能：灵敏度最低500copies/mL，与其他病原菌均无交叉反应。</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4.试剂同品牌厂家免费提供qPCR分析软件进行多病原核酸检测结果判读，一键即可完成多种病原体的结果判读，判读的试剂盒种类应覆盖≥500种常见病原微生物的核酸检测试剂盒。</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5.质量控制：含有1管阴性对照和1管阳性对照，便于结果判定。</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6.有效期：-20±5℃保存，有效期不低于12个月。</w:t>
            </w:r>
          </w:p>
        </w:tc>
        <w:tc>
          <w:tcPr>
            <w:tcW w:w="912" w:type="dxa"/>
            <w:vAlign w:val="center"/>
          </w:tcPr>
          <w:p w14:paraId="443E52D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6DA4966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60</w:t>
            </w:r>
          </w:p>
        </w:tc>
        <w:tc>
          <w:tcPr>
            <w:tcW w:w="829" w:type="dxa"/>
            <w:vAlign w:val="center"/>
          </w:tcPr>
          <w:p w14:paraId="5027617C">
            <w:pPr>
              <w:widowControl/>
              <w:jc w:val="center"/>
              <w:textAlignment w:val="center"/>
              <w:rPr>
                <w:rFonts w:hint="eastAsia" w:ascii="宋体" w:hAnsi="宋体" w:eastAsia="宋体" w:cs="宋体"/>
                <w:color w:val="000000"/>
                <w:kern w:val="0"/>
                <w:sz w:val="24"/>
                <w:szCs w:val="24"/>
                <w:lang w:bidi="ar"/>
              </w:rPr>
            </w:pPr>
          </w:p>
        </w:tc>
      </w:tr>
      <w:tr w14:paraId="2CAF2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9" w:hRule="atLeast"/>
        </w:trPr>
        <w:tc>
          <w:tcPr>
            <w:tcW w:w="627" w:type="dxa"/>
            <w:vAlign w:val="center"/>
          </w:tcPr>
          <w:p w14:paraId="5C4693E7">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65</w:t>
            </w:r>
          </w:p>
        </w:tc>
        <w:tc>
          <w:tcPr>
            <w:tcW w:w="1543" w:type="dxa"/>
            <w:vAlign w:val="center"/>
          </w:tcPr>
          <w:p w14:paraId="6D4DB3F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腹泻症候群18种病原体超多重核酸检测试剂盒（溶解曲线法）</w:t>
            </w:r>
          </w:p>
        </w:tc>
        <w:tc>
          <w:tcPr>
            <w:tcW w:w="4551" w:type="dxa"/>
            <w:vAlign w:val="center"/>
          </w:tcPr>
          <w:p w14:paraId="28AE9943">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25T/盒;适用仪器：经过多通道校正的全自动荧光PCR检测仪；针对腹泻症候群18种病原体进行核酸检测，至少包含</w:t>
            </w:r>
            <w:r>
              <w:rPr>
                <w:rStyle w:val="13"/>
                <w:rFonts w:hint="default" w:ascii="宋体" w:hAnsi="宋体" w:eastAsia="宋体" w:cs="宋体"/>
                <w:sz w:val="24"/>
                <w:szCs w:val="24"/>
                <w:lang w:bidi="ar"/>
              </w:rPr>
              <w:t>霍乱弧菌、副溶血弧菌、沙门菌、志贺菌、致泻性大肠杆菌、空肠弯曲菌、结肠弯曲菌、小肠结肠耶尔森菌、艰难梭菌、阪崎克罗诺杆菌、嗜水气单胞</w:t>
            </w:r>
            <w:r>
              <w:rPr>
                <w:rFonts w:hint="eastAsia" w:ascii="宋体" w:hAnsi="宋体" w:eastAsia="宋体" w:cs="宋体"/>
                <w:color w:val="000000"/>
                <w:kern w:val="0"/>
                <w:sz w:val="24"/>
                <w:szCs w:val="24"/>
                <w:lang w:bidi="ar"/>
              </w:rPr>
              <w:t>菌、类志贺邻单胞菌、河弧菌、诺如病毒GI、诺如病毒GII、轮状病毒A组、轮状病毒B组、轮状病毒C组、星状病毒、札如病毒、肠道腺病毒共32个靶标基因；试剂盒共用同一套反应体系及扩增程序，每管反应体系≤20ul。反应组分：酶液仅需一管，即可完成所有病原检测；阴阳性对照各一管。双维判定：根据各病原体在不同荧光检测通道中熔点温度不同，通过病原体特异的Tm值进行阴阳性鉴别检测；同时依据不同病原体PCR扩增过程中，荧光信号进入指数增长阶段拐点所对应的Ct值，来判定样本的起始浓度范围；自动分析：针对上述所有适配机型，均配备有专用的判读辅助软件，直接报告结果的阴阳性和Ct值；也可查看原始曲线，进行结果判读。可导出Excel结果汇总表，汇总样本序号、靶标名称、结果阴阳性等信息。</w:t>
            </w:r>
          </w:p>
        </w:tc>
        <w:tc>
          <w:tcPr>
            <w:tcW w:w="912" w:type="dxa"/>
            <w:vAlign w:val="center"/>
          </w:tcPr>
          <w:p w14:paraId="0FB440F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10246AA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w:t>
            </w:r>
          </w:p>
        </w:tc>
        <w:tc>
          <w:tcPr>
            <w:tcW w:w="829" w:type="dxa"/>
            <w:vAlign w:val="center"/>
          </w:tcPr>
          <w:p w14:paraId="4688A856">
            <w:pPr>
              <w:widowControl/>
              <w:jc w:val="center"/>
              <w:textAlignment w:val="center"/>
              <w:rPr>
                <w:rFonts w:hint="eastAsia" w:ascii="宋体" w:hAnsi="宋体" w:eastAsia="宋体" w:cs="宋体"/>
                <w:color w:val="000000"/>
                <w:kern w:val="0"/>
                <w:sz w:val="24"/>
                <w:szCs w:val="24"/>
                <w:lang w:bidi="ar"/>
              </w:rPr>
            </w:pPr>
          </w:p>
        </w:tc>
      </w:tr>
      <w:tr w14:paraId="5870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0" w:hRule="atLeast"/>
        </w:trPr>
        <w:tc>
          <w:tcPr>
            <w:tcW w:w="627" w:type="dxa"/>
            <w:vAlign w:val="center"/>
          </w:tcPr>
          <w:p w14:paraId="48CCC2F3">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66</w:t>
            </w:r>
          </w:p>
        </w:tc>
        <w:tc>
          <w:tcPr>
            <w:tcW w:w="1543" w:type="dxa"/>
            <w:vAlign w:val="center"/>
          </w:tcPr>
          <w:p w14:paraId="797DDED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呼吸道症候群21种病原体超多重核酸检测试剂盒（溶解曲线法）</w:t>
            </w:r>
          </w:p>
        </w:tc>
        <w:tc>
          <w:tcPr>
            <w:tcW w:w="4551" w:type="dxa"/>
            <w:vAlign w:val="center"/>
          </w:tcPr>
          <w:p w14:paraId="7E20DA3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T/盒;适用仪器：经过多通道校正的全自动荧光PCR检测仪;检测范围：针对呼吸道症候群21种病原体进行核酸检测，至少包含新冠病毒、流感病毒、呼吸道合胞病毒、腺病毒、人偏肺病毒、副流感病毒、普通冠状病毒、博卡病毒、鼻病毒、肠道病毒、肺炎支原体、A 族链球菌、百日咳鲍特菌、肺炎链球菌、流感嗜血杆菌、军团菌、肺炎克雷伯菌、曲霉菌、隐球菌、鹦鹉热衣原体、肺炎衣原体等，不少于21重检测靶标。试剂盒共用同一套反应体系及扩增程序，每管反应体系≤20ul。反应组分：酶液仅需一管，即可完成所有病原检测；阴阳性对照各一管。双维判定：根据各病原体在不同荧光检测通道中熔点温度不同，通过病原体特异的Tm值进行阴阳性鉴别检测；同时依据不同病原体PCR扩增过程中，荧光信号进入指数增长阶段拐点所对应的Ct值，来判定样本的起始浓度范围；自动分析：针对上述所有适配机型，均配备有专用的判读辅助软件，直接报告结果的阴阳性和Ct值；也可查看原始曲线，进行结果判读。可导出Excel结果汇总表，汇总样本序号、靶标名称、结果阴阳性等信息。</w:t>
            </w:r>
          </w:p>
        </w:tc>
        <w:tc>
          <w:tcPr>
            <w:tcW w:w="912" w:type="dxa"/>
            <w:vAlign w:val="center"/>
          </w:tcPr>
          <w:p w14:paraId="24BC4606">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72DB828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w:t>
            </w:r>
          </w:p>
        </w:tc>
        <w:tc>
          <w:tcPr>
            <w:tcW w:w="829" w:type="dxa"/>
            <w:vAlign w:val="center"/>
          </w:tcPr>
          <w:p w14:paraId="3C14BEE7">
            <w:pPr>
              <w:widowControl/>
              <w:jc w:val="center"/>
              <w:textAlignment w:val="center"/>
              <w:rPr>
                <w:rFonts w:hint="eastAsia" w:ascii="宋体" w:hAnsi="宋体" w:eastAsia="宋体" w:cs="宋体"/>
                <w:color w:val="000000"/>
                <w:kern w:val="0"/>
                <w:sz w:val="24"/>
                <w:szCs w:val="24"/>
                <w:lang w:bidi="ar"/>
              </w:rPr>
            </w:pPr>
          </w:p>
        </w:tc>
      </w:tr>
      <w:tr w14:paraId="1EEA8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6" w:hRule="atLeast"/>
        </w:trPr>
        <w:tc>
          <w:tcPr>
            <w:tcW w:w="627" w:type="dxa"/>
            <w:vAlign w:val="center"/>
          </w:tcPr>
          <w:p w14:paraId="59834E52">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67</w:t>
            </w:r>
          </w:p>
        </w:tc>
        <w:tc>
          <w:tcPr>
            <w:tcW w:w="1543" w:type="dxa"/>
            <w:vAlign w:val="center"/>
          </w:tcPr>
          <w:p w14:paraId="4E7AADE3">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血液与组织核酸提取试剂盒</w:t>
            </w:r>
          </w:p>
        </w:tc>
        <w:tc>
          <w:tcPr>
            <w:tcW w:w="4551" w:type="dxa"/>
            <w:vAlign w:val="center"/>
          </w:tcPr>
          <w:p w14:paraId="11301228">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1、纯化对象：总 DNA（基因组、线粒体、病原体）；</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2、样本用量：血液100 μl / 组织25 mg ；3、洗脱体积：100–200 μl ；</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4、提取时长：20分钟–1小时 ；</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5、DNA得率：最高6–30 μg ；</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6、纯化技术：硅胶膜特异性结合 ；</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7、操作形式：手动离心柱。</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8、适用样本：血液、组织、细胞、细菌、酵母、毛发、昆虫等</w:t>
            </w:r>
          </w:p>
        </w:tc>
        <w:tc>
          <w:tcPr>
            <w:tcW w:w="912" w:type="dxa"/>
            <w:vAlign w:val="center"/>
          </w:tcPr>
          <w:p w14:paraId="26D0BCC6">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34ABA8C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w:t>
            </w:r>
          </w:p>
        </w:tc>
        <w:tc>
          <w:tcPr>
            <w:tcW w:w="829" w:type="dxa"/>
            <w:vAlign w:val="center"/>
          </w:tcPr>
          <w:p w14:paraId="5EE4D08B">
            <w:pPr>
              <w:widowControl/>
              <w:jc w:val="center"/>
              <w:textAlignment w:val="center"/>
              <w:rPr>
                <w:rFonts w:hint="eastAsia" w:ascii="宋体" w:hAnsi="宋体" w:eastAsia="宋体" w:cs="宋体"/>
                <w:color w:val="000000"/>
                <w:kern w:val="0"/>
                <w:sz w:val="24"/>
                <w:szCs w:val="24"/>
                <w:lang w:bidi="ar"/>
              </w:rPr>
            </w:pPr>
          </w:p>
        </w:tc>
      </w:tr>
    </w:tbl>
    <w:p w14:paraId="02A13FCC">
      <w:pPr>
        <w:widowControl/>
        <w:jc w:val="center"/>
        <w:textAlignment w:val="center"/>
        <w:rPr>
          <w:rFonts w:hint="eastAsia" w:ascii="宋体" w:hAnsi="宋体" w:eastAsia="宋体" w:cs="宋体"/>
          <w:b/>
          <w:bCs/>
          <w:color w:val="000000"/>
          <w:kern w:val="0"/>
          <w:sz w:val="24"/>
          <w:szCs w:val="24"/>
          <w:lang w:bidi="ar"/>
        </w:rPr>
      </w:pPr>
      <w:r>
        <w:rPr>
          <w:rFonts w:hint="eastAsia" w:ascii="宋体" w:hAnsi="宋体" w:eastAsia="宋体" w:cs="宋体"/>
          <w:b/>
          <w:bCs/>
          <w:color w:val="000000"/>
          <w:kern w:val="0"/>
          <w:sz w:val="24"/>
          <w:szCs w:val="24"/>
          <w:lang w:bidi="ar"/>
        </w:rPr>
        <w:br w:type="page"/>
      </w:r>
    </w:p>
    <w:tbl>
      <w:tblPr>
        <w:tblStyle w:val="4"/>
        <w:tblW w:w="9362"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1543"/>
        <w:gridCol w:w="4551"/>
        <w:gridCol w:w="912"/>
        <w:gridCol w:w="900"/>
        <w:gridCol w:w="829"/>
      </w:tblGrid>
      <w:tr w14:paraId="785D4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4" w:hRule="atLeast"/>
        </w:trPr>
        <w:tc>
          <w:tcPr>
            <w:tcW w:w="627" w:type="dxa"/>
            <w:vAlign w:val="center"/>
          </w:tcPr>
          <w:p w14:paraId="48805E9C">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68</w:t>
            </w:r>
          </w:p>
        </w:tc>
        <w:tc>
          <w:tcPr>
            <w:tcW w:w="1543" w:type="dxa"/>
            <w:vAlign w:val="center"/>
          </w:tcPr>
          <w:p w14:paraId="57B207F1">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粪便样本高效提取试剂盒</w:t>
            </w:r>
          </w:p>
        </w:tc>
        <w:tc>
          <w:tcPr>
            <w:tcW w:w="4551" w:type="dxa"/>
            <w:vAlign w:val="center"/>
          </w:tcPr>
          <w:p w14:paraId="46B4173C">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1、纯化对象：粪便/肠道样本微生物总DNA（细菌、真菌、古菌）；</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2、样本用量：50–250 mg粪便/肠道样本 ；3、解方式：机械珠磨+化学裂解，含0.1/0.5 mm 混合氧化锆珠，混合研磨珠高效破碎细菌、真菌、古菌；</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4、纯度指标：A260/A280≈1.8，无PCR抑制剂 ；</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5、得率优势：DNA 产量最高提升 20 倍，α多样性更高 ；</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6、纯化原理：硅胶膜离心柱特异性结合 DNA ；</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7、操作形式：手动离心柱。</w:t>
            </w:r>
          </w:p>
        </w:tc>
        <w:tc>
          <w:tcPr>
            <w:tcW w:w="912" w:type="dxa"/>
            <w:vAlign w:val="center"/>
          </w:tcPr>
          <w:p w14:paraId="75DAE39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101B0B4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w:t>
            </w:r>
          </w:p>
        </w:tc>
        <w:tc>
          <w:tcPr>
            <w:tcW w:w="829" w:type="dxa"/>
            <w:vAlign w:val="center"/>
          </w:tcPr>
          <w:p w14:paraId="6871C9FC">
            <w:pPr>
              <w:widowControl/>
              <w:jc w:val="center"/>
              <w:textAlignment w:val="center"/>
              <w:rPr>
                <w:rFonts w:hint="eastAsia" w:ascii="宋体" w:hAnsi="宋体" w:eastAsia="宋体" w:cs="宋体"/>
                <w:color w:val="000000"/>
                <w:kern w:val="0"/>
                <w:sz w:val="24"/>
                <w:szCs w:val="24"/>
                <w:lang w:bidi="ar"/>
              </w:rPr>
            </w:pPr>
          </w:p>
        </w:tc>
      </w:tr>
      <w:tr w14:paraId="1C890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2" w:hRule="atLeast"/>
        </w:trPr>
        <w:tc>
          <w:tcPr>
            <w:tcW w:w="627" w:type="dxa"/>
            <w:vAlign w:val="center"/>
          </w:tcPr>
          <w:p w14:paraId="33169215">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69</w:t>
            </w:r>
          </w:p>
        </w:tc>
        <w:tc>
          <w:tcPr>
            <w:tcW w:w="1543" w:type="dxa"/>
            <w:vAlign w:val="center"/>
          </w:tcPr>
          <w:p w14:paraId="45BBACDE">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总核酸同步提取试剂盒</w:t>
            </w:r>
          </w:p>
        </w:tc>
        <w:tc>
          <w:tcPr>
            <w:tcW w:w="4551" w:type="dxa"/>
            <w:vAlign w:val="center"/>
          </w:tcPr>
          <w:p w14:paraId="07477205">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1、可同时纯化每个细胞或组织样本中的基因组DNA和总RNA；</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2、一管双提：无需分样，DNA+RNA得率最大化，无需将每个样本分成两份进行单独纯化，实现DNA和RNA的最大产率。纯化后的DNA和RNA分别被洗脱在2个样品管内；</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3、纯化后的基因组DNA平均长度为15–30 kb，适用于各种应用，包括下一代测序、Southern、点印和槽点分析，以及PCR和多重PCR。纯化后的总RNA可用于任何应用，如RNA-seq-RT-PCR和实时RT-PCR。4、操作形式：手动离心柱。</w:t>
            </w:r>
          </w:p>
        </w:tc>
        <w:tc>
          <w:tcPr>
            <w:tcW w:w="912" w:type="dxa"/>
            <w:vAlign w:val="center"/>
          </w:tcPr>
          <w:p w14:paraId="6A13B97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7A969D5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w:t>
            </w:r>
          </w:p>
        </w:tc>
        <w:tc>
          <w:tcPr>
            <w:tcW w:w="829" w:type="dxa"/>
            <w:vAlign w:val="center"/>
          </w:tcPr>
          <w:p w14:paraId="6AB468BE">
            <w:pPr>
              <w:widowControl/>
              <w:jc w:val="center"/>
              <w:textAlignment w:val="center"/>
              <w:rPr>
                <w:rFonts w:hint="eastAsia" w:ascii="宋体" w:hAnsi="宋体" w:eastAsia="宋体" w:cs="宋体"/>
                <w:color w:val="000000"/>
                <w:kern w:val="0"/>
                <w:sz w:val="24"/>
                <w:szCs w:val="24"/>
                <w:lang w:bidi="ar"/>
              </w:rPr>
            </w:pPr>
          </w:p>
        </w:tc>
      </w:tr>
      <w:tr w14:paraId="3920C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8" w:hRule="atLeast"/>
        </w:trPr>
        <w:tc>
          <w:tcPr>
            <w:tcW w:w="627" w:type="dxa"/>
            <w:vAlign w:val="center"/>
          </w:tcPr>
          <w:p w14:paraId="0AE702B5">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70</w:t>
            </w:r>
          </w:p>
        </w:tc>
        <w:tc>
          <w:tcPr>
            <w:tcW w:w="1543" w:type="dxa"/>
            <w:vAlign w:val="center"/>
          </w:tcPr>
          <w:p w14:paraId="54A3890F">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霍乱弧菌ctxA/ctxB毒力基因双重实时荧光PCR检测试剂盒</w:t>
            </w:r>
          </w:p>
        </w:tc>
        <w:tc>
          <w:tcPr>
            <w:tcW w:w="4551" w:type="dxa"/>
            <w:vAlign w:val="center"/>
          </w:tcPr>
          <w:p w14:paraId="3A9329C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1.适用机型：开放型平台，可适用于各种多通道校正的全自动荧光PCR检测仪；</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2.检测性能：灵敏度最低500copies/mL，与其他病原菌均无交叉反应；</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3.仅采用1个反应管一次反应即可完成霍乱弧菌毒理基因ctxA/ctxB核酸的双通道检测，试剂所有组分集成在一管（酶、引物、探针等）；</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4.免费配套原厂判读软件，软件界面包含原始曲线、扩增曲线、各通道对应的病原判读结果以及CT值等。</w:t>
            </w:r>
            <w:r>
              <w:rPr>
                <w:rFonts w:hint="eastAsia" w:ascii="宋体" w:hAnsi="宋体" w:eastAsia="宋体" w:cs="宋体"/>
                <w:b/>
                <w:bCs/>
                <w:color w:val="000000"/>
                <w:kern w:val="0"/>
                <w:sz w:val="24"/>
                <w:szCs w:val="24"/>
                <w:lang w:bidi="ar"/>
              </w:rPr>
              <w:t>(</w:t>
            </w:r>
            <w:r>
              <w:rPr>
                <w:rFonts w:hint="eastAsia" w:ascii="宋体" w:hAnsi="宋体" w:eastAsia="宋体" w:cs="宋体"/>
                <w:b/>
                <w:bCs/>
                <w:color w:val="000000"/>
                <w:kern w:val="0"/>
                <w:sz w:val="24"/>
                <w:szCs w:val="24"/>
                <w:lang w:val="en-US" w:eastAsia="zh-CN" w:bidi="ar"/>
              </w:rPr>
              <w:t>投标文件中须</w:t>
            </w:r>
            <w:r>
              <w:rPr>
                <w:rFonts w:hint="eastAsia" w:ascii="宋体" w:hAnsi="宋体" w:eastAsia="宋体" w:cs="宋体"/>
                <w:b/>
                <w:bCs/>
                <w:color w:val="000000"/>
                <w:kern w:val="0"/>
                <w:sz w:val="24"/>
                <w:szCs w:val="24"/>
                <w:lang w:bidi="ar"/>
              </w:rPr>
              <w:t>提供判读软件截图）。</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5.按需供货</w:t>
            </w:r>
          </w:p>
        </w:tc>
        <w:tc>
          <w:tcPr>
            <w:tcW w:w="912" w:type="dxa"/>
            <w:vAlign w:val="center"/>
          </w:tcPr>
          <w:p w14:paraId="281CCC6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12367BE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100</w:t>
            </w:r>
          </w:p>
        </w:tc>
        <w:tc>
          <w:tcPr>
            <w:tcW w:w="829" w:type="dxa"/>
            <w:vAlign w:val="center"/>
          </w:tcPr>
          <w:p w14:paraId="71A945A7">
            <w:pPr>
              <w:widowControl/>
              <w:jc w:val="center"/>
              <w:textAlignment w:val="center"/>
              <w:rPr>
                <w:rFonts w:hint="eastAsia" w:ascii="宋体" w:hAnsi="宋体" w:eastAsia="宋体" w:cs="宋体"/>
                <w:color w:val="000000"/>
                <w:kern w:val="0"/>
                <w:sz w:val="24"/>
                <w:szCs w:val="24"/>
                <w:lang w:bidi="ar"/>
              </w:rPr>
            </w:pPr>
          </w:p>
        </w:tc>
      </w:tr>
      <w:tr w14:paraId="19036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627" w:type="dxa"/>
            <w:vAlign w:val="center"/>
          </w:tcPr>
          <w:p w14:paraId="46BF6F6E">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71</w:t>
            </w:r>
          </w:p>
        </w:tc>
        <w:tc>
          <w:tcPr>
            <w:tcW w:w="1543" w:type="dxa"/>
            <w:vAlign w:val="center"/>
          </w:tcPr>
          <w:p w14:paraId="764265E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霍乱弧菌O1/O139群核酸双重实时荧光PCR检测试剂盒</w:t>
            </w:r>
          </w:p>
        </w:tc>
        <w:tc>
          <w:tcPr>
            <w:tcW w:w="4551" w:type="dxa"/>
            <w:vAlign w:val="center"/>
          </w:tcPr>
          <w:p w14:paraId="2D087440">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1.适用机型：开放型平台，可适用于各种多通道校正的全自动荧光PCR检测仪；</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2.检测性能：灵敏度最低500copies/mL，与其他病原菌均无交叉反应；</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3.仅采用1个反应管一次反应即可完成霍乱弧菌O1/O139群核酸的双通道检测，试剂所有组分集成在一管（酶、引物、探针等）；</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4.免费配套原厂判读软件，软件界面包含原始曲线、扩增曲线、各通道对应的病原判读结果以及CT值等。</w:t>
            </w:r>
            <w:r>
              <w:rPr>
                <w:rFonts w:hint="eastAsia" w:ascii="宋体" w:hAnsi="宋体" w:eastAsia="宋体" w:cs="宋体"/>
                <w:b/>
                <w:bCs/>
                <w:color w:val="000000"/>
                <w:kern w:val="0"/>
                <w:sz w:val="24"/>
                <w:szCs w:val="24"/>
                <w:lang w:bidi="ar"/>
              </w:rPr>
              <w:t>(</w:t>
            </w:r>
            <w:r>
              <w:rPr>
                <w:rFonts w:hint="eastAsia" w:ascii="宋体" w:hAnsi="宋体" w:eastAsia="宋体" w:cs="宋体"/>
                <w:b/>
                <w:bCs/>
                <w:color w:val="000000"/>
                <w:kern w:val="0"/>
                <w:sz w:val="24"/>
                <w:szCs w:val="24"/>
                <w:lang w:val="en-US" w:eastAsia="zh-CN" w:bidi="ar"/>
              </w:rPr>
              <w:t>投标文件中须</w:t>
            </w:r>
            <w:r>
              <w:rPr>
                <w:rFonts w:hint="eastAsia" w:ascii="宋体" w:hAnsi="宋体" w:eastAsia="宋体" w:cs="宋体"/>
                <w:b/>
                <w:bCs/>
                <w:color w:val="000000"/>
                <w:kern w:val="0"/>
                <w:sz w:val="24"/>
                <w:szCs w:val="24"/>
                <w:lang w:bidi="ar"/>
              </w:rPr>
              <w:t>提供判读软件截图）。</w:t>
            </w:r>
          </w:p>
        </w:tc>
        <w:tc>
          <w:tcPr>
            <w:tcW w:w="912" w:type="dxa"/>
            <w:vAlign w:val="center"/>
          </w:tcPr>
          <w:p w14:paraId="3F8FB85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455426D8">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100</w:t>
            </w:r>
          </w:p>
        </w:tc>
        <w:tc>
          <w:tcPr>
            <w:tcW w:w="829" w:type="dxa"/>
            <w:vAlign w:val="center"/>
          </w:tcPr>
          <w:p w14:paraId="2EC42286">
            <w:pPr>
              <w:widowControl/>
              <w:jc w:val="center"/>
              <w:textAlignment w:val="center"/>
              <w:rPr>
                <w:rFonts w:hint="eastAsia" w:ascii="宋体" w:hAnsi="宋体" w:eastAsia="宋体" w:cs="宋体"/>
                <w:color w:val="000000"/>
                <w:kern w:val="0"/>
                <w:sz w:val="24"/>
                <w:szCs w:val="24"/>
                <w:lang w:bidi="ar"/>
              </w:rPr>
            </w:pPr>
          </w:p>
        </w:tc>
      </w:tr>
      <w:tr w14:paraId="59DE9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8" w:hRule="atLeast"/>
        </w:trPr>
        <w:tc>
          <w:tcPr>
            <w:tcW w:w="627" w:type="dxa"/>
            <w:vAlign w:val="center"/>
          </w:tcPr>
          <w:p w14:paraId="47B0CD25">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72</w:t>
            </w:r>
          </w:p>
        </w:tc>
        <w:tc>
          <w:tcPr>
            <w:tcW w:w="1543" w:type="dxa"/>
            <w:vAlign w:val="center"/>
          </w:tcPr>
          <w:p w14:paraId="7B95EB6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霍乱弧菌鉴定试剂盒（胶体金法）</w:t>
            </w:r>
          </w:p>
        </w:tc>
        <w:tc>
          <w:tcPr>
            <w:tcW w:w="4551" w:type="dxa"/>
            <w:vAlign w:val="center"/>
          </w:tcPr>
          <w:p w14:paraId="68D65949">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1.规格：50 人份/盒(25 人份 O1群，25 人份O139 群);2.用途：用于对粪便等标本进行 O1 群、O139 群霍乱弧菌的检测。2.技术参数：15分钟内 O1小川、稻叶全菌抗原，O139全菌抗原，最低检出量不高于105cfu/ml，109cfu/ml，无前置反应。3.阴性参考品符合率：与常见的肠道致病菌无交叉反应。</w:t>
            </w:r>
          </w:p>
        </w:tc>
        <w:tc>
          <w:tcPr>
            <w:tcW w:w="912" w:type="dxa"/>
            <w:vAlign w:val="center"/>
          </w:tcPr>
          <w:p w14:paraId="1272E8C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盒</w:t>
            </w:r>
          </w:p>
        </w:tc>
        <w:tc>
          <w:tcPr>
            <w:tcW w:w="900" w:type="dxa"/>
            <w:vAlign w:val="center"/>
          </w:tcPr>
          <w:p w14:paraId="77EE757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829" w:type="dxa"/>
            <w:vAlign w:val="center"/>
          </w:tcPr>
          <w:p w14:paraId="265F49A6">
            <w:pPr>
              <w:widowControl/>
              <w:jc w:val="center"/>
              <w:textAlignment w:val="center"/>
              <w:rPr>
                <w:rFonts w:hint="eastAsia" w:ascii="宋体" w:hAnsi="宋体" w:eastAsia="宋体" w:cs="宋体"/>
                <w:color w:val="000000"/>
                <w:kern w:val="0"/>
                <w:sz w:val="24"/>
                <w:szCs w:val="24"/>
                <w:lang w:bidi="ar"/>
              </w:rPr>
            </w:pPr>
          </w:p>
        </w:tc>
      </w:tr>
      <w:tr w14:paraId="52451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24CAD80D">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73</w:t>
            </w:r>
          </w:p>
        </w:tc>
        <w:tc>
          <w:tcPr>
            <w:tcW w:w="1543" w:type="dxa"/>
            <w:vAlign w:val="center"/>
          </w:tcPr>
          <w:p w14:paraId="06EB3E2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霍乱弧菌血清</w:t>
            </w:r>
          </w:p>
        </w:tc>
        <w:tc>
          <w:tcPr>
            <w:tcW w:w="4551" w:type="dxa"/>
            <w:vAlign w:val="center"/>
          </w:tcPr>
          <w:p w14:paraId="17752D0F">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1.规格：1mL/瓶x12；</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2.用途为霍乱弧菌免疫血清 , 通过玻片凝集试验原理鉴别O1 群、 O139 群,O1小川、稻叶型霍乱弧菌</w:t>
            </w:r>
          </w:p>
        </w:tc>
        <w:tc>
          <w:tcPr>
            <w:tcW w:w="912" w:type="dxa"/>
            <w:vAlign w:val="center"/>
          </w:tcPr>
          <w:p w14:paraId="317DE62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盒</w:t>
            </w:r>
          </w:p>
        </w:tc>
        <w:tc>
          <w:tcPr>
            <w:tcW w:w="900" w:type="dxa"/>
            <w:vAlign w:val="center"/>
          </w:tcPr>
          <w:p w14:paraId="389B35D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829" w:type="dxa"/>
            <w:vAlign w:val="center"/>
          </w:tcPr>
          <w:p w14:paraId="4A3E5BEA">
            <w:pPr>
              <w:widowControl/>
              <w:jc w:val="center"/>
              <w:textAlignment w:val="center"/>
              <w:rPr>
                <w:rFonts w:hint="eastAsia" w:ascii="宋体" w:hAnsi="宋体" w:eastAsia="宋体" w:cs="宋体"/>
                <w:color w:val="000000"/>
                <w:kern w:val="0"/>
                <w:sz w:val="24"/>
                <w:szCs w:val="24"/>
                <w:lang w:bidi="ar"/>
              </w:rPr>
            </w:pPr>
          </w:p>
        </w:tc>
      </w:tr>
      <w:tr w14:paraId="03434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627" w:type="dxa"/>
            <w:vAlign w:val="center"/>
          </w:tcPr>
          <w:p w14:paraId="56CDA49A">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74</w:t>
            </w:r>
          </w:p>
        </w:tc>
        <w:tc>
          <w:tcPr>
            <w:tcW w:w="1543" w:type="dxa"/>
            <w:vAlign w:val="center"/>
          </w:tcPr>
          <w:p w14:paraId="69A577F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大肠杆菌O157:H7血清</w:t>
            </w:r>
          </w:p>
        </w:tc>
        <w:tc>
          <w:tcPr>
            <w:tcW w:w="4551" w:type="dxa"/>
            <w:vAlign w:val="center"/>
          </w:tcPr>
          <w:p w14:paraId="2827E96B">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1.规格：1mL/瓶x2瓶；2.用途：检测大肠杆菌O157:H7的血清</w:t>
            </w:r>
          </w:p>
        </w:tc>
        <w:tc>
          <w:tcPr>
            <w:tcW w:w="912" w:type="dxa"/>
            <w:vAlign w:val="center"/>
          </w:tcPr>
          <w:p w14:paraId="146AF3E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盒</w:t>
            </w:r>
          </w:p>
        </w:tc>
        <w:tc>
          <w:tcPr>
            <w:tcW w:w="900" w:type="dxa"/>
            <w:vAlign w:val="center"/>
          </w:tcPr>
          <w:p w14:paraId="50493C5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05608E41">
            <w:pPr>
              <w:widowControl/>
              <w:jc w:val="center"/>
              <w:textAlignment w:val="center"/>
              <w:rPr>
                <w:rFonts w:hint="eastAsia" w:ascii="宋体" w:hAnsi="宋体" w:eastAsia="宋体" w:cs="宋体"/>
                <w:color w:val="000000"/>
                <w:kern w:val="0"/>
                <w:sz w:val="24"/>
                <w:szCs w:val="24"/>
                <w:lang w:bidi="ar"/>
              </w:rPr>
            </w:pPr>
          </w:p>
        </w:tc>
      </w:tr>
      <w:tr w14:paraId="422A7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21C6FE25">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75</w:t>
            </w:r>
          </w:p>
        </w:tc>
        <w:tc>
          <w:tcPr>
            <w:tcW w:w="1543" w:type="dxa"/>
            <w:vAlign w:val="center"/>
          </w:tcPr>
          <w:p w14:paraId="48D449B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月桂基硫酸盐胰蛋白胨（LST）肉汤-单料（管装即用型）（含小导管）</w:t>
            </w:r>
          </w:p>
        </w:tc>
        <w:tc>
          <w:tcPr>
            <w:tcW w:w="4551" w:type="dxa"/>
            <w:vAlign w:val="center"/>
          </w:tcPr>
          <w:p w14:paraId="3DB3CDB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用于大肠菌群、大肠杆菌的测定。</w:t>
            </w:r>
          </w:p>
        </w:tc>
        <w:tc>
          <w:tcPr>
            <w:tcW w:w="912" w:type="dxa"/>
            <w:vAlign w:val="center"/>
          </w:tcPr>
          <w:p w14:paraId="6D72DD9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1685AE6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100</w:t>
            </w:r>
          </w:p>
        </w:tc>
        <w:tc>
          <w:tcPr>
            <w:tcW w:w="829" w:type="dxa"/>
            <w:vAlign w:val="center"/>
          </w:tcPr>
          <w:p w14:paraId="5B94062F">
            <w:pPr>
              <w:widowControl/>
              <w:jc w:val="center"/>
              <w:textAlignment w:val="center"/>
              <w:rPr>
                <w:rFonts w:hint="eastAsia" w:ascii="宋体" w:hAnsi="宋体" w:eastAsia="宋体" w:cs="宋体"/>
                <w:color w:val="000000"/>
                <w:kern w:val="0"/>
                <w:sz w:val="24"/>
                <w:szCs w:val="24"/>
                <w:lang w:bidi="ar"/>
              </w:rPr>
            </w:pPr>
          </w:p>
        </w:tc>
      </w:tr>
      <w:tr w14:paraId="62F09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3B79BA88">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76</w:t>
            </w:r>
          </w:p>
        </w:tc>
        <w:tc>
          <w:tcPr>
            <w:tcW w:w="1543" w:type="dxa"/>
            <w:vAlign w:val="center"/>
          </w:tcPr>
          <w:p w14:paraId="2810FC8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月桂基硫酸盐胰蛋白胨（LST）肉汤-双料（管装即用型）（含小导管）</w:t>
            </w:r>
          </w:p>
        </w:tc>
        <w:tc>
          <w:tcPr>
            <w:tcW w:w="4551" w:type="dxa"/>
            <w:vAlign w:val="center"/>
          </w:tcPr>
          <w:p w14:paraId="44C3B5D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用于大肠菌群、大肠杆菌的测定。</w:t>
            </w:r>
          </w:p>
        </w:tc>
        <w:tc>
          <w:tcPr>
            <w:tcW w:w="912" w:type="dxa"/>
            <w:vAlign w:val="center"/>
          </w:tcPr>
          <w:p w14:paraId="07DA52B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5A3EB1D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100</w:t>
            </w:r>
          </w:p>
        </w:tc>
        <w:tc>
          <w:tcPr>
            <w:tcW w:w="829" w:type="dxa"/>
            <w:vAlign w:val="center"/>
          </w:tcPr>
          <w:p w14:paraId="18461950">
            <w:pPr>
              <w:widowControl/>
              <w:jc w:val="center"/>
              <w:textAlignment w:val="center"/>
              <w:rPr>
                <w:rFonts w:hint="eastAsia" w:ascii="宋体" w:hAnsi="宋体" w:eastAsia="宋体" w:cs="宋体"/>
                <w:color w:val="000000"/>
                <w:kern w:val="0"/>
                <w:sz w:val="24"/>
                <w:szCs w:val="24"/>
                <w:lang w:bidi="ar"/>
              </w:rPr>
            </w:pPr>
          </w:p>
        </w:tc>
      </w:tr>
      <w:tr w14:paraId="49321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6BEDD78E">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77</w:t>
            </w:r>
          </w:p>
        </w:tc>
        <w:tc>
          <w:tcPr>
            <w:tcW w:w="1543" w:type="dxa"/>
            <w:vAlign w:val="center"/>
          </w:tcPr>
          <w:p w14:paraId="61247B1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煌绿乳糖胆盐（BGLB）肉汤  （管装即用型）（含小导管）</w:t>
            </w:r>
          </w:p>
        </w:tc>
        <w:tc>
          <w:tcPr>
            <w:tcW w:w="4551" w:type="dxa"/>
            <w:vAlign w:val="center"/>
          </w:tcPr>
          <w:p w14:paraId="5F7B522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用于大肠菌群、大肠杆菌的测定</w:t>
            </w:r>
          </w:p>
        </w:tc>
        <w:tc>
          <w:tcPr>
            <w:tcW w:w="912" w:type="dxa"/>
            <w:vAlign w:val="center"/>
          </w:tcPr>
          <w:p w14:paraId="539F1FA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24E76DC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100</w:t>
            </w:r>
          </w:p>
        </w:tc>
        <w:tc>
          <w:tcPr>
            <w:tcW w:w="829" w:type="dxa"/>
            <w:vAlign w:val="center"/>
          </w:tcPr>
          <w:p w14:paraId="00A90307">
            <w:pPr>
              <w:widowControl/>
              <w:jc w:val="center"/>
              <w:textAlignment w:val="center"/>
              <w:rPr>
                <w:rFonts w:hint="eastAsia" w:ascii="宋体" w:hAnsi="宋体" w:eastAsia="宋体" w:cs="宋体"/>
                <w:color w:val="000000"/>
                <w:kern w:val="0"/>
                <w:sz w:val="24"/>
                <w:szCs w:val="24"/>
                <w:lang w:bidi="ar"/>
              </w:rPr>
            </w:pPr>
          </w:p>
        </w:tc>
      </w:tr>
      <w:tr w14:paraId="12A8F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7C233E0F">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78</w:t>
            </w:r>
          </w:p>
        </w:tc>
        <w:tc>
          <w:tcPr>
            <w:tcW w:w="1543" w:type="dxa"/>
            <w:vAlign w:val="center"/>
          </w:tcPr>
          <w:p w14:paraId="57698D6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无菌磷酸盐缓冲液</w:t>
            </w:r>
          </w:p>
        </w:tc>
        <w:tc>
          <w:tcPr>
            <w:tcW w:w="4551" w:type="dxa"/>
            <w:vAlign w:val="center"/>
          </w:tcPr>
          <w:p w14:paraId="41149E8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9mL×20支/盒,用于菌落总数、大肠菌群、金葡菌、大肠杆菌样品制备</w:t>
            </w:r>
          </w:p>
        </w:tc>
        <w:tc>
          <w:tcPr>
            <w:tcW w:w="912" w:type="dxa"/>
            <w:vAlign w:val="center"/>
          </w:tcPr>
          <w:p w14:paraId="78130EE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5699003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100</w:t>
            </w:r>
          </w:p>
        </w:tc>
        <w:tc>
          <w:tcPr>
            <w:tcW w:w="829" w:type="dxa"/>
            <w:vAlign w:val="center"/>
          </w:tcPr>
          <w:p w14:paraId="772F0527">
            <w:pPr>
              <w:widowControl/>
              <w:jc w:val="center"/>
              <w:textAlignment w:val="center"/>
              <w:rPr>
                <w:rFonts w:hint="eastAsia" w:ascii="宋体" w:hAnsi="宋体" w:eastAsia="宋体" w:cs="宋体"/>
                <w:color w:val="000000"/>
                <w:kern w:val="0"/>
                <w:sz w:val="24"/>
                <w:szCs w:val="24"/>
                <w:lang w:bidi="ar"/>
              </w:rPr>
            </w:pPr>
          </w:p>
        </w:tc>
      </w:tr>
      <w:tr w14:paraId="34C86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366F2D3E">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79</w:t>
            </w:r>
          </w:p>
        </w:tc>
        <w:tc>
          <w:tcPr>
            <w:tcW w:w="1543" w:type="dxa"/>
            <w:vAlign w:val="center"/>
          </w:tcPr>
          <w:p w14:paraId="108C88A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无菌生理盐水</w:t>
            </w:r>
          </w:p>
        </w:tc>
        <w:tc>
          <w:tcPr>
            <w:tcW w:w="4551" w:type="dxa"/>
            <w:vAlign w:val="center"/>
          </w:tcPr>
          <w:p w14:paraId="535639B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9mL×20支/盒</w:t>
            </w:r>
          </w:p>
        </w:tc>
        <w:tc>
          <w:tcPr>
            <w:tcW w:w="912" w:type="dxa"/>
            <w:vAlign w:val="center"/>
          </w:tcPr>
          <w:p w14:paraId="0EAC6E4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79393488">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100</w:t>
            </w:r>
          </w:p>
        </w:tc>
        <w:tc>
          <w:tcPr>
            <w:tcW w:w="829" w:type="dxa"/>
            <w:vAlign w:val="center"/>
          </w:tcPr>
          <w:p w14:paraId="2959D2CA">
            <w:pPr>
              <w:widowControl/>
              <w:jc w:val="center"/>
              <w:textAlignment w:val="center"/>
              <w:rPr>
                <w:rFonts w:hint="eastAsia" w:ascii="宋体" w:hAnsi="宋体" w:eastAsia="宋体" w:cs="宋体"/>
                <w:color w:val="000000"/>
                <w:kern w:val="0"/>
                <w:sz w:val="24"/>
                <w:szCs w:val="24"/>
                <w:lang w:bidi="ar"/>
              </w:rPr>
            </w:pPr>
          </w:p>
        </w:tc>
      </w:tr>
      <w:tr w14:paraId="65D0F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3FE58A6C">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80</w:t>
            </w:r>
          </w:p>
        </w:tc>
        <w:tc>
          <w:tcPr>
            <w:tcW w:w="1543" w:type="dxa"/>
            <w:vAlign w:val="center"/>
          </w:tcPr>
          <w:p w14:paraId="7C3802B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7.5%氯化钠肉汤</w:t>
            </w:r>
          </w:p>
        </w:tc>
        <w:tc>
          <w:tcPr>
            <w:tcW w:w="4551" w:type="dxa"/>
            <w:vAlign w:val="center"/>
          </w:tcPr>
          <w:p w14:paraId="48C293E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225ml，如有添加剂，需包含配套添加剂，用于金黄色葡萄球菌的选择性增菌培养</w:t>
            </w:r>
          </w:p>
        </w:tc>
        <w:tc>
          <w:tcPr>
            <w:tcW w:w="912" w:type="dxa"/>
            <w:vAlign w:val="center"/>
          </w:tcPr>
          <w:p w14:paraId="095EADA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袋</w:t>
            </w:r>
          </w:p>
        </w:tc>
        <w:tc>
          <w:tcPr>
            <w:tcW w:w="900" w:type="dxa"/>
            <w:vAlign w:val="center"/>
          </w:tcPr>
          <w:p w14:paraId="3637F5D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40</w:t>
            </w:r>
          </w:p>
        </w:tc>
        <w:tc>
          <w:tcPr>
            <w:tcW w:w="829" w:type="dxa"/>
            <w:vAlign w:val="center"/>
          </w:tcPr>
          <w:p w14:paraId="5722C3EE">
            <w:pPr>
              <w:widowControl/>
              <w:jc w:val="center"/>
              <w:textAlignment w:val="center"/>
              <w:rPr>
                <w:rFonts w:hint="eastAsia" w:ascii="宋体" w:hAnsi="宋体" w:eastAsia="宋体" w:cs="宋体"/>
                <w:color w:val="000000"/>
                <w:kern w:val="0"/>
                <w:sz w:val="24"/>
                <w:szCs w:val="24"/>
                <w:lang w:bidi="ar"/>
              </w:rPr>
            </w:pPr>
          </w:p>
        </w:tc>
      </w:tr>
      <w:tr w14:paraId="0E4E4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6F929D0E">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81</w:t>
            </w:r>
          </w:p>
        </w:tc>
        <w:tc>
          <w:tcPr>
            <w:tcW w:w="1543" w:type="dxa"/>
            <w:vAlign w:val="center"/>
          </w:tcPr>
          <w:p w14:paraId="36BDC5E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脑心浸出液肉汤（BHI）</w:t>
            </w:r>
          </w:p>
        </w:tc>
        <w:tc>
          <w:tcPr>
            <w:tcW w:w="4551" w:type="dxa"/>
            <w:vAlign w:val="center"/>
          </w:tcPr>
          <w:p w14:paraId="25C1D8C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250g/瓶，如有添加剂需提供配套添加剂。</w:t>
            </w:r>
          </w:p>
        </w:tc>
        <w:tc>
          <w:tcPr>
            <w:tcW w:w="912" w:type="dxa"/>
            <w:vAlign w:val="center"/>
          </w:tcPr>
          <w:p w14:paraId="58988D2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7FCB525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1AF2DC4F">
            <w:pPr>
              <w:widowControl/>
              <w:jc w:val="center"/>
              <w:textAlignment w:val="center"/>
              <w:rPr>
                <w:rFonts w:hint="eastAsia" w:ascii="宋体" w:hAnsi="宋体" w:eastAsia="宋体" w:cs="宋体"/>
                <w:color w:val="000000"/>
                <w:kern w:val="0"/>
                <w:sz w:val="24"/>
                <w:szCs w:val="24"/>
                <w:lang w:bidi="ar"/>
              </w:rPr>
            </w:pPr>
          </w:p>
        </w:tc>
      </w:tr>
      <w:tr w14:paraId="74A37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7DB47E52">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82</w:t>
            </w:r>
          </w:p>
        </w:tc>
        <w:tc>
          <w:tcPr>
            <w:tcW w:w="1543" w:type="dxa"/>
            <w:vAlign w:val="center"/>
          </w:tcPr>
          <w:p w14:paraId="2F13C4F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营养琼脂小斜面</w:t>
            </w:r>
          </w:p>
        </w:tc>
        <w:tc>
          <w:tcPr>
            <w:tcW w:w="4551" w:type="dxa"/>
            <w:vAlign w:val="center"/>
          </w:tcPr>
          <w:p w14:paraId="197CF99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8.5mL×20支/盒，用于普通菌种的保存</w:t>
            </w:r>
          </w:p>
        </w:tc>
        <w:tc>
          <w:tcPr>
            <w:tcW w:w="912" w:type="dxa"/>
            <w:vAlign w:val="center"/>
          </w:tcPr>
          <w:p w14:paraId="5F6125F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4C3AF9D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80</w:t>
            </w:r>
          </w:p>
        </w:tc>
        <w:tc>
          <w:tcPr>
            <w:tcW w:w="829" w:type="dxa"/>
            <w:vAlign w:val="center"/>
          </w:tcPr>
          <w:p w14:paraId="5DF763B8">
            <w:pPr>
              <w:widowControl/>
              <w:jc w:val="center"/>
              <w:textAlignment w:val="center"/>
              <w:rPr>
                <w:rFonts w:hint="eastAsia" w:ascii="宋体" w:hAnsi="宋体" w:eastAsia="宋体" w:cs="宋体"/>
                <w:color w:val="000000"/>
                <w:kern w:val="0"/>
                <w:sz w:val="24"/>
                <w:szCs w:val="24"/>
                <w:lang w:bidi="ar"/>
              </w:rPr>
            </w:pPr>
          </w:p>
        </w:tc>
      </w:tr>
      <w:tr w14:paraId="0B4B5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2C263B67">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83</w:t>
            </w:r>
          </w:p>
        </w:tc>
        <w:tc>
          <w:tcPr>
            <w:tcW w:w="1543" w:type="dxa"/>
            <w:vAlign w:val="center"/>
          </w:tcPr>
          <w:p w14:paraId="5992A88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含225ml磷酸盐缓冲液均质袋</w:t>
            </w:r>
          </w:p>
        </w:tc>
        <w:tc>
          <w:tcPr>
            <w:tcW w:w="4551" w:type="dxa"/>
            <w:vAlign w:val="center"/>
          </w:tcPr>
          <w:p w14:paraId="37DCF4C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如有添加剂，需包含配套添加剂，适用于拍击式均质器</w:t>
            </w:r>
          </w:p>
        </w:tc>
        <w:tc>
          <w:tcPr>
            <w:tcW w:w="912" w:type="dxa"/>
            <w:vAlign w:val="center"/>
          </w:tcPr>
          <w:p w14:paraId="064BF54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c>
          <w:tcPr>
            <w:tcW w:w="900" w:type="dxa"/>
            <w:vAlign w:val="center"/>
          </w:tcPr>
          <w:p w14:paraId="21CCAC7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40</w:t>
            </w:r>
          </w:p>
        </w:tc>
        <w:tc>
          <w:tcPr>
            <w:tcW w:w="829" w:type="dxa"/>
            <w:vAlign w:val="center"/>
          </w:tcPr>
          <w:p w14:paraId="393A20D5">
            <w:pPr>
              <w:widowControl/>
              <w:jc w:val="center"/>
              <w:textAlignment w:val="center"/>
              <w:rPr>
                <w:rFonts w:hint="eastAsia" w:ascii="宋体" w:hAnsi="宋体" w:eastAsia="宋体" w:cs="宋体"/>
                <w:color w:val="000000"/>
                <w:kern w:val="0"/>
                <w:sz w:val="24"/>
                <w:szCs w:val="24"/>
                <w:lang w:bidi="ar"/>
              </w:rPr>
            </w:pPr>
          </w:p>
        </w:tc>
      </w:tr>
      <w:tr w14:paraId="01C00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2B56751E">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84</w:t>
            </w:r>
          </w:p>
        </w:tc>
        <w:tc>
          <w:tcPr>
            <w:tcW w:w="1543" w:type="dxa"/>
            <w:vAlign w:val="center"/>
          </w:tcPr>
          <w:p w14:paraId="6AA99F2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革兰氏染液</w:t>
            </w:r>
          </w:p>
        </w:tc>
        <w:tc>
          <w:tcPr>
            <w:tcW w:w="4551" w:type="dxa"/>
            <w:vAlign w:val="center"/>
          </w:tcPr>
          <w:p w14:paraId="756673AF">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适用于细菌鉴别，含染色、脱色、复染全套染色试剂</w:t>
            </w:r>
          </w:p>
        </w:tc>
        <w:tc>
          <w:tcPr>
            <w:tcW w:w="912" w:type="dxa"/>
            <w:vAlign w:val="center"/>
          </w:tcPr>
          <w:p w14:paraId="04BDD956">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5E8ECDF8">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829" w:type="dxa"/>
            <w:vAlign w:val="center"/>
          </w:tcPr>
          <w:p w14:paraId="3C6208D9">
            <w:pPr>
              <w:widowControl/>
              <w:jc w:val="center"/>
              <w:textAlignment w:val="center"/>
              <w:rPr>
                <w:rFonts w:hint="eastAsia" w:ascii="宋体" w:hAnsi="宋体" w:eastAsia="宋体" w:cs="宋体"/>
                <w:color w:val="000000"/>
                <w:kern w:val="0"/>
                <w:sz w:val="24"/>
                <w:szCs w:val="24"/>
                <w:lang w:bidi="ar"/>
              </w:rPr>
            </w:pPr>
          </w:p>
        </w:tc>
      </w:tr>
      <w:tr w14:paraId="76F8C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2E404C88">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85</w:t>
            </w:r>
          </w:p>
        </w:tc>
        <w:tc>
          <w:tcPr>
            <w:tcW w:w="1543" w:type="dxa"/>
            <w:vAlign w:val="center"/>
          </w:tcPr>
          <w:p w14:paraId="4A8AA516">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无菌生理盐水</w:t>
            </w:r>
          </w:p>
        </w:tc>
        <w:tc>
          <w:tcPr>
            <w:tcW w:w="4551" w:type="dxa"/>
            <w:vAlign w:val="center"/>
          </w:tcPr>
          <w:p w14:paraId="1359F49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500ml，用于菌液稀释液</w:t>
            </w:r>
          </w:p>
        </w:tc>
        <w:tc>
          <w:tcPr>
            <w:tcW w:w="912" w:type="dxa"/>
            <w:vAlign w:val="center"/>
          </w:tcPr>
          <w:p w14:paraId="7F3BB1A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47201388">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40</w:t>
            </w:r>
          </w:p>
        </w:tc>
        <w:tc>
          <w:tcPr>
            <w:tcW w:w="829" w:type="dxa"/>
            <w:vAlign w:val="center"/>
          </w:tcPr>
          <w:p w14:paraId="23C5CA19">
            <w:pPr>
              <w:widowControl/>
              <w:jc w:val="center"/>
              <w:textAlignment w:val="center"/>
              <w:rPr>
                <w:rFonts w:hint="eastAsia" w:ascii="宋体" w:hAnsi="宋体" w:eastAsia="宋体" w:cs="宋体"/>
                <w:color w:val="000000"/>
                <w:kern w:val="0"/>
                <w:sz w:val="24"/>
                <w:szCs w:val="24"/>
                <w:lang w:bidi="ar"/>
              </w:rPr>
            </w:pPr>
          </w:p>
        </w:tc>
      </w:tr>
      <w:tr w14:paraId="4A1C7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4FDBF2AE">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86</w:t>
            </w:r>
          </w:p>
        </w:tc>
        <w:tc>
          <w:tcPr>
            <w:tcW w:w="1543" w:type="dxa"/>
            <w:vAlign w:val="center"/>
          </w:tcPr>
          <w:p w14:paraId="2F18633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血浆凝固酶试剂</w:t>
            </w:r>
          </w:p>
        </w:tc>
        <w:tc>
          <w:tcPr>
            <w:tcW w:w="4551" w:type="dxa"/>
            <w:vAlign w:val="center"/>
          </w:tcPr>
          <w:p w14:paraId="10E901B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用于金黄色葡萄球菌的血浆凝固酶试验(符合GB4789.10-2016)</w:t>
            </w:r>
          </w:p>
        </w:tc>
        <w:tc>
          <w:tcPr>
            <w:tcW w:w="912" w:type="dxa"/>
            <w:vAlign w:val="center"/>
          </w:tcPr>
          <w:p w14:paraId="52829EF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448E154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40</w:t>
            </w:r>
          </w:p>
        </w:tc>
        <w:tc>
          <w:tcPr>
            <w:tcW w:w="829" w:type="dxa"/>
            <w:vAlign w:val="center"/>
          </w:tcPr>
          <w:p w14:paraId="68B2A38F">
            <w:pPr>
              <w:widowControl/>
              <w:jc w:val="center"/>
              <w:textAlignment w:val="center"/>
              <w:rPr>
                <w:rFonts w:hint="eastAsia" w:ascii="宋体" w:hAnsi="宋体" w:eastAsia="宋体" w:cs="宋体"/>
                <w:color w:val="000000"/>
                <w:kern w:val="0"/>
                <w:sz w:val="24"/>
                <w:szCs w:val="24"/>
                <w:lang w:bidi="ar"/>
              </w:rPr>
            </w:pPr>
          </w:p>
        </w:tc>
      </w:tr>
      <w:tr w14:paraId="6C882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0BA6CB00">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87</w:t>
            </w:r>
          </w:p>
        </w:tc>
        <w:tc>
          <w:tcPr>
            <w:tcW w:w="1543" w:type="dxa"/>
            <w:vAlign w:val="center"/>
          </w:tcPr>
          <w:p w14:paraId="0AEFC03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改良胰蛋白胨大豆肉汤（mTSB）</w:t>
            </w:r>
          </w:p>
        </w:tc>
        <w:tc>
          <w:tcPr>
            <w:tcW w:w="4551" w:type="dxa"/>
            <w:vAlign w:val="center"/>
          </w:tcPr>
          <w:p w14:paraId="7768FDD8">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250g/瓶，需配套添加剂，通用的微生物营养增菌肉汤，也可用于金黄色葡萄球菌的MPN测定</w:t>
            </w:r>
          </w:p>
        </w:tc>
        <w:tc>
          <w:tcPr>
            <w:tcW w:w="912" w:type="dxa"/>
            <w:vAlign w:val="center"/>
          </w:tcPr>
          <w:p w14:paraId="6FB2E43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02F3A84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4612B95E">
            <w:pPr>
              <w:widowControl/>
              <w:jc w:val="center"/>
              <w:textAlignment w:val="center"/>
              <w:rPr>
                <w:rFonts w:hint="eastAsia" w:ascii="宋体" w:hAnsi="宋体" w:eastAsia="宋体" w:cs="宋体"/>
                <w:color w:val="000000"/>
                <w:kern w:val="0"/>
                <w:sz w:val="24"/>
                <w:szCs w:val="24"/>
                <w:lang w:bidi="ar"/>
              </w:rPr>
            </w:pPr>
          </w:p>
        </w:tc>
      </w:tr>
      <w:tr w14:paraId="306FD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3E19FD63">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88</w:t>
            </w:r>
          </w:p>
        </w:tc>
        <w:tc>
          <w:tcPr>
            <w:tcW w:w="1543" w:type="dxa"/>
            <w:vAlign w:val="center"/>
          </w:tcPr>
          <w:p w14:paraId="178A3607">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含225ml改良胰蛋白胨大豆肉汤培养基均质袋</w:t>
            </w:r>
          </w:p>
        </w:tc>
        <w:tc>
          <w:tcPr>
            <w:tcW w:w="4551" w:type="dxa"/>
            <w:vAlign w:val="center"/>
          </w:tcPr>
          <w:p w14:paraId="1308C64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配套添加10支多粘菌素B（2.25mg）和10支萘啶酮酸（2.25mg）</w:t>
            </w:r>
          </w:p>
        </w:tc>
        <w:tc>
          <w:tcPr>
            <w:tcW w:w="912" w:type="dxa"/>
            <w:vAlign w:val="center"/>
          </w:tcPr>
          <w:p w14:paraId="259D439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c>
          <w:tcPr>
            <w:tcW w:w="900" w:type="dxa"/>
            <w:vAlign w:val="center"/>
          </w:tcPr>
          <w:p w14:paraId="007605B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829" w:type="dxa"/>
            <w:vAlign w:val="center"/>
          </w:tcPr>
          <w:p w14:paraId="6211C489">
            <w:pPr>
              <w:widowControl/>
              <w:jc w:val="center"/>
              <w:textAlignment w:val="center"/>
              <w:rPr>
                <w:rFonts w:hint="eastAsia" w:ascii="宋体" w:hAnsi="宋体" w:eastAsia="宋体" w:cs="宋体"/>
                <w:color w:val="000000"/>
                <w:kern w:val="0"/>
                <w:sz w:val="24"/>
                <w:szCs w:val="24"/>
                <w:lang w:bidi="ar"/>
              </w:rPr>
            </w:pPr>
          </w:p>
        </w:tc>
      </w:tr>
      <w:tr w14:paraId="4D1DE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0A404073">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89</w:t>
            </w:r>
          </w:p>
        </w:tc>
        <w:tc>
          <w:tcPr>
            <w:tcW w:w="1543" w:type="dxa"/>
            <w:vAlign w:val="center"/>
          </w:tcPr>
          <w:p w14:paraId="299D3E2F">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哥伦比亚CAN血琼脂</w:t>
            </w:r>
          </w:p>
        </w:tc>
        <w:tc>
          <w:tcPr>
            <w:tcW w:w="4551" w:type="dxa"/>
            <w:vAlign w:val="center"/>
          </w:tcPr>
          <w:p w14:paraId="63214FA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90mm*20块，用于溶血性链球菌的选择性分离</w:t>
            </w:r>
          </w:p>
        </w:tc>
        <w:tc>
          <w:tcPr>
            <w:tcW w:w="912" w:type="dxa"/>
            <w:vAlign w:val="center"/>
          </w:tcPr>
          <w:p w14:paraId="6FB10CE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块</w:t>
            </w:r>
          </w:p>
        </w:tc>
        <w:tc>
          <w:tcPr>
            <w:tcW w:w="900" w:type="dxa"/>
            <w:vAlign w:val="center"/>
          </w:tcPr>
          <w:p w14:paraId="1B15913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40</w:t>
            </w:r>
          </w:p>
        </w:tc>
        <w:tc>
          <w:tcPr>
            <w:tcW w:w="829" w:type="dxa"/>
            <w:vAlign w:val="center"/>
          </w:tcPr>
          <w:p w14:paraId="3A4DC99C">
            <w:pPr>
              <w:widowControl/>
              <w:jc w:val="center"/>
              <w:textAlignment w:val="center"/>
              <w:rPr>
                <w:rFonts w:hint="eastAsia" w:ascii="宋体" w:hAnsi="宋体" w:eastAsia="宋体" w:cs="宋体"/>
                <w:color w:val="000000"/>
                <w:kern w:val="0"/>
                <w:sz w:val="24"/>
                <w:szCs w:val="24"/>
                <w:lang w:bidi="ar"/>
              </w:rPr>
            </w:pPr>
          </w:p>
        </w:tc>
      </w:tr>
      <w:tr w14:paraId="131ED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185DE7CD">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90</w:t>
            </w:r>
          </w:p>
        </w:tc>
        <w:tc>
          <w:tcPr>
            <w:tcW w:w="1543" w:type="dxa"/>
            <w:vAlign w:val="center"/>
          </w:tcPr>
          <w:p w14:paraId="4D1DD69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哥伦比亚血琼脂</w:t>
            </w:r>
          </w:p>
        </w:tc>
        <w:tc>
          <w:tcPr>
            <w:tcW w:w="4551" w:type="dxa"/>
            <w:vAlign w:val="center"/>
          </w:tcPr>
          <w:p w14:paraId="1B58D2C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1.用于苛养和非苛养型细菌的培养，以及溶血性细菌的鉴别。90mm*20个/盒。2.要求分批次供货，紧急情况下三天到货。</w:t>
            </w:r>
          </w:p>
        </w:tc>
        <w:tc>
          <w:tcPr>
            <w:tcW w:w="912" w:type="dxa"/>
            <w:vAlign w:val="center"/>
          </w:tcPr>
          <w:p w14:paraId="74FAB72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块</w:t>
            </w:r>
          </w:p>
        </w:tc>
        <w:tc>
          <w:tcPr>
            <w:tcW w:w="900" w:type="dxa"/>
            <w:vAlign w:val="center"/>
          </w:tcPr>
          <w:p w14:paraId="529492D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60</w:t>
            </w:r>
          </w:p>
        </w:tc>
        <w:tc>
          <w:tcPr>
            <w:tcW w:w="829" w:type="dxa"/>
            <w:vAlign w:val="center"/>
          </w:tcPr>
          <w:p w14:paraId="22BAF2A7">
            <w:pPr>
              <w:widowControl/>
              <w:jc w:val="center"/>
              <w:textAlignment w:val="center"/>
              <w:rPr>
                <w:rFonts w:hint="eastAsia" w:ascii="宋体" w:hAnsi="宋体" w:eastAsia="宋体" w:cs="宋体"/>
                <w:color w:val="000000"/>
                <w:kern w:val="0"/>
                <w:sz w:val="24"/>
                <w:szCs w:val="24"/>
                <w:lang w:bidi="ar"/>
              </w:rPr>
            </w:pPr>
          </w:p>
        </w:tc>
      </w:tr>
      <w:tr w14:paraId="32498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7F4FA7CA">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91</w:t>
            </w:r>
          </w:p>
        </w:tc>
        <w:tc>
          <w:tcPr>
            <w:tcW w:w="1543" w:type="dxa"/>
            <w:vAlign w:val="center"/>
          </w:tcPr>
          <w:p w14:paraId="1CACC17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胰蛋白胨大豆肉汤（TSB）</w:t>
            </w:r>
          </w:p>
        </w:tc>
        <w:tc>
          <w:tcPr>
            <w:tcW w:w="4551" w:type="dxa"/>
            <w:vAlign w:val="center"/>
          </w:tcPr>
          <w:p w14:paraId="77BD3F5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250g/瓶，如有添加剂，需包含配套添加剂</w:t>
            </w:r>
          </w:p>
        </w:tc>
        <w:tc>
          <w:tcPr>
            <w:tcW w:w="912" w:type="dxa"/>
            <w:vAlign w:val="center"/>
          </w:tcPr>
          <w:p w14:paraId="1FC6FCA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04116008">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1E5E9AE0">
            <w:pPr>
              <w:widowControl/>
              <w:jc w:val="center"/>
              <w:textAlignment w:val="center"/>
              <w:rPr>
                <w:rFonts w:hint="eastAsia" w:ascii="宋体" w:hAnsi="宋体" w:eastAsia="宋体" w:cs="宋体"/>
                <w:color w:val="000000"/>
                <w:kern w:val="0"/>
                <w:sz w:val="24"/>
                <w:szCs w:val="24"/>
                <w:lang w:bidi="ar"/>
              </w:rPr>
            </w:pPr>
          </w:p>
        </w:tc>
      </w:tr>
      <w:tr w14:paraId="0D110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4FE5E0A3">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92</w:t>
            </w:r>
          </w:p>
        </w:tc>
        <w:tc>
          <w:tcPr>
            <w:tcW w:w="1543" w:type="dxa"/>
            <w:vAlign w:val="center"/>
          </w:tcPr>
          <w:p w14:paraId="7873B42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草酸钾血浆</w:t>
            </w:r>
          </w:p>
        </w:tc>
        <w:tc>
          <w:tcPr>
            <w:tcW w:w="4551" w:type="dxa"/>
            <w:vAlign w:val="center"/>
          </w:tcPr>
          <w:p w14:paraId="7B0A5AE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10支/盒，用于β型溶血性链球菌检验中的链激酶试验（GB标准）</w:t>
            </w:r>
          </w:p>
        </w:tc>
        <w:tc>
          <w:tcPr>
            <w:tcW w:w="912" w:type="dxa"/>
            <w:vAlign w:val="center"/>
          </w:tcPr>
          <w:p w14:paraId="133045F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7A271EA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20</w:t>
            </w:r>
          </w:p>
        </w:tc>
        <w:tc>
          <w:tcPr>
            <w:tcW w:w="829" w:type="dxa"/>
            <w:vAlign w:val="center"/>
          </w:tcPr>
          <w:p w14:paraId="21AD21DA">
            <w:pPr>
              <w:widowControl/>
              <w:jc w:val="center"/>
              <w:textAlignment w:val="center"/>
              <w:rPr>
                <w:rFonts w:hint="eastAsia" w:ascii="宋体" w:hAnsi="宋体" w:eastAsia="宋体" w:cs="宋体"/>
                <w:color w:val="000000"/>
                <w:kern w:val="0"/>
                <w:sz w:val="24"/>
                <w:szCs w:val="24"/>
                <w:lang w:bidi="ar"/>
              </w:rPr>
            </w:pPr>
          </w:p>
        </w:tc>
      </w:tr>
      <w:tr w14:paraId="3089C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4F8F822E">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93</w:t>
            </w:r>
          </w:p>
        </w:tc>
        <w:tc>
          <w:tcPr>
            <w:tcW w:w="1543" w:type="dxa"/>
            <w:vAlign w:val="center"/>
          </w:tcPr>
          <w:p w14:paraId="026EDA4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0.25%氯化钙（CaCl2）溶液</w:t>
            </w:r>
          </w:p>
        </w:tc>
        <w:tc>
          <w:tcPr>
            <w:tcW w:w="4551" w:type="dxa"/>
            <w:vAlign w:val="center"/>
          </w:tcPr>
          <w:p w14:paraId="636E1E7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用于β型溶血性链球菌检验</w:t>
            </w:r>
          </w:p>
        </w:tc>
        <w:tc>
          <w:tcPr>
            <w:tcW w:w="912" w:type="dxa"/>
            <w:vAlign w:val="center"/>
          </w:tcPr>
          <w:p w14:paraId="6FC1C6C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7E3BD04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20</w:t>
            </w:r>
          </w:p>
        </w:tc>
        <w:tc>
          <w:tcPr>
            <w:tcW w:w="829" w:type="dxa"/>
            <w:vAlign w:val="center"/>
          </w:tcPr>
          <w:p w14:paraId="2360A1AB">
            <w:pPr>
              <w:widowControl/>
              <w:jc w:val="center"/>
              <w:textAlignment w:val="center"/>
              <w:rPr>
                <w:rFonts w:hint="eastAsia" w:ascii="宋体" w:hAnsi="宋体" w:eastAsia="宋体" w:cs="宋体"/>
                <w:color w:val="000000"/>
                <w:kern w:val="0"/>
                <w:sz w:val="24"/>
                <w:szCs w:val="24"/>
                <w:lang w:bidi="ar"/>
              </w:rPr>
            </w:pPr>
          </w:p>
        </w:tc>
      </w:tr>
      <w:tr w14:paraId="47445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3C366E71">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94</w:t>
            </w:r>
          </w:p>
        </w:tc>
        <w:tc>
          <w:tcPr>
            <w:tcW w:w="1543" w:type="dxa"/>
            <w:vAlign w:val="center"/>
          </w:tcPr>
          <w:p w14:paraId="3EB2F40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3%过氧化氢（H2O2)溶液</w:t>
            </w:r>
          </w:p>
        </w:tc>
        <w:tc>
          <w:tcPr>
            <w:tcW w:w="4551" w:type="dxa"/>
            <w:vAlign w:val="center"/>
          </w:tcPr>
          <w:p w14:paraId="4E38E01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20支/盒，用于过氧化氢酶试验</w:t>
            </w:r>
          </w:p>
        </w:tc>
        <w:tc>
          <w:tcPr>
            <w:tcW w:w="912" w:type="dxa"/>
            <w:vAlign w:val="center"/>
          </w:tcPr>
          <w:p w14:paraId="149BE58F">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343E62C6">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20</w:t>
            </w:r>
          </w:p>
        </w:tc>
        <w:tc>
          <w:tcPr>
            <w:tcW w:w="829" w:type="dxa"/>
            <w:vAlign w:val="center"/>
          </w:tcPr>
          <w:p w14:paraId="78D9307E">
            <w:pPr>
              <w:widowControl/>
              <w:jc w:val="center"/>
              <w:textAlignment w:val="center"/>
              <w:rPr>
                <w:rFonts w:hint="eastAsia" w:ascii="宋体" w:hAnsi="宋体" w:eastAsia="宋体" w:cs="宋体"/>
                <w:color w:val="000000"/>
                <w:kern w:val="0"/>
                <w:sz w:val="24"/>
                <w:szCs w:val="24"/>
                <w:lang w:bidi="ar"/>
              </w:rPr>
            </w:pPr>
          </w:p>
        </w:tc>
      </w:tr>
      <w:tr w14:paraId="58E26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755A56E9">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95</w:t>
            </w:r>
          </w:p>
        </w:tc>
        <w:tc>
          <w:tcPr>
            <w:tcW w:w="1543" w:type="dxa"/>
            <w:vAlign w:val="center"/>
          </w:tcPr>
          <w:p w14:paraId="67693B4F">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β型溶血性链球菌PCR试剂盒</w:t>
            </w:r>
          </w:p>
        </w:tc>
        <w:tc>
          <w:tcPr>
            <w:tcW w:w="4551" w:type="dxa"/>
            <w:vAlign w:val="center"/>
          </w:tcPr>
          <w:p w14:paraId="652A2FD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可适用于Thermofish Q5、Q7和7500等荧光定量PCR仪；</w:t>
            </w:r>
          </w:p>
        </w:tc>
        <w:tc>
          <w:tcPr>
            <w:tcW w:w="912" w:type="dxa"/>
            <w:vAlign w:val="center"/>
          </w:tcPr>
          <w:p w14:paraId="0B0D8BF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75A159AF">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w:t>
            </w:r>
          </w:p>
        </w:tc>
        <w:tc>
          <w:tcPr>
            <w:tcW w:w="829" w:type="dxa"/>
            <w:vAlign w:val="center"/>
          </w:tcPr>
          <w:p w14:paraId="77CACEF2">
            <w:pPr>
              <w:widowControl/>
              <w:jc w:val="center"/>
              <w:textAlignment w:val="center"/>
              <w:rPr>
                <w:rFonts w:hint="eastAsia" w:ascii="宋体" w:hAnsi="宋体" w:eastAsia="宋体" w:cs="宋体"/>
                <w:color w:val="000000"/>
                <w:kern w:val="0"/>
                <w:sz w:val="24"/>
                <w:szCs w:val="24"/>
                <w:lang w:bidi="ar"/>
              </w:rPr>
            </w:pPr>
          </w:p>
        </w:tc>
      </w:tr>
      <w:tr w14:paraId="0FE87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3C9DFC29">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96</w:t>
            </w:r>
          </w:p>
        </w:tc>
        <w:tc>
          <w:tcPr>
            <w:tcW w:w="1543" w:type="dxa"/>
            <w:vAlign w:val="center"/>
          </w:tcPr>
          <w:p w14:paraId="2C0C640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马铃薯葡萄糖琼脂</w:t>
            </w:r>
          </w:p>
        </w:tc>
        <w:tc>
          <w:tcPr>
            <w:tcW w:w="4551" w:type="dxa"/>
            <w:vAlign w:val="center"/>
          </w:tcPr>
          <w:p w14:paraId="3B265FE6">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250g/瓶,用于霉菌和酵母菌计数（GB标准）</w:t>
            </w:r>
          </w:p>
        </w:tc>
        <w:tc>
          <w:tcPr>
            <w:tcW w:w="912" w:type="dxa"/>
            <w:vAlign w:val="center"/>
          </w:tcPr>
          <w:p w14:paraId="20461BD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70F0F49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829" w:type="dxa"/>
            <w:vAlign w:val="center"/>
          </w:tcPr>
          <w:p w14:paraId="1AB88BC0">
            <w:pPr>
              <w:widowControl/>
              <w:jc w:val="center"/>
              <w:textAlignment w:val="center"/>
              <w:rPr>
                <w:rFonts w:hint="eastAsia" w:ascii="宋体" w:hAnsi="宋体" w:eastAsia="宋体" w:cs="宋体"/>
                <w:color w:val="000000"/>
                <w:kern w:val="0"/>
                <w:sz w:val="24"/>
                <w:szCs w:val="24"/>
                <w:lang w:bidi="ar"/>
              </w:rPr>
            </w:pPr>
          </w:p>
        </w:tc>
      </w:tr>
      <w:tr w14:paraId="5860B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31E97F88">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97</w:t>
            </w:r>
          </w:p>
        </w:tc>
        <w:tc>
          <w:tcPr>
            <w:tcW w:w="1543" w:type="dxa"/>
            <w:vAlign w:val="center"/>
          </w:tcPr>
          <w:p w14:paraId="39D15E88">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十六烷基三甲基溴化铵培养基</w:t>
            </w:r>
          </w:p>
        </w:tc>
        <w:tc>
          <w:tcPr>
            <w:tcW w:w="4551" w:type="dxa"/>
            <w:vAlign w:val="center"/>
          </w:tcPr>
          <w:p w14:paraId="761957A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250g/瓶，如有添加剂需提供配套添加剂。</w:t>
            </w:r>
          </w:p>
        </w:tc>
        <w:tc>
          <w:tcPr>
            <w:tcW w:w="912" w:type="dxa"/>
            <w:vAlign w:val="center"/>
          </w:tcPr>
          <w:p w14:paraId="570F8E8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7017AF16">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1FFB3F46">
            <w:pPr>
              <w:widowControl/>
              <w:jc w:val="center"/>
              <w:textAlignment w:val="center"/>
              <w:rPr>
                <w:rFonts w:hint="eastAsia" w:ascii="宋体" w:hAnsi="宋体" w:eastAsia="宋体" w:cs="宋体"/>
                <w:color w:val="000000"/>
                <w:kern w:val="0"/>
                <w:sz w:val="24"/>
                <w:szCs w:val="24"/>
                <w:lang w:bidi="ar"/>
              </w:rPr>
            </w:pPr>
          </w:p>
        </w:tc>
      </w:tr>
      <w:tr w14:paraId="0396E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462C4AE5">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98</w:t>
            </w:r>
          </w:p>
        </w:tc>
        <w:tc>
          <w:tcPr>
            <w:tcW w:w="1543" w:type="dxa"/>
            <w:vAlign w:val="center"/>
          </w:tcPr>
          <w:p w14:paraId="1BDE86B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乙酰胺培养基</w:t>
            </w:r>
          </w:p>
        </w:tc>
        <w:tc>
          <w:tcPr>
            <w:tcW w:w="4551" w:type="dxa"/>
            <w:vAlign w:val="center"/>
          </w:tcPr>
          <w:p w14:paraId="44231ED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250g/瓶，用于铜绿假单胞菌的选择性分离培养，如有添加剂需提供配套添加剂。</w:t>
            </w:r>
          </w:p>
        </w:tc>
        <w:tc>
          <w:tcPr>
            <w:tcW w:w="912" w:type="dxa"/>
            <w:vAlign w:val="center"/>
          </w:tcPr>
          <w:p w14:paraId="4A4E795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395463C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2B8D4FD5">
            <w:pPr>
              <w:widowControl/>
              <w:jc w:val="center"/>
              <w:textAlignment w:val="center"/>
              <w:rPr>
                <w:rFonts w:hint="eastAsia" w:ascii="宋体" w:hAnsi="宋体" w:eastAsia="宋体" w:cs="宋体"/>
                <w:color w:val="000000"/>
                <w:kern w:val="0"/>
                <w:sz w:val="24"/>
                <w:szCs w:val="24"/>
                <w:lang w:bidi="ar"/>
              </w:rPr>
            </w:pPr>
          </w:p>
        </w:tc>
      </w:tr>
      <w:tr w14:paraId="38F90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22BA1DA5">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99</w:t>
            </w:r>
          </w:p>
        </w:tc>
        <w:tc>
          <w:tcPr>
            <w:tcW w:w="1543" w:type="dxa"/>
            <w:vAlign w:val="center"/>
          </w:tcPr>
          <w:p w14:paraId="3EA6559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绿脓菌素测定用培养基</w:t>
            </w:r>
          </w:p>
        </w:tc>
        <w:tc>
          <w:tcPr>
            <w:tcW w:w="4551" w:type="dxa"/>
            <w:vAlign w:val="center"/>
          </w:tcPr>
          <w:p w14:paraId="4BBA641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250g/瓶，用于绿脓杆菌的绿脓菌素测定试验，如有添加剂需提供配套添加剂。</w:t>
            </w:r>
          </w:p>
        </w:tc>
        <w:tc>
          <w:tcPr>
            <w:tcW w:w="912" w:type="dxa"/>
            <w:vAlign w:val="center"/>
          </w:tcPr>
          <w:p w14:paraId="5FA328A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0EC6BF9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0AB0ACA4">
            <w:pPr>
              <w:widowControl/>
              <w:jc w:val="center"/>
              <w:textAlignment w:val="center"/>
              <w:rPr>
                <w:rFonts w:hint="eastAsia" w:ascii="宋体" w:hAnsi="宋体" w:eastAsia="宋体" w:cs="宋体"/>
                <w:color w:val="000000"/>
                <w:kern w:val="0"/>
                <w:sz w:val="24"/>
                <w:szCs w:val="24"/>
                <w:lang w:bidi="ar"/>
              </w:rPr>
            </w:pPr>
          </w:p>
        </w:tc>
      </w:tr>
      <w:tr w14:paraId="3FD3F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4A7993DB">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100</w:t>
            </w:r>
          </w:p>
        </w:tc>
        <w:tc>
          <w:tcPr>
            <w:tcW w:w="1543" w:type="dxa"/>
            <w:vAlign w:val="center"/>
          </w:tcPr>
          <w:p w14:paraId="69BAFF2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明胶培养基</w:t>
            </w:r>
          </w:p>
        </w:tc>
        <w:tc>
          <w:tcPr>
            <w:tcW w:w="4551" w:type="dxa"/>
            <w:vAlign w:val="center"/>
          </w:tcPr>
          <w:p w14:paraId="50FA370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100g/瓶，供测定细菌液化明胶使用（15版化妆品卫生规范）</w:t>
            </w:r>
          </w:p>
        </w:tc>
        <w:tc>
          <w:tcPr>
            <w:tcW w:w="912" w:type="dxa"/>
            <w:vAlign w:val="center"/>
          </w:tcPr>
          <w:p w14:paraId="4D0AE04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6FC6428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4DACBE2C">
            <w:pPr>
              <w:widowControl/>
              <w:jc w:val="center"/>
              <w:textAlignment w:val="center"/>
              <w:rPr>
                <w:rFonts w:hint="eastAsia" w:ascii="宋体" w:hAnsi="宋体" w:eastAsia="宋体" w:cs="宋体"/>
                <w:color w:val="000000"/>
                <w:kern w:val="0"/>
                <w:sz w:val="24"/>
                <w:szCs w:val="24"/>
                <w:lang w:bidi="ar"/>
              </w:rPr>
            </w:pPr>
          </w:p>
        </w:tc>
      </w:tr>
      <w:tr w14:paraId="5C400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73C59879">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101</w:t>
            </w:r>
          </w:p>
        </w:tc>
        <w:tc>
          <w:tcPr>
            <w:tcW w:w="1543" w:type="dxa"/>
            <w:vAlign w:val="center"/>
          </w:tcPr>
          <w:p w14:paraId="6490704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硝酸盐蛋白胨水培养基</w:t>
            </w:r>
          </w:p>
        </w:tc>
        <w:tc>
          <w:tcPr>
            <w:tcW w:w="4551" w:type="dxa"/>
            <w:vAlign w:val="center"/>
          </w:tcPr>
          <w:p w14:paraId="08563D6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250g/瓶，如有添加剂需提供配套添加剂。</w:t>
            </w:r>
          </w:p>
        </w:tc>
        <w:tc>
          <w:tcPr>
            <w:tcW w:w="912" w:type="dxa"/>
            <w:vAlign w:val="center"/>
          </w:tcPr>
          <w:p w14:paraId="4537311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77C162F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01E75546">
            <w:pPr>
              <w:widowControl/>
              <w:jc w:val="center"/>
              <w:textAlignment w:val="center"/>
              <w:rPr>
                <w:rFonts w:hint="eastAsia" w:ascii="宋体" w:hAnsi="宋体" w:eastAsia="宋体" w:cs="宋体"/>
                <w:color w:val="000000"/>
                <w:kern w:val="0"/>
                <w:sz w:val="24"/>
                <w:szCs w:val="24"/>
                <w:lang w:bidi="ar"/>
              </w:rPr>
            </w:pPr>
          </w:p>
        </w:tc>
      </w:tr>
      <w:tr w14:paraId="26926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35564EBD">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102</w:t>
            </w:r>
          </w:p>
        </w:tc>
        <w:tc>
          <w:tcPr>
            <w:tcW w:w="1543" w:type="dxa"/>
            <w:vAlign w:val="center"/>
          </w:tcPr>
          <w:p w14:paraId="7006266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普通琼脂斜面培养基</w:t>
            </w:r>
          </w:p>
        </w:tc>
        <w:tc>
          <w:tcPr>
            <w:tcW w:w="4551" w:type="dxa"/>
            <w:vAlign w:val="center"/>
          </w:tcPr>
          <w:p w14:paraId="4A29597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8.5ml×20支/盒，用于绿脓杆菌生长试验（GB）</w:t>
            </w:r>
          </w:p>
        </w:tc>
        <w:tc>
          <w:tcPr>
            <w:tcW w:w="912" w:type="dxa"/>
            <w:vAlign w:val="center"/>
          </w:tcPr>
          <w:p w14:paraId="0AD7956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6804E72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80</w:t>
            </w:r>
          </w:p>
        </w:tc>
        <w:tc>
          <w:tcPr>
            <w:tcW w:w="829" w:type="dxa"/>
            <w:vAlign w:val="center"/>
          </w:tcPr>
          <w:p w14:paraId="2BF05202">
            <w:pPr>
              <w:widowControl/>
              <w:jc w:val="center"/>
              <w:textAlignment w:val="center"/>
              <w:rPr>
                <w:rFonts w:hint="eastAsia" w:ascii="宋体" w:hAnsi="宋体" w:eastAsia="宋体" w:cs="宋体"/>
                <w:color w:val="000000"/>
                <w:kern w:val="0"/>
                <w:sz w:val="24"/>
                <w:szCs w:val="24"/>
                <w:lang w:bidi="ar"/>
              </w:rPr>
            </w:pPr>
          </w:p>
        </w:tc>
      </w:tr>
      <w:tr w14:paraId="705C9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31611359">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103</w:t>
            </w:r>
          </w:p>
        </w:tc>
        <w:tc>
          <w:tcPr>
            <w:tcW w:w="1543" w:type="dxa"/>
            <w:vAlign w:val="center"/>
          </w:tcPr>
          <w:p w14:paraId="26617AA6">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EC肉汤（含小倒管）</w:t>
            </w:r>
          </w:p>
        </w:tc>
        <w:tc>
          <w:tcPr>
            <w:tcW w:w="4551" w:type="dxa"/>
            <w:vAlign w:val="center"/>
          </w:tcPr>
          <w:p w14:paraId="063F999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用于大肠菌群、大肠杆菌的测定，10ml/管，无菌成品培养基，20支/盒。</w:t>
            </w:r>
          </w:p>
        </w:tc>
        <w:tc>
          <w:tcPr>
            <w:tcW w:w="912" w:type="dxa"/>
            <w:vAlign w:val="center"/>
          </w:tcPr>
          <w:p w14:paraId="33B53F18">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4712667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100</w:t>
            </w:r>
          </w:p>
        </w:tc>
        <w:tc>
          <w:tcPr>
            <w:tcW w:w="829" w:type="dxa"/>
            <w:vAlign w:val="center"/>
          </w:tcPr>
          <w:p w14:paraId="57AD9DAE">
            <w:pPr>
              <w:widowControl/>
              <w:jc w:val="center"/>
              <w:textAlignment w:val="center"/>
              <w:rPr>
                <w:rFonts w:hint="eastAsia" w:ascii="宋体" w:hAnsi="宋体" w:eastAsia="宋体" w:cs="宋体"/>
                <w:color w:val="000000"/>
                <w:kern w:val="0"/>
                <w:sz w:val="24"/>
                <w:szCs w:val="24"/>
                <w:lang w:bidi="ar"/>
              </w:rPr>
            </w:pPr>
          </w:p>
        </w:tc>
      </w:tr>
      <w:tr w14:paraId="3A505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02AC93F1">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104</w:t>
            </w:r>
          </w:p>
        </w:tc>
        <w:tc>
          <w:tcPr>
            <w:tcW w:w="1543" w:type="dxa"/>
            <w:vAlign w:val="center"/>
          </w:tcPr>
          <w:p w14:paraId="7B95DE4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EC-MUG培养基管</w:t>
            </w:r>
          </w:p>
        </w:tc>
        <w:tc>
          <w:tcPr>
            <w:tcW w:w="4551" w:type="dxa"/>
            <w:vAlign w:val="center"/>
          </w:tcPr>
          <w:p w14:paraId="13572C9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用于大肠菌群、大肠杆菌的测定，10ml/管，无菌成品培养基，20支/盒。</w:t>
            </w:r>
          </w:p>
        </w:tc>
        <w:tc>
          <w:tcPr>
            <w:tcW w:w="912" w:type="dxa"/>
            <w:vAlign w:val="center"/>
          </w:tcPr>
          <w:p w14:paraId="08A0BB6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359EFBF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100</w:t>
            </w:r>
          </w:p>
        </w:tc>
        <w:tc>
          <w:tcPr>
            <w:tcW w:w="829" w:type="dxa"/>
            <w:vAlign w:val="center"/>
          </w:tcPr>
          <w:p w14:paraId="33347C27">
            <w:pPr>
              <w:widowControl/>
              <w:jc w:val="center"/>
              <w:textAlignment w:val="center"/>
              <w:rPr>
                <w:rFonts w:hint="eastAsia" w:ascii="宋体" w:hAnsi="宋体" w:eastAsia="宋体" w:cs="宋体"/>
                <w:color w:val="000000"/>
                <w:kern w:val="0"/>
                <w:sz w:val="24"/>
                <w:szCs w:val="24"/>
                <w:lang w:bidi="ar"/>
              </w:rPr>
            </w:pPr>
          </w:p>
        </w:tc>
      </w:tr>
      <w:tr w14:paraId="110CD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05974E22">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105</w:t>
            </w:r>
          </w:p>
        </w:tc>
        <w:tc>
          <w:tcPr>
            <w:tcW w:w="1543" w:type="dxa"/>
            <w:vAlign w:val="center"/>
          </w:tcPr>
          <w:p w14:paraId="16F4EEA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单料乳糖蛋白胨培养液（含小倒管）</w:t>
            </w:r>
          </w:p>
        </w:tc>
        <w:tc>
          <w:tcPr>
            <w:tcW w:w="4551" w:type="dxa"/>
            <w:vAlign w:val="center"/>
          </w:tcPr>
          <w:p w14:paraId="602F89E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10ml/管，无菌成品培养基，20支/盒</w:t>
            </w:r>
          </w:p>
        </w:tc>
        <w:tc>
          <w:tcPr>
            <w:tcW w:w="912" w:type="dxa"/>
            <w:vAlign w:val="center"/>
          </w:tcPr>
          <w:p w14:paraId="7C0AE78F">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6CB9E77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100</w:t>
            </w:r>
          </w:p>
        </w:tc>
        <w:tc>
          <w:tcPr>
            <w:tcW w:w="829" w:type="dxa"/>
            <w:vAlign w:val="center"/>
          </w:tcPr>
          <w:p w14:paraId="5DA293CB">
            <w:pPr>
              <w:widowControl/>
              <w:jc w:val="center"/>
              <w:textAlignment w:val="center"/>
              <w:rPr>
                <w:rFonts w:hint="eastAsia" w:ascii="宋体" w:hAnsi="宋体" w:eastAsia="宋体" w:cs="宋体"/>
                <w:color w:val="000000"/>
                <w:kern w:val="0"/>
                <w:sz w:val="24"/>
                <w:szCs w:val="24"/>
                <w:lang w:bidi="ar"/>
              </w:rPr>
            </w:pPr>
          </w:p>
        </w:tc>
      </w:tr>
      <w:tr w14:paraId="5AE95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6B815608">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106</w:t>
            </w:r>
          </w:p>
        </w:tc>
        <w:tc>
          <w:tcPr>
            <w:tcW w:w="1543" w:type="dxa"/>
            <w:vAlign w:val="center"/>
          </w:tcPr>
          <w:p w14:paraId="40BBAD7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双料乳糖蛋白胨培养液（含小倒管）</w:t>
            </w:r>
          </w:p>
        </w:tc>
        <w:tc>
          <w:tcPr>
            <w:tcW w:w="4551" w:type="dxa"/>
            <w:vAlign w:val="center"/>
          </w:tcPr>
          <w:p w14:paraId="2514719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10ml/管，无菌成品培养基，20支/盒</w:t>
            </w:r>
          </w:p>
        </w:tc>
        <w:tc>
          <w:tcPr>
            <w:tcW w:w="912" w:type="dxa"/>
            <w:vAlign w:val="center"/>
          </w:tcPr>
          <w:p w14:paraId="5BDCA55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0904C01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100</w:t>
            </w:r>
          </w:p>
        </w:tc>
        <w:tc>
          <w:tcPr>
            <w:tcW w:w="829" w:type="dxa"/>
            <w:vAlign w:val="center"/>
          </w:tcPr>
          <w:p w14:paraId="0FFF0A22">
            <w:pPr>
              <w:widowControl/>
              <w:jc w:val="center"/>
              <w:textAlignment w:val="center"/>
              <w:rPr>
                <w:rFonts w:hint="eastAsia" w:ascii="宋体" w:hAnsi="宋体" w:eastAsia="宋体" w:cs="宋体"/>
                <w:color w:val="000000"/>
                <w:kern w:val="0"/>
                <w:sz w:val="24"/>
                <w:szCs w:val="24"/>
                <w:lang w:bidi="ar"/>
              </w:rPr>
            </w:pPr>
          </w:p>
        </w:tc>
      </w:tr>
      <w:tr w14:paraId="5DBB5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082766E1">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107</w:t>
            </w:r>
          </w:p>
        </w:tc>
        <w:tc>
          <w:tcPr>
            <w:tcW w:w="1543" w:type="dxa"/>
            <w:vAlign w:val="center"/>
          </w:tcPr>
          <w:p w14:paraId="47055C1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MFC培养基</w:t>
            </w:r>
          </w:p>
        </w:tc>
        <w:tc>
          <w:tcPr>
            <w:tcW w:w="4551" w:type="dxa"/>
            <w:vAlign w:val="center"/>
          </w:tcPr>
          <w:p w14:paraId="6168FD6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250g/瓶，如有添加剂需提供配套添加剂。</w:t>
            </w:r>
          </w:p>
        </w:tc>
        <w:tc>
          <w:tcPr>
            <w:tcW w:w="912" w:type="dxa"/>
            <w:vAlign w:val="center"/>
          </w:tcPr>
          <w:p w14:paraId="048C436F">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4C57F436">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087998E5">
            <w:pPr>
              <w:widowControl/>
              <w:jc w:val="center"/>
              <w:textAlignment w:val="center"/>
              <w:rPr>
                <w:rFonts w:hint="eastAsia" w:ascii="宋体" w:hAnsi="宋体" w:eastAsia="宋体" w:cs="宋体"/>
                <w:color w:val="000000"/>
                <w:kern w:val="0"/>
                <w:sz w:val="24"/>
                <w:szCs w:val="24"/>
                <w:lang w:bidi="ar"/>
              </w:rPr>
            </w:pPr>
          </w:p>
        </w:tc>
      </w:tr>
      <w:tr w14:paraId="6DF1B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48EC28E5">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108</w:t>
            </w:r>
          </w:p>
        </w:tc>
        <w:tc>
          <w:tcPr>
            <w:tcW w:w="1543" w:type="dxa"/>
            <w:vAlign w:val="center"/>
          </w:tcPr>
          <w:p w14:paraId="0AA114A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1mol/L HCl溶液</w:t>
            </w:r>
          </w:p>
        </w:tc>
        <w:tc>
          <w:tcPr>
            <w:tcW w:w="4551" w:type="dxa"/>
            <w:vAlign w:val="center"/>
          </w:tcPr>
          <w:p w14:paraId="61E2416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500ml/瓶</w:t>
            </w:r>
          </w:p>
        </w:tc>
        <w:tc>
          <w:tcPr>
            <w:tcW w:w="912" w:type="dxa"/>
            <w:vAlign w:val="center"/>
          </w:tcPr>
          <w:p w14:paraId="27FC9056">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20B3F5F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2BF1B173">
            <w:pPr>
              <w:widowControl/>
              <w:jc w:val="center"/>
              <w:textAlignment w:val="center"/>
              <w:rPr>
                <w:rFonts w:hint="eastAsia" w:ascii="宋体" w:hAnsi="宋体" w:eastAsia="宋体" w:cs="宋体"/>
                <w:color w:val="000000"/>
                <w:kern w:val="0"/>
                <w:sz w:val="24"/>
                <w:szCs w:val="24"/>
                <w:lang w:bidi="ar"/>
              </w:rPr>
            </w:pPr>
          </w:p>
        </w:tc>
      </w:tr>
      <w:tr w14:paraId="4BC99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5D328502">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109</w:t>
            </w:r>
          </w:p>
        </w:tc>
        <w:tc>
          <w:tcPr>
            <w:tcW w:w="1543" w:type="dxa"/>
            <w:vAlign w:val="center"/>
          </w:tcPr>
          <w:p w14:paraId="69C3099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1mol/L NaOH溶液</w:t>
            </w:r>
          </w:p>
        </w:tc>
        <w:tc>
          <w:tcPr>
            <w:tcW w:w="4551" w:type="dxa"/>
            <w:vAlign w:val="center"/>
          </w:tcPr>
          <w:p w14:paraId="2281071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500ml/瓶</w:t>
            </w:r>
          </w:p>
        </w:tc>
        <w:tc>
          <w:tcPr>
            <w:tcW w:w="912" w:type="dxa"/>
            <w:vAlign w:val="center"/>
          </w:tcPr>
          <w:p w14:paraId="5D4F9DC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5261AC2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2B614F39">
            <w:pPr>
              <w:widowControl/>
              <w:jc w:val="center"/>
              <w:textAlignment w:val="center"/>
              <w:rPr>
                <w:rFonts w:hint="eastAsia" w:ascii="宋体" w:hAnsi="宋体" w:eastAsia="宋体" w:cs="宋体"/>
                <w:color w:val="000000"/>
                <w:kern w:val="0"/>
                <w:sz w:val="24"/>
                <w:szCs w:val="24"/>
                <w:lang w:bidi="ar"/>
              </w:rPr>
            </w:pPr>
          </w:p>
        </w:tc>
      </w:tr>
      <w:tr w14:paraId="73D18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7CF58EFF">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110</w:t>
            </w:r>
          </w:p>
        </w:tc>
        <w:tc>
          <w:tcPr>
            <w:tcW w:w="1543" w:type="dxa"/>
            <w:vAlign w:val="center"/>
          </w:tcPr>
          <w:p w14:paraId="78CDFAF8">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E-buffer 溶液</w:t>
            </w:r>
          </w:p>
        </w:tc>
        <w:tc>
          <w:tcPr>
            <w:tcW w:w="4551" w:type="dxa"/>
            <w:vAlign w:val="center"/>
          </w:tcPr>
          <w:p w14:paraId="0DED4718">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2ml*10支/盒，用于产志贺毒素大肠埃希氏菌stx阳性样品增菌液的重悬或增菌液酸处理后的稀释</w:t>
            </w:r>
          </w:p>
        </w:tc>
        <w:tc>
          <w:tcPr>
            <w:tcW w:w="912" w:type="dxa"/>
            <w:vAlign w:val="center"/>
          </w:tcPr>
          <w:p w14:paraId="4B8908F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22775B0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20</w:t>
            </w:r>
          </w:p>
        </w:tc>
        <w:tc>
          <w:tcPr>
            <w:tcW w:w="829" w:type="dxa"/>
            <w:vAlign w:val="center"/>
          </w:tcPr>
          <w:p w14:paraId="218C55E5">
            <w:pPr>
              <w:widowControl/>
              <w:jc w:val="center"/>
              <w:textAlignment w:val="center"/>
              <w:rPr>
                <w:rFonts w:hint="eastAsia" w:ascii="宋体" w:hAnsi="宋体" w:eastAsia="宋体" w:cs="宋体"/>
                <w:color w:val="000000"/>
                <w:kern w:val="0"/>
                <w:sz w:val="24"/>
                <w:szCs w:val="24"/>
                <w:lang w:bidi="ar"/>
              </w:rPr>
            </w:pPr>
          </w:p>
        </w:tc>
      </w:tr>
      <w:tr w14:paraId="19B5F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0BDD4004">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111</w:t>
            </w:r>
          </w:p>
        </w:tc>
        <w:tc>
          <w:tcPr>
            <w:tcW w:w="1543" w:type="dxa"/>
            <w:vAlign w:val="center"/>
          </w:tcPr>
          <w:p w14:paraId="0746BF2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含225ml EC肉汤均质袋</w:t>
            </w:r>
          </w:p>
        </w:tc>
        <w:tc>
          <w:tcPr>
            <w:tcW w:w="4551" w:type="dxa"/>
            <w:vAlign w:val="center"/>
          </w:tcPr>
          <w:p w14:paraId="3DBDC60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10个/盒，用于致泻大肠埃希氏菌的增菌培养</w:t>
            </w:r>
          </w:p>
        </w:tc>
        <w:tc>
          <w:tcPr>
            <w:tcW w:w="912" w:type="dxa"/>
            <w:vAlign w:val="center"/>
          </w:tcPr>
          <w:p w14:paraId="6176807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c>
          <w:tcPr>
            <w:tcW w:w="900" w:type="dxa"/>
            <w:vAlign w:val="center"/>
          </w:tcPr>
          <w:p w14:paraId="416E9C3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40</w:t>
            </w:r>
          </w:p>
        </w:tc>
        <w:tc>
          <w:tcPr>
            <w:tcW w:w="829" w:type="dxa"/>
            <w:vAlign w:val="center"/>
          </w:tcPr>
          <w:p w14:paraId="180497A4">
            <w:pPr>
              <w:widowControl/>
              <w:jc w:val="center"/>
              <w:textAlignment w:val="center"/>
              <w:rPr>
                <w:rFonts w:hint="eastAsia" w:ascii="宋体" w:hAnsi="宋体" w:eastAsia="宋体" w:cs="宋体"/>
                <w:color w:val="000000"/>
                <w:kern w:val="0"/>
                <w:sz w:val="24"/>
                <w:szCs w:val="24"/>
                <w:lang w:bidi="ar"/>
              </w:rPr>
            </w:pPr>
          </w:p>
        </w:tc>
      </w:tr>
      <w:tr w14:paraId="7C759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5A0AFAC1">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112</w:t>
            </w:r>
          </w:p>
        </w:tc>
        <w:tc>
          <w:tcPr>
            <w:tcW w:w="1543" w:type="dxa"/>
            <w:vAlign w:val="center"/>
          </w:tcPr>
          <w:p w14:paraId="78922C1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mTSB</w:t>
            </w:r>
          </w:p>
        </w:tc>
        <w:tc>
          <w:tcPr>
            <w:tcW w:w="4551" w:type="dxa"/>
            <w:vAlign w:val="center"/>
          </w:tcPr>
          <w:p w14:paraId="725F34E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250g/瓶，用于产志贺毒素大肠埃希氏菌样品制备和增菌</w:t>
            </w:r>
          </w:p>
        </w:tc>
        <w:tc>
          <w:tcPr>
            <w:tcW w:w="912" w:type="dxa"/>
            <w:vAlign w:val="center"/>
          </w:tcPr>
          <w:p w14:paraId="266674C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6A2FCC8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3DC5944A">
            <w:pPr>
              <w:widowControl/>
              <w:jc w:val="center"/>
              <w:textAlignment w:val="center"/>
              <w:rPr>
                <w:rFonts w:hint="eastAsia" w:ascii="宋体" w:hAnsi="宋体" w:eastAsia="宋体" w:cs="宋体"/>
                <w:color w:val="000000"/>
                <w:kern w:val="0"/>
                <w:sz w:val="24"/>
                <w:szCs w:val="24"/>
                <w:lang w:bidi="ar"/>
              </w:rPr>
            </w:pPr>
          </w:p>
        </w:tc>
      </w:tr>
      <w:tr w14:paraId="261C7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13575020">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113</w:t>
            </w:r>
          </w:p>
        </w:tc>
        <w:tc>
          <w:tcPr>
            <w:tcW w:w="1543" w:type="dxa"/>
            <w:vAlign w:val="center"/>
          </w:tcPr>
          <w:p w14:paraId="7422AE4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STEC显色培养基</w:t>
            </w:r>
          </w:p>
        </w:tc>
        <w:tc>
          <w:tcPr>
            <w:tcW w:w="4551" w:type="dxa"/>
            <w:vAlign w:val="center"/>
          </w:tcPr>
          <w:p w14:paraId="4E326CE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1L/瓶，含增补剂，用于产志贺毒素大肠杆菌的检测</w:t>
            </w:r>
          </w:p>
        </w:tc>
        <w:tc>
          <w:tcPr>
            <w:tcW w:w="912" w:type="dxa"/>
            <w:vAlign w:val="center"/>
          </w:tcPr>
          <w:p w14:paraId="4D46B80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07F81A7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635FDD1B">
            <w:pPr>
              <w:widowControl/>
              <w:jc w:val="center"/>
              <w:textAlignment w:val="center"/>
              <w:rPr>
                <w:rFonts w:hint="eastAsia" w:ascii="宋体" w:hAnsi="宋体" w:eastAsia="宋体" w:cs="宋体"/>
                <w:color w:val="000000"/>
                <w:kern w:val="0"/>
                <w:sz w:val="24"/>
                <w:szCs w:val="24"/>
                <w:lang w:bidi="ar"/>
              </w:rPr>
            </w:pPr>
          </w:p>
        </w:tc>
      </w:tr>
      <w:tr w14:paraId="4F0AB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6" w:hRule="atLeast"/>
        </w:trPr>
        <w:tc>
          <w:tcPr>
            <w:tcW w:w="627" w:type="dxa"/>
            <w:vAlign w:val="center"/>
          </w:tcPr>
          <w:p w14:paraId="6E50C8C8">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114</w:t>
            </w:r>
          </w:p>
        </w:tc>
        <w:tc>
          <w:tcPr>
            <w:tcW w:w="1543" w:type="dxa"/>
            <w:vAlign w:val="center"/>
          </w:tcPr>
          <w:p w14:paraId="6212AB6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产志贺毒素大肠埃希氏菌(stx1、stx2、16S rDNA)核酸三重实时荧光PCR检测试剂盒</w:t>
            </w:r>
          </w:p>
        </w:tc>
        <w:tc>
          <w:tcPr>
            <w:tcW w:w="4551" w:type="dxa"/>
            <w:vAlign w:val="center"/>
          </w:tcPr>
          <w:p w14:paraId="245D3244">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25T/盒，1.适用于定性检测STEC的stx1、stx2、16S rDNA；</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2.预混液试剂，配液体系仅需2管（反应液1管+酶混合液1管）；亦可提供全混试剂，无需配液，直接分装加样即可。</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3.检测性能：灵敏度≤500copies/ml，与其他病原无交叉反应</w:t>
            </w:r>
          </w:p>
        </w:tc>
        <w:tc>
          <w:tcPr>
            <w:tcW w:w="912" w:type="dxa"/>
            <w:vAlign w:val="center"/>
          </w:tcPr>
          <w:p w14:paraId="0FFFA45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35FD9CB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w:t>
            </w:r>
          </w:p>
        </w:tc>
        <w:tc>
          <w:tcPr>
            <w:tcW w:w="829" w:type="dxa"/>
            <w:vAlign w:val="center"/>
          </w:tcPr>
          <w:p w14:paraId="0B6F23B7">
            <w:pPr>
              <w:widowControl/>
              <w:jc w:val="center"/>
              <w:textAlignment w:val="center"/>
              <w:rPr>
                <w:rFonts w:hint="eastAsia" w:ascii="宋体" w:hAnsi="宋体" w:eastAsia="宋体" w:cs="宋体"/>
                <w:color w:val="000000"/>
                <w:kern w:val="0"/>
                <w:sz w:val="24"/>
                <w:szCs w:val="24"/>
                <w:lang w:bidi="ar"/>
              </w:rPr>
            </w:pPr>
          </w:p>
        </w:tc>
      </w:tr>
      <w:tr w14:paraId="2435C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011CEDE1">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115</w:t>
            </w:r>
          </w:p>
        </w:tc>
        <w:tc>
          <w:tcPr>
            <w:tcW w:w="1543" w:type="dxa"/>
            <w:vAlign w:val="center"/>
          </w:tcPr>
          <w:p w14:paraId="6E4EBF2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麦康凯琼脂平板</w:t>
            </w:r>
          </w:p>
        </w:tc>
        <w:tc>
          <w:tcPr>
            <w:tcW w:w="4551" w:type="dxa"/>
            <w:vAlign w:val="center"/>
          </w:tcPr>
          <w:p w14:paraId="1FDA6968">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90mm，用于肠道致病菌的选择性分离、培养</w:t>
            </w:r>
          </w:p>
        </w:tc>
        <w:tc>
          <w:tcPr>
            <w:tcW w:w="912" w:type="dxa"/>
            <w:vAlign w:val="center"/>
          </w:tcPr>
          <w:p w14:paraId="56283D1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块</w:t>
            </w:r>
          </w:p>
        </w:tc>
        <w:tc>
          <w:tcPr>
            <w:tcW w:w="900" w:type="dxa"/>
            <w:vAlign w:val="center"/>
          </w:tcPr>
          <w:p w14:paraId="50D78588">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40</w:t>
            </w:r>
          </w:p>
        </w:tc>
        <w:tc>
          <w:tcPr>
            <w:tcW w:w="829" w:type="dxa"/>
            <w:vAlign w:val="center"/>
          </w:tcPr>
          <w:p w14:paraId="00E70181">
            <w:pPr>
              <w:widowControl/>
              <w:jc w:val="center"/>
              <w:textAlignment w:val="center"/>
              <w:rPr>
                <w:rFonts w:hint="eastAsia" w:ascii="宋体" w:hAnsi="宋体" w:eastAsia="宋体" w:cs="宋体"/>
                <w:color w:val="000000"/>
                <w:kern w:val="0"/>
                <w:sz w:val="24"/>
                <w:szCs w:val="24"/>
                <w:lang w:bidi="ar"/>
              </w:rPr>
            </w:pPr>
          </w:p>
        </w:tc>
      </w:tr>
      <w:tr w14:paraId="1641A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3CC9B8C2">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116</w:t>
            </w:r>
          </w:p>
        </w:tc>
        <w:tc>
          <w:tcPr>
            <w:tcW w:w="1543" w:type="dxa"/>
            <w:vAlign w:val="center"/>
          </w:tcPr>
          <w:p w14:paraId="6A2ACD9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麦康凯琼脂培养基</w:t>
            </w:r>
          </w:p>
        </w:tc>
        <w:tc>
          <w:tcPr>
            <w:tcW w:w="4551" w:type="dxa"/>
            <w:vAlign w:val="center"/>
          </w:tcPr>
          <w:p w14:paraId="3AE3AC7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250g/瓶，含添加剂，用于肠道致病菌的选择性分离、培养</w:t>
            </w:r>
          </w:p>
        </w:tc>
        <w:tc>
          <w:tcPr>
            <w:tcW w:w="912" w:type="dxa"/>
            <w:vAlign w:val="center"/>
          </w:tcPr>
          <w:p w14:paraId="7A52FEC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3DB7D60F">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25550280">
            <w:pPr>
              <w:widowControl/>
              <w:jc w:val="center"/>
              <w:textAlignment w:val="center"/>
              <w:rPr>
                <w:rFonts w:hint="eastAsia" w:ascii="宋体" w:hAnsi="宋体" w:eastAsia="宋体" w:cs="宋体"/>
                <w:color w:val="000000"/>
                <w:kern w:val="0"/>
                <w:sz w:val="24"/>
                <w:szCs w:val="24"/>
                <w:lang w:bidi="ar"/>
              </w:rPr>
            </w:pPr>
          </w:p>
        </w:tc>
      </w:tr>
      <w:tr w14:paraId="23DB5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6DDB4F22">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117</w:t>
            </w:r>
          </w:p>
        </w:tc>
        <w:tc>
          <w:tcPr>
            <w:tcW w:w="1543" w:type="dxa"/>
            <w:vAlign w:val="center"/>
          </w:tcPr>
          <w:p w14:paraId="2F90464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TSA培养基平板</w:t>
            </w:r>
          </w:p>
        </w:tc>
        <w:tc>
          <w:tcPr>
            <w:tcW w:w="4551" w:type="dxa"/>
            <w:vAlign w:val="center"/>
          </w:tcPr>
          <w:p w14:paraId="3655B12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90mm，用于肠道致病菌的选择性分离、培养</w:t>
            </w:r>
          </w:p>
        </w:tc>
        <w:tc>
          <w:tcPr>
            <w:tcW w:w="912" w:type="dxa"/>
            <w:vAlign w:val="center"/>
          </w:tcPr>
          <w:p w14:paraId="02613B2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块</w:t>
            </w:r>
          </w:p>
        </w:tc>
        <w:tc>
          <w:tcPr>
            <w:tcW w:w="900" w:type="dxa"/>
            <w:vAlign w:val="center"/>
          </w:tcPr>
          <w:p w14:paraId="4FD31F08">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40</w:t>
            </w:r>
          </w:p>
        </w:tc>
        <w:tc>
          <w:tcPr>
            <w:tcW w:w="829" w:type="dxa"/>
            <w:vAlign w:val="center"/>
          </w:tcPr>
          <w:p w14:paraId="5A32F9C3">
            <w:pPr>
              <w:widowControl/>
              <w:jc w:val="center"/>
              <w:textAlignment w:val="center"/>
              <w:rPr>
                <w:rFonts w:hint="eastAsia" w:ascii="宋体" w:hAnsi="宋体" w:eastAsia="宋体" w:cs="宋体"/>
                <w:color w:val="000000"/>
                <w:kern w:val="0"/>
                <w:sz w:val="24"/>
                <w:szCs w:val="24"/>
                <w:lang w:bidi="ar"/>
              </w:rPr>
            </w:pPr>
          </w:p>
        </w:tc>
      </w:tr>
      <w:tr w14:paraId="45F1C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4F7525E4">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118</w:t>
            </w:r>
          </w:p>
        </w:tc>
        <w:tc>
          <w:tcPr>
            <w:tcW w:w="1543" w:type="dxa"/>
            <w:vAlign w:val="center"/>
          </w:tcPr>
          <w:p w14:paraId="3B77F27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三糖铁斜面管(TSI琼脂培养基)</w:t>
            </w:r>
          </w:p>
        </w:tc>
        <w:tc>
          <w:tcPr>
            <w:tcW w:w="4551" w:type="dxa"/>
            <w:vAlign w:val="center"/>
          </w:tcPr>
          <w:p w14:paraId="43D622B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10mL×20支/盒，用于鉴别肠道菌发酵蔗糖、乳糖、葡萄糖及产生硫化氢的生化反应</w:t>
            </w:r>
          </w:p>
        </w:tc>
        <w:tc>
          <w:tcPr>
            <w:tcW w:w="912" w:type="dxa"/>
            <w:vAlign w:val="center"/>
          </w:tcPr>
          <w:p w14:paraId="040F2D3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2339DB6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40</w:t>
            </w:r>
          </w:p>
        </w:tc>
        <w:tc>
          <w:tcPr>
            <w:tcW w:w="829" w:type="dxa"/>
            <w:vAlign w:val="center"/>
          </w:tcPr>
          <w:p w14:paraId="34F56833">
            <w:pPr>
              <w:widowControl/>
              <w:jc w:val="center"/>
              <w:textAlignment w:val="center"/>
              <w:rPr>
                <w:rFonts w:hint="eastAsia" w:ascii="宋体" w:hAnsi="宋体" w:eastAsia="宋体" w:cs="宋体"/>
                <w:color w:val="000000"/>
                <w:kern w:val="0"/>
                <w:sz w:val="24"/>
                <w:szCs w:val="24"/>
                <w:lang w:bidi="ar"/>
              </w:rPr>
            </w:pPr>
          </w:p>
        </w:tc>
      </w:tr>
      <w:tr w14:paraId="7977E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3F006796">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119</w:t>
            </w:r>
          </w:p>
        </w:tc>
        <w:tc>
          <w:tcPr>
            <w:tcW w:w="1543" w:type="dxa"/>
            <w:vAlign w:val="center"/>
          </w:tcPr>
          <w:p w14:paraId="1FF17F8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阳性大肠埃希氏菌标准菌株</w:t>
            </w:r>
          </w:p>
        </w:tc>
        <w:tc>
          <w:tcPr>
            <w:tcW w:w="4551" w:type="dxa"/>
            <w:vAlign w:val="center"/>
          </w:tcPr>
          <w:p w14:paraId="0242A0D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GDMCC1.2702用于初筛对照实验</w:t>
            </w:r>
          </w:p>
        </w:tc>
        <w:tc>
          <w:tcPr>
            <w:tcW w:w="912" w:type="dxa"/>
            <w:vAlign w:val="center"/>
          </w:tcPr>
          <w:p w14:paraId="362515C8">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7E24E688">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4C59CE0F">
            <w:pPr>
              <w:widowControl/>
              <w:jc w:val="center"/>
              <w:textAlignment w:val="center"/>
              <w:rPr>
                <w:rFonts w:hint="eastAsia" w:ascii="宋体" w:hAnsi="宋体" w:eastAsia="宋体" w:cs="宋体"/>
                <w:color w:val="000000"/>
                <w:kern w:val="0"/>
                <w:sz w:val="24"/>
                <w:szCs w:val="24"/>
                <w:lang w:bidi="ar"/>
              </w:rPr>
            </w:pPr>
          </w:p>
        </w:tc>
      </w:tr>
      <w:tr w14:paraId="74992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372F4B0F">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120</w:t>
            </w:r>
          </w:p>
        </w:tc>
        <w:tc>
          <w:tcPr>
            <w:tcW w:w="1543" w:type="dxa"/>
            <w:vAlign w:val="center"/>
          </w:tcPr>
          <w:p w14:paraId="77CB21A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阴性大肠埃希氏菌标准菌株</w:t>
            </w:r>
          </w:p>
        </w:tc>
        <w:tc>
          <w:tcPr>
            <w:tcW w:w="4551" w:type="dxa"/>
            <w:vAlign w:val="center"/>
          </w:tcPr>
          <w:p w14:paraId="6F4F081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GDMCC1.223用于初筛对照实验</w:t>
            </w:r>
          </w:p>
        </w:tc>
        <w:tc>
          <w:tcPr>
            <w:tcW w:w="912" w:type="dxa"/>
            <w:vAlign w:val="center"/>
          </w:tcPr>
          <w:p w14:paraId="28D76E3F">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307F361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13E2E629">
            <w:pPr>
              <w:widowControl/>
              <w:jc w:val="center"/>
              <w:textAlignment w:val="center"/>
              <w:rPr>
                <w:rFonts w:hint="eastAsia" w:ascii="宋体" w:hAnsi="宋体" w:eastAsia="宋体" w:cs="宋体"/>
                <w:color w:val="000000"/>
                <w:kern w:val="0"/>
                <w:sz w:val="24"/>
                <w:szCs w:val="24"/>
                <w:lang w:bidi="ar"/>
              </w:rPr>
            </w:pPr>
          </w:p>
        </w:tc>
      </w:tr>
      <w:tr w14:paraId="49D08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567AE6D0">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121</w:t>
            </w:r>
          </w:p>
        </w:tc>
        <w:tc>
          <w:tcPr>
            <w:tcW w:w="1543" w:type="dxa"/>
            <w:vAlign w:val="center"/>
          </w:tcPr>
          <w:p w14:paraId="4193503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血清型O26型大肠埃希氏菌标准菌株</w:t>
            </w:r>
          </w:p>
        </w:tc>
        <w:tc>
          <w:tcPr>
            <w:tcW w:w="4551" w:type="dxa"/>
            <w:vAlign w:val="center"/>
          </w:tcPr>
          <w:p w14:paraId="36E0086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GDMCC1.3807用于富集对照实验</w:t>
            </w:r>
          </w:p>
        </w:tc>
        <w:tc>
          <w:tcPr>
            <w:tcW w:w="912" w:type="dxa"/>
            <w:vAlign w:val="center"/>
          </w:tcPr>
          <w:p w14:paraId="36DD4F6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31B2DC2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1C5EDD3A">
            <w:pPr>
              <w:widowControl/>
              <w:jc w:val="center"/>
              <w:textAlignment w:val="center"/>
              <w:rPr>
                <w:rFonts w:hint="eastAsia" w:ascii="宋体" w:hAnsi="宋体" w:eastAsia="宋体" w:cs="宋体"/>
                <w:color w:val="000000"/>
                <w:kern w:val="0"/>
                <w:sz w:val="24"/>
                <w:szCs w:val="24"/>
                <w:lang w:bidi="ar"/>
              </w:rPr>
            </w:pPr>
          </w:p>
        </w:tc>
      </w:tr>
      <w:tr w14:paraId="4D79E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3404ABFC">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122</w:t>
            </w:r>
          </w:p>
        </w:tc>
        <w:tc>
          <w:tcPr>
            <w:tcW w:w="1543" w:type="dxa"/>
            <w:vAlign w:val="center"/>
          </w:tcPr>
          <w:p w14:paraId="2591465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血清型O45型大肠埃希氏菌标准菌株</w:t>
            </w:r>
          </w:p>
        </w:tc>
        <w:tc>
          <w:tcPr>
            <w:tcW w:w="4551" w:type="dxa"/>
            <w:vAlign w:val="center"/>
          </w:tcPr>
          <w:p w14:paraId="114E3DF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GDMCC1.3808用于富集对照实验</w:t>
            </w:r>
          </w:p>
        </w:tc>
        <w:tc>
          <w:tcPr>
            <w:tcW w:w="912" w:type="dxa"/>
            <w:vAlign w:val="center"/>
          </w:tcPr>
          <w:p w14:paraId="5417CE7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0F0B24A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669EC039">
            <w:pPr>
              <w:widowControl/>
              <w:jc w:val="center"/>
              <w:textAlignment w:val="center"/>
              <w:rPr>
                <w:rFonts w:hint="eastAsia" w:ascii="宋体" w:hAnsi="宋体" w:eastAsia="宋体" w:cs="宋体"/>
                <w:color w:val="000000"/>
                <w:kern w:val="0"/>
                <w:sz w:val="24"/>
                <w:szCs w:val="24"/>
                <w:lang w:bidi="ar"/>
              </w:rPr>
            </w:pPr>
          </w:p>
        </w:tc>
      </w:tr>
      <w:tr w14:paraId="7F12B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527777E8">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123</w:t>
            </w:r>
          </w:p>
        </w:tc>
        <w:tc>
          <w:tcPr>
            <w:tcW w:w="1543" w:type="dxa"/>
            <w:vAlign w:val="center"/>
          </w:tcPr>
          <w:p w14:paraId="5C940D5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血清型O103型大肠埃希氏菌标准菌株</w:t>
            </w:r>
          </w:p>
        </w:tc>
        <w:tc>
          <w:tcPr>
            <w:tcW w:w="4551" w:type="dxa"/>
            <w:vAlign w:val="center"/>
          </w:tcPr>
          <w:p w14:paraId="73FD824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GDMCC1.3809用于富集对照实验</w:t>
            </w:r>
          </w:p>
        </w:tc>
        <w:tc>
          <w:tcPr>
            <w:tcW w:w="912" w:type="dxa"/>
            <w:vAlign w:val="center"/>
          </w:tcPr>
          <w:p w14:paraId="3AB1073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182D667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66A50475">
            <w:pPr>
              <w:widowControl/>
              <w:jc w:val="center"/>
              <w:textAlignment w:val="center"/>
              <w:rPr>
                <w:rFonts w:hint="eastAsia" w:ascii="宋体" w:hAnsi="宋体" w:eastAsia="宋体" w:cs="宋体"/>
                <w:color w:val="000000"/>
                <w:kern w:val="0"/>
                <w:sz w:val="24"/>
                <w:szCs w:val="24"/>
                <w:lang w:bidi="ar"/>
              </w:rPr>
            </w:pPr>
          </w:p>
        </w:tc>
      </w:tr>
      <w:tr w14:paraId="5ED45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5F813AC9">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124</w:t>
            </w:r>
          </w:p>
        </w:tc>
        <w:tc>
          <w:tcPr>
            <w:tcW w:w="1543" w:type="dxa"/>
            <w:vAlign w:val="center"/>
          </w:tcPr>
          <w:p w14:paraId="0AAD6C6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血清型O111型大肠埃希氏菌标准菌株</w:t>
            </w:r>
          </w:p>
        </w:tc>
        <w:tc>
          <w:tcPr>
            <w:tcW w:w="4551" w:type="dxa"/>
            <w:vAlign w:val="center"/>
          </w:tcPr>
          <w:p w14:paraId="0BD965D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GDMCC1.3810用于富集对照实验</w:t>
            </w:r>
          </w:p>
        </w:tc>
        <w:tc>
          <w:tcPr>
            <w:tcW w:w="912" w:type="dxa"/>
            <w:vAlign w:val="center"/>
          </w:tcPr>
          <w:p w14:paraId="4CF5692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5F94DB7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2250F247">
            <w:pPr>
              <w:widowControl/>
              <w:jc w:val="center"/>
              <w:textAlignment w:val="center"/>
              <w:rPr>
                <w:rFonts w:hint="eastAsia" w:ascii="宋体" w:hAnsi="宋体" w:eastAsia="宋体" w:cs="宋体"/>
                <w:color w:val="000000"/>
                <w:kern w:val="0"/>
                <w:sz w:val="24"/>
                <w:szCs w:val="24"/>
                <w:lang w:bidi="ar"/>
              </w:rPr>
            </w:pPr>
          </w:p>
        </w:tc>
      </w:tr>
      <w:tr w14:paraId="6E882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05D3B00F">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125</w:t>
            </w:r>
          </w:p>
        </w:tc>
        <w:tc>
          <w:tcPr>
            <w:tcW w:w="1543" w:type="dxa"/>
            <w:vAlign w:val="center"/>
          </w:tcPr>
          <w:p w14:paraId="60F05646">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血清型O121型大肠埃希氏菌标准菌株</w:t>
            </w:r>
          </w:p>
        </w:tc>
        <w:tc>
          <w:tcPr>
            <w:tcW w:w="4551" w:type="dxa"/>
            <w:vAlign w:val="center"/>
          </w:tcPr>
          <w:p w14:paraId="7DAC9B4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GDMCC1.3811用于富集对照实验</w:t>
            </w:r>
          </w:p>
        </w:tc>
        <w:tc>
          <w:tcPr>
            <w:tcW w:w="912" w:type="dxa"/>
            <w:vAlign w:val="center"/>
          </w:tcPr>
          <w:p w14:paraId="637E2F5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5A11893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651ECB3A">
            <w:pPr>
              <w:widowControl/>
              <w:jc w:val="center"/>
              <w:textAlignment w:val="center"/>
              <w:rPr>
                <w:rFonts w:hint="eastAsia" w:ascii="宋体" w:hAnsi="宋体" w:eastAsia="宋体" w:cs="宋体"/>
                <w:color w:val="000000"/>
                <w:kern w:val="0"/>
                <w:sz w:val="24"/>
                <w:szCs w:val="24"/>
                <w:lang w:bidi="ar"/>
              </w:rPr>
            </w:pPr>
          </w:p>
        </w:tc>
      </w:tr>
      <w:tr w14:paraId="4FF49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67401414">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126</w:t>
            </w:r>
          </w:p>
        </w:tc>
        <w:tc>
          <w:tcPr>
            <w:tcW w:w="1543" w:type="dxa"/>
            <w:vAlign w:val="center"/>
          </w:tcPr>
          <w:p w14:paraId="568CF326">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血清型O145型大肠埃希氏菌标准菌株</w:t>
            </w:r>
          </w:p>
        </w:tc>
        <w:tc>
          <w:tcPr>
            <w:tcW w:w="4551" w:type="dxa"/>
            <w:vAlign w:val="center"/>
          </w:tcPr>
          <w:p w14:paraId="3BB0BEA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GDMCC1.3812用于富集对照实验</w:t>
            </w:r>
          </w:p>
        </w:tc>
        <w:tc>
          <w:tcPr>
            <w:tcW w:w="912" w:type="dxa"/>
            <w:vAlign w:val="center"/>
          </w:tcPr>
          <w:p w14:paraId="0E38188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2A9A75F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6E62715B">
            <w:pPr>
              <w:widowControl/>
              <w:jc w:val="center"/>
              <w:textAlignment w:val="center"/>
              <w:rPr>
                <w:rFonts w:hint="eastAsia" w:ascii="宋体" w:hAnsi="宋体" w:eastAsia="宋体" w:cs="宋体"/>
                <w:color w:val="000000"/>
                <w:kern w:val="0"/>
                <w:sz w:val="24"/>
                <w:szCs w:val="24"/>
                <w:lang w:bidi="ar"/>
              </w:rPr>
            </w:pPr>
          </w:p>
        </w:tc>
      </w:tr>
      <w:tr w14:paraId="03365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8" w:hRule="atLeast"/>
        </w:trPr>
        <w:tc>
          <w:tcPr>
            <w:tcW w:w="627" w:type="dxa"/>
            <w:vAlign w:val="center"/>
          </w:tcPr>
          <w:p w14:paraId="06C450E8">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127</w:t>
            </w:r>
          </w:p>
        </w:tc>
        <w:tc>
          <w:tcPr>
            <w:tcW w:w="1543" w:type="dxa"/>
            <w:vAlign w:val="center"/>
          </w:tcPr>
          <w:p w14:paraId="7141AA9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产志贺毒素大肠埃希氏菌免疫富集磁珠</w:t>
            </w:r>
          </w:p>
        </w:tc>
        <w:tc>
          <w:tcPr>
            <w:tcW w:w="4551" w:type="dxa"/>
            <w:vAlign w:val="center"/>
          </w:tcPr>
          <w:p w14:paraId="6A1C5C27">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50T/盒，1.适用于国标GB4789.49-2024《食品微生物学检验产志贺毒素大肠埃希氏菌检验》；</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2.采用高磁性、高均一性的2.8uM磁珠作为原料；</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3.一种免疫磁珠即可识别血清型为O26，O45，O103，O111，O121，O145，O157的7种产志贺氏毒素大肠埃希氏菌；</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4.用于从增菌液、细菌培养物、菌悬液等样品中分离和富集7种血清型的产志贺氏毒素大肠杆菌；</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5.具有高特异性，仅识别和结合目标血清型的产志贺氏毒素大肠杆菌，不识别和结合其他常见微生物和非目标血清型的大肠杆菌。</w:t>
            </w:r>
          </w:p>
        </w:tc>
        <w:tc>
          <w:tcPr>
            <w:tcW w:w="912" w:type="dxa"/>
            <w:vAlign w:val="center"/>
          </w:tcPr>
          <w:p w14:paraId="5F6D32A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578B839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w:t>
            </w:r>
          </w:p>
        </w:tc>
        <w:tc>
          <w:tcPr>
            <w:tcW w:w="829" w:type="dxa"/>
            <w:vAlign w:val="center"/>
          </w:tcPr>
          <w:p w14:paraId="43914832">
            <w:pPr>
              <w:widowControl/>
              <w:jc w:val="center"/>
              <w:textAlignment w:val="center"/>
              <w:rPr>
                <w:rFonts w:hint="eastAsia" w:ascii="宋体" w:hAnsi="宋体" w:eastAsia="宋体" w:cs="宋体"/>
                <w:color w:val="000000"/>
                <w:kern w:val="0"/>
                <w:sz w:val="24"/>
                <w:szCs w:val="24"/>
                <w:lang w:bidi="ar"/>
              </w:rPr>
            </w:pPr>
          </w:p>
        </w:tc>
      </w:tr>
      <w:tr w14:paraId="1C182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7" w:type="dxa"/>
            <w:vAlign w:val="center"/>
          </w:tcPr>
          <w:p w14:paraId="64736999">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128</w:t>
            </w:r>
          </w:p>
        </w:tc>
        <w:tc>
          <w:tcPr>
            <w:tcW w:w="1543" w:type="dxa"/>
            <w:vAlign w:val="center"/>
          </w:tcPr>
          <w:p w14:paraId="7B1805E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MS2过程控制</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实时荧光PCR检测试剂盒</w:t>
            </w:r>
          </w:p>
        </w:tc>
        <w:tc>
          <w:tcPr>
            <w:tcW w:w="4551" w:type="dxa"/>
            <w:vAlign w:val="center"/>
          </w:tcPr>
          <w:p w14:paraId="63330FB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500T/盒；1.适用于病毒提取的过程控制，在食源性病毒检测过程中加入 MS2 过程控制，能避免因操作误差、核酸提取效率未知等因素</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影响检测结果的可靠性和可比性；</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2.预混液试剂，配液体系仅需2管（反应液1管+酶混合液1管）；亦可提供全混试剂，无需配液，直接分装加样即可。</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3.检测性能：灵敏度≤500copies/ml，与其他病原无交叉反应</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4.试剂盒内需要有500uL以上的MS2 噬菌体。</w:t>
            </w:r>
          </w:p>
        </w:tc>
        <w:tc>
          <w:tcPr>
            <w:tcW w:w="912" w:type="dxa"/>
            <w:vAlign w:val="center"/>
          </w:tcPr>
          <w:p w14:paraId="7EBFCF8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4A6F0A2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500</w:t>
            </w:r>
          </w:p>
        </w:tc>
        <w:tc>
          <w:tcPr>
            <w:tcW w:w="829" w:type="dxa"/>
            <w:vAlign w:val="center"/>
          </w:tcPr>
          <w:p w14:paraId="26DD2867">
            <w:pPr>
              <w:widowControl/>
              <w:jc w:val="center"/>
              <w:textAlignment w:val="center"/>
              <w:rPr>
                <w:rFonts w:hint="eastAsia" w:ascii="宋体" w:hAnsi="宋体" w:eastAsia="宋体" w:cs="宋体"/>
                <w:color w:val="000000"/>
                <w:kern w:val="0"/>
                <w:sz w:val="24"/>
                <w:szCs w:val="24"/>
                <w:lang w:bidi="ar"/>
              </w:rPr>
            </w:pPr>
          </w:p>
        </w:tc>
      </w:tr>
      <w:tr w14:paraId="07D1B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4D120A12">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129</w:t>
            </w:r>
          </w:p>
        </w:tc>
        <w:tc>
          <w:tcPr>
            <w:tcW w:w="1543" w:type="dxa"/>
            <w:vAlign w:val="center"/>
          </w:tcPr>
          <w:p w14:paraId="0097C35F">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TGBE缓冲液</w:t>
            </w:r>
          </w:p>
        </w:tc>
        <w:tc>
          <w:tcPr>
            <w:tcW w:w="4551" w:type="dxa"/>
            <w:vAlign w:val="center"/>
          </w:tcPr>
          <w:p w14:paraId="3495189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220ml/瓶，用于样品前处理</w:t>
            </w:r>
          </w:p>
        </w:tc>
        <w:tc>
          <w:tcPr>
            <w:tcW w:w="912" w:type="dxa"/>
            <w:vAlign w:val="center"/>
          </w:tcPr>
          <w:p w14:paraId="53BF7EF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2B4F492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829" w:type="dxa"/>
            <w:vAlign w:val="center"/>
          </w:tcPr>
          <w:p w14:paraId="139FB934">
            <w:pPr>
              <w:widowControl/>
              <w:jc w:val="center"/>
              <w:textAlignment w:val="center"/>
              <w:rPr>
                <w:rFonts w:hint="eastAsia" w:ascii="宋体" w:hAnsi="宋体" w:eastAsia="宋体" w:cs="宋体"/>
                <w:color w:val="000000"/>
                <w:kern w:val="0"/>
                <w:sz w:val="24"/>
                <w:szCs w:val="24"/>
                <w:lang w:bidi="ar"/>
              </w:rPr>
            </w:pPr>
          </w:p>
        </w:tc>
      </w:tr>
      <w:tr w14:paraId="6F572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5D82F92C">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130</w:t>
            </w:r>
          </w:p>
        </w:tc>
        <w:tc>
          <w:tcPr>
            <w:tcW w:w="1543" w:type="dxa"/>
            <w:vAlign w:val="center"/>
          </w:tcPr>
          <w:p w14:paraId="7F7A5E7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5×PEG/NaCl溶液</w:t>
            </w:r>
          </w:p>
        </w:tc>
        <w:tc>
          <w:tcPr>
            <w:tcW w:w="4551" w:type="dxa"/>
            <w:vAlign w:val="center"/>
          </w:tcPr>
          <w:p w14:paraId="1EC2AA8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150ml/瓶，PEG8000，用于样品前处理</w:t>
            </w:r>
          </w:p>
        </w:tc>
        <w:tc>
          <w:tcPr>
            <w:tcW w:w="912" w:type="dxa"/>
            <w:vAlign w:val="center"/>
          </w:tcPr>
          <w:p w14:paraId="59ED4A9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6E9814E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829" w:type="dxa"/>
            <w:vAlign w:val="center"/>
          </w:tcPr>
          <w:p w14:paraId="3DEC198E">
            <w:pPr>
              <w:widowControl/>
              <w:jc w:val="center"/>
              <w:textAlignment w:val="center"/>
              <w:rPr>
                <w:rFonts w:hint="eastAsia" w:ascii="宋体" w:hAnsi="宋体" w:eastAsia="宋体" w:cs="宋体"/>
                <w:color w:val="000000"/>
                <w:kern w:val="0"/>
                <w:sz w:val="24"/>
                <w:szCs w:val="24"/>
                <w:lang w:bidi="ar"/>
              </w:rPr>
            </w:pPr>
          </w:p>
        </w:tc>
      </w:tr>
      <w:tr w14:paraId="668B8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6" w:hRule="atLeast"/>
        </w:trPr>
        <w:tc>
          <w:tcPr>
            <w:tcW w:w="627" w:type="dxa"/>
            <w:vAlign w:val="center"/>
          </w:tcPr>
          <w:p w14:paraId="3007330E">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131</w:t>
            </w:r>
          </w:p>
        </w:tc>
        <w:tc>
          <w:tcPr>
            <w:tcW w:w="1543" w:type="dxa"/>
            <w:vAlign w:val="center"/>
          </w:tcPr>
          <w:p w14:paraId="3EE70E6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诺如病毒GI/诺如病毒GII核酸双重实时荧光PCR检测试剂盒</w:t>
            </w:r>
          </w:p>
        </w:tc>
        <w:tc>
          <w:tcPr>
            <w:tcW w:w="4551" w:type="dxa"/>
            <w:vAlign w:val="center"/>
          </w:tcPr>
          <w:p w14:paraId="4FA0BBB0">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50T/盒，1.适用于定性检测从粪便、肛拭子和呕吐物中提取的诺如病毒GI、诺如病毒GII核酸；</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2.预混液试剂，配液体系仅需2管（反应液1管+酶混合液1管）；亦可提供全混试剂，无需配液，直接分装加样即可。</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3.检测性能：灵敏度≤500copies/ml，与其他病原无交叉反应。</w:t>
            </w:r>
          </w:p>
        </w:tc>
        <w:tc>
          <w:tcPr>
            <w:tcW w:w="912" w:type="dxa"/>
            <w:vAlign w:val="center"/>
          </w:tcPr>
          <w:p w14:paraId="76280E5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4B8166DF">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w:t>
            </w:r>
          </w:p>
        </w:tc>
        <w:tc>
          <w:tcPr>
            <w:tcW w:w="829" w:type="dxa"/>
            <w:vAlign w:val="center"/>
          </w:tcPr>
          <w:p w14:paraId="05DA1715">
            <w:pPr>
              <w:widowControl/>
              <w:jc w:val="center"/>
              <w:textAlignment w:val="center"/>
              <w:rPr>
                <w:rFonts w:hint="eastAsia" w:ascii="宋体" w:hAnsi="宋体" w:eastAsia="宋体" w:cs="宋体"/>
                <w:color w:val="000000"/>
                <w:kern w:val="0"/>
                <w:sz w:val="24"/>
                <w:szCs w:val="24"/>
                <w:lang w:bidi="ar"/>
              </w:rPr>
            </w:pPr>
          </w:p>
        </w:tc>
      </w:tr>
      <w:tr w14:paraId="018C9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627" w:type="dxa"/>
            <w:vAlign w:val="center"/>
          </w:tcPr>
          <w:p w14:paraId="7DA41757">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132</w:t>
            </w:r>
          </w:p>
        </w:tc>
        <w:tc>
          <w:tcPr>
            <w:tcW w:w="1543" w:type="dxa"/>
            <w:vAlign w:val="center"/>
          </w:tcPr>
          <w:p w14:paraId="043A3BC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无菌PBS缓冲液</w:t>
            </w:r>
          </w:p>
        </w:tc>
        <w:tc>
          <w:tcPr>
            <w:tcW w:w="4551" w:type="dxa"/>
            <w:vAlign w:val="center"/>
          </w:tcPr>
          <w:p w14:paraId="4D2EA3F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500ml/瓶，适用于解离前洗涤细胞、稀释细胞进行计数和制备试剂、运输细胞或组织无菌。ph7.4，生产质量：cGMP-compliant under the ISO 13485 standard</w:t>
            </w:r>
          </w:p>
        </w:tc>
        <w:tc>
          <w:tcPr>
            <w:tcW w:w="912" w:type="dxa"/>
            <w:vAlign w:val="center"/>
          </w:tcPr>
          <w:p w14:paraId="468A848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67B7CF66">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829" w:type="dxa"/>
            <w:vAlign w:val="center"/>
          </w:tcPr>
          <w:p w14:paraId="498946C2">
            <w:pPr>
              <w:widowControl/>
              <w:jc w:val="center"/>
              <w:textAlignment w:val="center"/>
              <w:rPr>
                <w:rFonts w:hint="eastAsia" w:ascii="宋体" w:hAnsi="宋体" w:eastAsia="宋体" w:cs="宋体"/>
                <w:color w:val="000000"/>
                <w:kern w:val="0"/>
                <w:sz w:val="24"/>
                <w:szCs w:val="24"/>
                <w:lang w:bidi="ar"/>
              </w:rPr>
            </w:pPr>
          </w:p>
        </w:tc>
      </w:tr>
      <w:tr w14:paraId="4FC3E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11FE8963">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133</w:t>
            </w:r>
          </w:p>
        </w:tc>
        <w:tc>
          <w:tcPr>
            <w:tcW w:w="1543" w:type="dxa"/>
            <w:vAlign w:val="center"/>
          </w:tcPr>
          <w:p w14:paraId="15A7041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无菌水</w:t>
            </w:r>
          </w:p>
        </w:tc>
        <w:tc>
          <w:tcPr>
            <w:tcW w:w="4551" w:type="dxa"/>
            <w:vAlign w:val="center"/>
          </w:tcPr>
          <w:p w14:paraId="5F689E6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100ml/瓶，去除了重金属盐、细菌、有机物、内毒素等，内毒素＜0.001EU/ml，TTC＜1ppb。</w:t>
            </w:r>
          </w:p>
        </w:tc>
        <w:tc>
          <w:tcPr>
            <w:tcW w:w="912" w:type="dxa"/>
            <w:vAlign w:val="center"/>
          </w:tcPr>
          <w:p w14:paraId="4D2906EF">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119E3398">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829" w:type="dxa"/>
            <w:vAlign w:val="center"/>
          </w:tcPr>
          <w:p w14:paraId="67BE6EA7">
            <w:pPr>
              <w:widowControl/>
              <w:jc w:val="center"/>
              <w:textAlignment w:val="center"/>
              <w:rPr>
                <w:rFonts w:hint="eastAsia" w:ascii="宋体" w:hAnsi="宋体" w:eastAsia="宋体" w:cs="宋体"/>
                <w:color w:val="000000"/>
                <w:kern w:val="0"/>
                <w:sz w:val="24"/>
                <w:szCs w:val="24"/>
                <w:lang w:bidi="ar"/>
              </w:rPr>
            </w:pPr>
          </w:p>
        </w:tc>
      </w:tr>
      <w:tr w14:paraId="099F4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0C1544D6">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134</w:t>
            </w:r>
          </w:p>
        </w:tc>
        <w:tc>
          <w:tcPr>
            <w:tcW w:w="1543" w:type="dxa"/>
            <w:vAlign w:val="center"/>
          </w:tcPr>
          <w:p w14:paraId="54DFB38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Kovacs氏靛基质试剂盒</w:t>
            </w:r>
          </w:p>
        </w:tc>
        <w:tc>
          <w:tcPr>
            <w:tcW w:w="4551" w:type="dxa"/>
            <w:vAlign w:val="center"/>
          </w:tcPr>
          <w:p w14:paraId="7F022C2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5ml*2/盒，适用于STEC生化鉴定的靛基质试验</w:t>
            </w:r>
          </w:p>
        </w:tc>
        <w:tc>
          <w:tcPr>
            <w:tcW w:w="912" w:type="dxa"/>
            <w:vAlign w:val="center"/>
          </w:tcPr>
          <w:p w14:paraId="3A4595D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4B0DC8F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20</w:t>
            </w:r>
          </w:p>
        </w:tc>
        <w:tc>
          <w:tcPr>
            <w:tcW w:w="829" w:type="dxa"/>
            <w:vAlign w:val="center"/>
          </w:tcPr>
          <w:p w14:paraId="239156BD">
            <w:pPr>
              <w:widowControl/>
              <w:jc w:val="center"/>
              <w:textAlignment w:val="center"/>
              <w:rPr>
                <w:rFonts w:hint="eastAsia" w:ascii="宋体" w:hAnsi="宋体" w:eastAsia="宋体" w:cs="宋体"/>
                <w:color w:val="000000"/>
                <w:kern w:val="0"/>
                <w:sz w:val="24"/>
                <w:szCs w:val="24"/>
                <w:lang w:bidi="ar"/>
              </w:rPr>
            </w:pPr>
          </w:p>
        </w:tc>
      </w:tr>
      <w:tr w14:paraId="1254D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0F81B37D">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135</w:t>
            </w:r>
          </w:p>
        </w:tc>
        <w:tc>
          <w:tcPr>
            <w:tcW w:w="1543" w:type="dxa"/>
            <w:vAlign w:val="center"/>
          </w:tcPr>
          <w:p w14:paraId="7CEFC02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硫化氢生化管</w:t>
            </w:r>
          </w:p>
        </w:tc>
        <w:tc>
          <w:tcPr>
            <w:tcW w:w="4551" w:type="dxa"/>
            <w:vAlign w:val="center"/>
          </w:tcPr>
          <w:p w14:paraId="09502AF6">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适用于STEC生化鉴定的硫化氢试验</w:t>
            </w:r>
          </w:p>
        </w:tc>
        <w:tc>
          <w:tcPr>
            <w:tcW w:w="912" w:type="dxa"/>
            <w:vAlign w:val="center"/>
          </w:tcPr>
          <w:p w14:paraId="5728866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33318AE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40</w:t>
            </w:r>
          </w:p>
        </w:tc>
        <w:tc>
          <w:tcPr>
            <w:tcW w:w="829" w:type="dxa"/>
            <w:vAlign w:val="center"/>
          </w:tcPr>
          <w:p w14:paraId="42C4C770">
            <w:pPr>
              <w:widowControl/>
              <w:jc w:val="center"/>
              <w:textAlignment w:val="center"/>
              <w:rPr>
                <w:rFonts w:hint="eastAsia" w:ascii="宋体" w:hAnsi="宋体" w:eastAsia="宋体" w:cs="宋体"/>
                <w:color w:val="000000"/>
                <w:kern w:val="0"/>
                <w:sz w:val="24"/>
                <w:szCs w:val="24"/>
                <w:lang w:bidi="ar"/>
              </w:rPr>
            </w:pPr>
          </w:p>
        </w:tc>
      </w:tr>
      <w:tr w14:paraId="6E361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41F8546C">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136</w:t>
            </w:r>
          </w:p>
        </w:tc>
        <w:tc>
          <w:tcPr>
            <w:tcW w:w="1543" w:type="dxa"/>
            <w:vAlign w:val="center"/>
          </w:tcPr>
          <w:p w14:paraId="10EF53C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尿素酶生化管</w:t>
            </w:r>
          </w:p>
        </w:tc>
        <w:tc>
          <w:tcPr>
            <w:tcW w:w="4551" w:type="dxa"/>
            <w:vAlign w:val="center"/>
          </w:tcPr>
          <w:p w14:paraId="16779DE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适用于STEC生化鉴定的尿素酶试验</w:t>
            </w:r>
          </w:p>
        </w:tc>
        <w:tc>
          <w:tcPr>
            <w:tcW w:w="912" w:type="dxa"/>
            <w:vAlign w:val="center"/>
          </w:tcPr>
          <w:p w14:paraId="449FD46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1753EA5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40</w:t>
            </w:r>
          </w:p>
        </w:tc>
        <w:tc>
          <w:tcPr>
            <w:tcW w:w="829" w:type="dxa"/>
            <w:vAlign w:val="center"/>
          </w:tcPr>
          <w:p w14:paraId="0EC3130A">
            <w:pPr>
              <w:widowControl/>
              <w:jc w:val="center"/>
              <w:textAlignment w:val="center"/>
              <w:rPr>
                <w:rFonts w:hint="eastAsia" w:ascii="宋体" w:hAnsi="宋体" w:eastAsia="宋体" w:cs="宋体"/>
                <w:color w:val="000000"/>
                <w:kern w:val="0"/>
                <w:sz w:val="24"/>
                <w:szCs w:val="24"/>
                <w:lang w:bidi="ar"/>
              </w:rPr>
            </w:pPr>
          </w:p>
        </w:tc>
      </w:tr>
      <w:tr w14:paraId="2B158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09E02E7A">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137</w:t>
            </w:r>
          </w:p>
        </w:tc>
        <w:tc>
          <w:tcPr>
            <w:tcW w:w="1543" w:type="dxa"/>
            <w:vAlign w:val="center"/>
          </w:tcPr>
          <w:p w14:paraId="3265E6A6">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诺如病毒GI外加扩增控制RNA</w:t>
            </w:r>
          </w:p>
        </w:tc>
        <w:tc>
          <w:tcPr>
            <w:tcW w:w="4551" w:type="dxa"/>
            <w:vAlign w:val="center"/>
          </w:tcPr>
          <w:p w14:paraId="1DE234F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适用于贝类，生食蔬菜，胡萝卜、瓜、坚果等硬质食品表面，草莓、西红柿、葡萄等软质水果以及水中诺如病毒检测过程中的外加扩增控制</w:t>
            </w:r>
          </w:p>
        </w:tc>
        <w:tc>
          <w:tcPr>
            <w:tcW w:w="912" w:type="dxa"/>
            <w:vAlign w:val="center"/>
          </w:tcPr>
          <w:p w14:paraId="75A2407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6A115D0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40</w:t>
            </w:r>
          </w:p>
        </w:tc>
        <w:tc>
          <w:tcPr>
            <w:tcW w:w="829" w:type="dxa"/>
            <w:vAlign w:val="center"/>
          </w:tcPr>
          <w:p w14:paraId="6C91B55C">
            <w:pPr>
              <w:widowControl/>
              <w:jc w:val="center"/>
              <w:textAlignment w:val="center"/>
              <w:rPr>
                <w:rFonts w:hint="eastAsia" w:ascii="宋体" w:hAnsi="宋体" w:eastAsia="宋体" w:cs="宋体"/>
                <w:color w:val="000000"/>
                <w:kern w:val="0"/>
                <w:sz w:val="24"/>
                <w:szCs w:val="24"/>
                <w:lang w:bidi="ar"/>
              </w:rPr>
            </w:pPr>
          </w:p>
        </w:tc>
      </w:tr>
      <w:tr w14:paraId="724A7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40E1060E">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138</w:t>
            </w:r>
          </w:p>
        </w:tc>
        <w:tc>
          <w:tcPr>
            <w:tcW w:w="1543" w:type="dxa"/>
            <w:vAlign w:val="center"/>
          </w:tcPr>
          <w:p w14:paraId="6D32B38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均质袋</w:t>
            </w:r>
          </w:p>
        </w:tc>
        <w:tc>
          <w:tcPr>
            <w:tcW w:w="4551" w:type="dxa"/>
            <w:vAlign w:val="center"/>
          </w:tcPr>
          <w:p w14:paraId="728C8CE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带侧边滤膜，30cm*20cm，用于样品的均质</w:t>
            </w:r>
          </w:p>
        </w:tc>
        <w:tc>
          <w:tcPr>
            <w:tcW w:w="912" w:type="dxa"/>
            <w:vAlign w:val="center"/>
          </w:tcPr>
          <w:p w14:paraId="215B93E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c>
          <w:tcPr>
            <w:tcW w:w="900" w:type="dxa"/>
            <w:vAlign w:val="center"/>
          </w:tcPr>
          <w:p w14:paraId="7B03203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w:t>
            </w:r>
          </w:p>
        </w:tc>
        <w:tc>
          <w:tcPr>
            <w:tcW w:w="829" w:type="dxa"/>
            <w:vAlign w:val="center"/>
          </w:tcPr>
          <w:p w14:paraId="5092AA28">
            <w:pPr>
              <w:widowControl/>
              <w:jc w:val="center"/>
              <w:textAlignment w:val="center"/>
              <w:rPr>
                <w:rFonts w:hint="eastAsia" w:ascii="宋体" w:hAnsi="宋体" w:eastAsia="宋体" w:cs="宋体"/>
                <w:color w:val="000000"/>
                <w:kern w:val="0"/>
                <w:sz w:val="24"/>
                <w:szCs w:val="24"/>
                <w:lang w:bidi="ar"/>
              </w:rPr>
            </w:pPr>
          </w:p>
        </w:tc>
      </w:tr>
      <w:tr w14:paraId="00BC0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082955DB">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139</w:t>
            </w:r>
          </w:p>
        </w:tc>
        <w:tc>
          <w:tcPr>
            <w:tcW w:w="1543" w:type="dxa"/>
            <w:vAlign w:val="center"/>
          </w:tcPr>
          <w:p w14:paraId="41BD4D8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蛋白酶K溶液</w:t>
            </w:r>
          </w:p>
        </w:tc>
        <w:tc>
          <w:tcPr>
            <w:tcW w:w="4551" w:type="dxa"/>
            <w:vAlign w:val="center"/>
          </w:tcPr>
          <w:p w14:paraId="150F1B8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5*1ml/盒，10mg/ml， 酶活力：30U/mg</w:t>
            </w:r>
          </w:p>
        </w:tc>
        <w:tc>
          <w:tcPr>
            <w:tcW w:w="912" w:type="dxa"/>
            <w:vAlign w:val="center"/>
          </w:tcPr>
          <w:p w14:paraId="726BB75F">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2ED4C16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829" w:type="dxa"/>
            <w:vAlign w:val="center"/>
          </w:tcPr>
          <w:p w14:paraId="58B83DEB">
            <w:pPr>
              <w:widowControl/>
              <w:jc w:val="center"/>
              <w:textAlignment w:val="center"/>
              <w:rPr>
                <w:rFonts w:hint="eastAsia" w:ascii="宋体" w:hAnsi="宋体" w:eastAsia="宋体" w:cs="宋体"/>
                <w:color w:val="000000"/>
                <w:kern w:val="0"/>
                <w:sz w:val="24"/>
                <w:szCs w:val="24"/>
                <w:lang w:bidi="ar"/>
              </w:rPr>
            </w:pPr>
          </w:p>
        </w:tc>
      </w:tr>
      <w:tr w14:paraId="7BC66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476D5980">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140</w:t>
            </w:r>
          </w:p>
        </w:tc>
        <w:tc>
          <w:tcPr>
            <w:tcW w:w="1543" w:type="dxa"/>
            <w:vAlign w:val="center"/>
          </w:tcPr>
          <w:p w14:paraId="300DA60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氯化镁</w:t>
            </w:r>
          </w:p>
        </w:tc>
        <w:tc>
          <w:tcPr>
            <w:tcW w:w="4551" w:type="dxa"/>
            <w:vAlign w:val="center"/>
          </w:tcPr>
          <w:p w14:paraId="1E12B25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500g/瓶，AR级</w:t>
            </w:r>
          </w:p>
        </w:tc>
        <w:tc>
          <w:tcPr>
            <w:tcW w:w="912" w:type="dxa"/>
            <w:vAlign w:val="center"/>
          </w:tcPr>
          <w:p w14:paraId="01958DB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2487A67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1E62240D">
            <w:pPr>
              <w:widowControl/>
              <w:jc w:val="center"/>
              <w:textAlignment w:val="center"/>
              <w:rPr>
                <w:rFonts w:hint="eastAsia" w:ascii="宋体" w:hAnsi="宋体" w:eastAsia="宋体" w:cs="宋体"/>
                <w:color w:val="000000"/>
                <w:kern w:val="0"/>
                <w:sz w:val="24"/>
                <w:szCs w:val="24"/>
                <w:lang w:bidi="ar"/>
              </w:rPr>
            </w:pPr>
          </w:p>
        </w:tc>
      </w:tr>
      <w:tr w14:paraId="25B61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50133ED0">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141</w:t>
            </w:r>
          </w:p>
        </w:tc>
        <w:tc>
          <w:tcPr>
            <w:tcW w:w="1543" w:type="dxa"/>
            <w:vAlign w:val="center"/>
          </w:tcPr>
          <w:p w14:paraId="523685F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6mol/L盐酸标准溶液</w:t>
            </w:r>
          </w:p>
        </w:tc>
        <w:tc>
          <w:tcPr>
            <w:tcW w:w="4551" w:type="dxa"/>
            <w:vAlign w:val="center"/>
          </w:tcPr>
          <w:p w14:paraId="5BF878E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500ml/瓶</w:t>
            </w:r>
          </w:p>
        </w:tc>
        <w:tc>
          <w:tcPr>
            <w:tcW w:w="912" w:type="dxa"/>
            <w:vAlign w:val="center"/>
          </w:tcPr>
          <w:p w14:paraId="5258A62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657072D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17A524C1">
            <w:pPr>
              <w:widowControl/>
              <w:jc w:val="center"/>
              <w:textAlignment w:val="center"/>
              <w:rPr>
                <w:rFonts w:hint="eastAsia" w:ascii="宋体" w:hAnsi="宋体" w:eastAsia="宋体" w:cs="宋体"/>
                <w:color w:val="000000"/>
                <w:kern w:val="0"/>
                <w:sz w:val="24"/>
                <w:szCs w:val="24"/>
                <w:lang w:bidi="ar"/>
              </w:rPr>
            </w:pPr>
          </w:p>
        </w:tc>
      </w:tr>
      <w:tr w14:paraId="79189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23C27485">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142</w:t>
            </w:r>
          </w:p>
        </w:tc>
        <w:tc>
          <w:tcPr>
            <w:tcW w:w="1543" w:type="dxa"/>
            <w:vAlign w:val="center"/>
          </w:tcPr>
          <w:p w14:paraId="11B523C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无菌滤膜</w:t>
            </w:r>
          </w:p>
        </w:tc>
        <w:tc>
          <w:tcPr>
            <w:tcW w:w="4551" w:type="dxa"/>
            <w:vAlign w:val="center"/>
          </w:tcPr>
          <w:p w14:paraId="2C5AEEB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50片/盒，MCE，0.45um*47mm，灭菌独立包装</w:t>
            </w:r>
          </w:p>
        </w:tc>
        <w:tc>
          <w:tcPr>
            <w:tcW w:w="912" w:type="dxa"/>
            <w:vAlign w:val="center"/>
          </w:tcPr>
          <w:p w14:paraId="64E9A58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片</w:t>
            </w:r>
          </w:p>
        </w:tc>
        <w:tc>
          <w:tcPr>
            <w:tcW w:w="900" w:type="dxa"/>
            <w:vAlign w:val="center"/>
          </w:tcPr>
          <w:p w14:paraId="371B881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w:t>
            </w:r>
          </w:p>
        </w:tc>
        <w:tc>
          <w:tcPr>
            <w:tcW w:w="829" w:type="dxa"/>
            <w:vAlign w:val="center"/>
          </w:tcPr>
          <w:p w14:paraId="45DCA882">
            <w:pPr>
              <w:widowControl/>
              <w:jc w:val="center"/>
              <w:textAlignment w:val="center"/>
              <w:rPr>
                <w:rFonts w:hint="eastAsia" w:ascii="宋体" w:hAnsi="宋体" w:eastAsia="宋体" w:cs="宋体"/>
                <w:color w:val="000000"/>
                <w:kern w:val="0"/>
                <w:sz w:val="24"/>
                <w:szCs w:val="24"/>
                <w:lang w:bidi="ar"/>
              </w:rPr>
            </w:pPr>
          </w:p>
        </w:tc>
      </w:tr>
      <w:tr w14:paraId="1CF6C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2" w:hRule="atLeast"/>
        </w:trPr>
        <w:tc>
          <w:tcPr>
            <w:tcW w:w="627" w:type="dxa"/>
            <w:vAlign w:val="center"/>
          </w:tcPr>
          <w:p w14:paraId="2B3A97F6">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143</w:t>
            </w:r>
          </w:p>
        </w:tc>
        <w:tc>
          <w:tcPr>
            <w:tcW w:w="1543" w:type="dxa"/>
            <w:vAlign w:val="center"/>
          </w:tcPr>
          <w:p w14:paraId="3093416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小肠结肠炎耶尔森氏菌种属及毒力基因多重实时荧光PCR检测试剂盒</w:t>
            </w:r>
          </w:p>
        </w:tc>
        <w:tc>
          <w:tcPr>
            <w:tcW w:w="4551" w:type="dxa"/>
            <w:vAlign w:val="center"/>
          </w:tcPr>
          <w:p w14:paraId="6D360787">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1.适用范围：小肠结肠炎耶尔森氏菌致病相关的黏附侵袭位点基因(ail)、耐热肠毒素Ａ基因(ystA)、黏附素基因(yadA)、毒力活化因子基因(virF)以及非致病性的生物 1A 型菌株携带的肠毒素 B 基因(ystB)、O3 血清型)</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2.反应体系：可根据需要提供拆卸的96孔板（0.1ml或0.2ml）全混预分装体系包装，每个反应孔核酸体积≤5μL，终体积≤25μL，核酸上样孔数≤7孔，同品牌多个不同试剂可使用同一扩增程序上机使用。</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3.检测性能：灵敏度最低500copies/mL，与其他病原菌均无交叉反应。</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4.检测时间：预变性≤30sec，PCR扩增循环数≤40cycles，反应理论时间≤38min，反应时长≤70min。</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5.有效期：-20±5℃保存，有效期不低于12个月，冻融次数≥7次</w:t>
            </w:r>
          </w:p>
        </w:tc>
        <w:tc>
          <w:tcPr>
            <w:tcW w:w="912" w:type="dxa"/>
            <w:vAlign w:val="center"/>
          </w:tcPr>
          <w:p w14:paraId="58CC86E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人份</w:t>
            </w:r>
          </w:p>
        </w:tc>
        <w:tc>
          <w:tcPr>
            <w:tcW w:w="900" w:type="dxa"/>
            <w:vAlign w:val="center"/>
          </w:tcPr>
          <w:p w14:paraId="2C76C306">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200</w:t>
            </w:r>
          </w:p>
        </w:tc>
        <w:tc>
          <w:tcPr>
            <w:tcW w:w="829" w:type="dxa"/>
            <w:vAlign w:val="center"/>
          </w:tcPr>
          <w:p w14:paraId="2521ADF7">
            <w:pPr>
              <w:widowControl/>
              <w:jc w:val="center"/>
              <w:textAlignment w:val="center"/>
              <w:rPr>
                <w:rFonts w:hint="eastAsia" w:ascii="宋体" w:hAnsi="宋体" w:eastAsia="宋体" w:cs="宋体"/>
                <w:color w:val="000000"/>
                <w:kern w:val="0"/>
                <w:sz w:val="24"/>
                <w:szCs w:val="24"/>
                <w:lang w:bidi="ar"/>
              </w:rPr>
            </w:pPr>
          </w:p>
        </w:tc>
      </w:tr>
      <w:tr w14:paraId="7D0E3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627" w:type="dxa"/>
            <w:vAlign w:val="center"/>
          </w:tcPr>
          <w:p w14:paraId="07E8453D">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144</w:t>
            </w:r>
          </w:p>
        </w:tc>
        <w:tc>
          <w:tcPr>
            <w:tcW w:w="1543" w:type="dxa"/>
            <w:vAlign w:val="center"/>
          </w:tcPr>
          <w:p w14:paraId="43DA42C3">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2ml一次性血清移液管</w:t>
            </w:r>
          </w:p>
        </w:tc>
        <w:tc>
          <w:tcPr>
            <w:tcW w:w="4551" w:type="dxa"/>
            <w:vAlign w:val="center"/>
          </w:tcPr>
          <w:p w14:paraId="026970C3">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1.无菌，独立纸塑包装2.聚苯乙烯材质，带刻度3.经认证无热原且不含DNase/RNase</w:t>
            </w:r>
          </w:p>
        </w:tc>
        <w:tc>
          <w:tcPr>
            <w:tcW w:w="912" w:type="dxa"/>
            <w:vAlign w:val="center"/>
          </w:tcPr>
          <w:p w14:paraId="405EBE5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270EC9B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500</w:t>
            </w:r>
          </w:p>
        </w:tc>
        <w:tc>
          <w:tcPr>
            <w:tcW w:w="829" w:type="dxa"/>
            <w:vAlign w:val="center"/>
          </w:tcPr>
          <w:p w14:paraId="7F74B827">
            <w:pPr>
              <w:widowControl/>
              <w:jc w:val="center"/>
              <w:textAlignment w:val="center"/>
              <w:rPr>
                <w:rFonts w:hint="eastAsia" w:ascii="宋体" w:hAnsi="宋体" w:eastAsia="宋体" w:cs="宋体"/>
                <w:color w:val="000000"/>
                <w:kern w:val="0"/>
                <w:sz w:val="24"/>
                <w:szCs w:val="24"/>
                <w:lang w:bidi="ar"/>
              </w:rPr>
            </w:pPr>
          </w:p>
        </w:tc>
      </w:tr>
      <w:tr w14:paraId="789A4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627" w:type="dxa"/>
            <w:vAlign w:val="center"/>
          </w:tcPr>
          <w:p w14:paraId="0E66AA7F">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145</w:t>
            </w:r>
          </w:p>
        </w:tc>
        <w:tc>
          <w:tcPr>
            <w:tcW w:w="1543" w:type="dxa"/>
            <w:vAlign w:val="center"/>
          </w:tcPr>
          <w:p w14:paraId="42F20918">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10ml一次性血清移液管</w:t>
            </w:r>
          </w:p>
        </w:tc>
        <w:tc>
          <w:tcPr>
            <w:tcW w:w="4551" w:type="dxa"/>
            <w:vAlign w:val="center"/>
          </w:tcPr>
          <w:p w14:paraId="6F6FC623">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1.无菌，独立纸塑包装，</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2.聚苯乙烯材质，带刻度</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3.经认证无热原且不含DNase/RNase</w:t>
            </w:r>
          </w:p>
        </w:tc>
        <w:tc>
          <w:tcPr>
            <w:tcW w:w="912" w:type="dxa"/>
            <w:vAlign w:val="center"/>
          </w:tcPr>
          <w:p w14:paraId="307F18A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3824CFF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500</w:t>
            </w:r>
          </w:p>
        </w:tc>
        <w:tc>
          <w:tcPr>
            <w:tcW w:w="829" w:type="dxa"/>
            <w:vAlign w:val="center"/>
          </w:tcPr>
          <w:p w14:paraId="68AEBAD4">
            <w:pPr>
              <w:widowControl/>
              <w:jc w:val="center"/>
              <w:textAlignment w:val="center"/>
              <w:rPr>
                <w:rFonts w:hint="eastAsia" w:ascii="宋体" w:hAnsi="宋体" w:eastAsia="宋体" w:cs="宋体"/>
                <w:color w:val="000000"/>
                <w:kern w:val="0"/>
                <w:sz w:val="24"/>
                <w:szCs w:val="24"/>
                <w:lang w:bidi="ar"/>
              </w:rPr>
            </w:pPr>
          </w:p>
        </w:tc>
      </w:tr>
      <w:tr w14:paraId="7E3BE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627" w:type="dxa"/>
            <w:vAlign w:val="center"/>
          </w:tcPr>
          <w:p w14:paraId="4D6AAD8E">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146</w:t>
            </w:r>
          </w:p>
        </w:tc>
        <w:tc>
          <w:tcPr>
            <w:tcW w:w="1543" w:type="dxa"/>
            <w:shd w:val="clear" w:color="auto" w:fill="FFFFFF"/>
            <w:vAlign w:val="center"/>
          </w:tcPr>
          <w:p w14:paraId="1DDE8DD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A</w:t>
            </w:r>
            <w:r>
              <w:rPr>
                <w:rStyle w:val="17"/>
                <w:rFonts w:hint="default" w:ascii="宋体" w:hAnsi="宋体" w:eastAsia="宋体" w:cs="宋体"/>
                <w:sz w:val="24"/>
                <w:szCs w:val="24"/>
                <w:lang w:bidi="ar"/>
              </w:rPr>
              <w:t>类生物安全运输箱（UN2814)</w:t>
            </w:r>
          </w:p>
        </w:tc>
        <w:tc>
          <w:tcPr>
            <w:tcW w:w="4551" w:type="dxa"/>
            <w:vAlign w:val="center"/>
          </w:tcPr>
          <w:p w14:paraId="064EC70C">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r>
              <w:rPr>
                <w:rStyle w:val="17"/>
                <w:rFonts w:hint="default" w:ascii="宋体" w:hAnsi="宋体" w:eastAsia="宋体" w:cs="宋体"/>
                <w:sz w:val="24"/>
                <w:szCs w:val="24"/>
                <w:lang w:bidi="ar"/>
              </w:rPr>
              <w:t>符合WHO包装规范，三层结构（主容器+辅助容器+外箱）；</w:t>
            </w:r>
            <w:r>
              <w:rPr>
                <w:rStyle w:val="17"/>
                <w:rFonts w:hint="default" w:ascii="宋体" w:hAnsi="宋体" w:eastAsia="宋体" w:cs="宋体"/>
                <w:sz w:val="24"/>
                <w:szCs w:val="24"/>
                <w:lang w:bidi="ar"/>
              </w:rPr>
              <w:br w:type="textWrapping"/>
            </w:r>
            <w:r>
              <w:rPr>
                <w:rStyle w:val="17"/>
                <w:rFonts w:hint="default" w:ascii="宋体" w:hAnsi="宋体" w:eastAsia="宋体" w:cs="宋体"/>
                <w:sz w:val="24"/>
                <w:szCs w:val="24"/>
                <w:lang w:bidi="ar"/>
              </w:rPr>
              <w:t>2.外箱带UN2814标识，内置吸水材料及保温层，可维持2-8℃或-20℃冷链；</w:t>
            </w:r>
            <w:r>
              <w:rPr>
                <w:rStyle w:val="17"/>
                <w:rFonts w:hint="default" w:ascii="宋体" w:hAnsi="宋体" w:eastAsia="宋体" w:cs="宋体"/>
                <w:sz w:val="24"/>
                <w:szCs w:val="24"/>
                <w:lang w:bidi="ar"/>
              </w:rPr>
              <w:br w:type="textWrapping"/>
            </w:r>
            <w:r>
              <w:rPr>
                <w:rStyle w:val="17"/>
                <w:rFonts w:hint="default" w:ascii="宋体" w:hAnsi="宋体" w:eastAsia="宋体" w:cs="宋体"/>
                <w:sz w:val="24"/>
                <w:szCs w:val="24"/>
                <w:lang w:bidi="ar"/>
              </w:rPr>
              <w:t>3.</w:t>
            </w:r>
            <w:r>
              <w:rPr>
                <w:rFonts w:hint="eastAsia" w:ascii="宋体" w:hAnsi="宋体" w:eastAsia="宋体" w:cs="宋体"/>
                <w:b/>
                <w:bCs/>
                <w:color w:val="000000"/>
                <w:kern w:val="0"/>
                <w:sz w:val="24"/>
                <w:szCs w:val="24"/>
                <w:lang w:val="en-US" w:eastAsia="zh-CN" w:bidi="ar"/>
              </w:rPr>
              <w:t>投标文件中须</w:t>
            </w:r>
            <w:r>
              <w:rPr>
                <w:rStyle w:val="17"/>
                <w:rFonts w:hint="default" w:ascii="宋体" w:hAnsi="宋体" w:eastAsia="宋体" w:cs="宋体"/>
                <w:b/>
                <w:bCs/>
                <w:sz w:val="24"/>
                <w:szCs w:val="24"/>
                <w:lang w:bidi="ar"/>
              </w:rPr>
              <w:t>出具第三方检验报告，检测依据根据IATA危险品规格66版或67版、危险物品安全航空运输细则，报告日期应晚于2025年1月1日。</w:t>
            </w:r>
          </w:p>
        </w:tc>
        <w:tc>
          <w:tcPr>
            <w:tcW w:w="912" w:type="dxa"/>
            <w:shd w:val="clear" w:color="auto" w:fill="FFFFFF"/>
            <w:vAlign w:val="center"/>
          </w:tcPr>
          <w:p w14:paraId="702E1E5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件</w:t>
            </w:r>
          </w:p>
        </w:tc>
        <w:tc>
          <w:tcPr>
            <w:tcW w:w="900" w:type="dxa"/>
            <w:vAlign w:val="center"/>
          </w:tcPr>
          <w:p w14:paraId="49BFF13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24013071">
            <w:pPr>
              <w:widowControl/>
              <w:jc w:val="center"/>
              <w:textAlignment w:val="center"/>
              <w:rPr>
                <w:rFonts w:hint="eastAsia" w:ascii="宋体" w:hAnsi="宋体" w:eastAsia="宋体" w:cs="宋体"/>
                <w:color w:val="000000"/>
                <w:kern w:val="0"/>
                <w:sz w:val="24"/>
                <w:szCs w:val="24"/>
                <w:lang w:bidi="ar"/>
              </w:rPr>
            </w:pPr>
          </w:p>
        </w:tc>
      </w:tr>
      <w:tr w14:paraId="16451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627" w:type="dxa"/>
            <w:vAlign w:val="center"/>
          </w:tcPr>
          <w:p w14:paraId="2A192A7D">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147</w:t>
            </w:r>
          </w:p>
        </w:tc>
        <w:tc>
          <w:tcPr>
            <w:tcW w:w="1543" w:type="dxa"/>
            <w:shd w:val="clear" w:color="auto" w:fill="FFFFFF"/>
            <w:vAlign w:val="center"/>
          </w:tcPr>
          <w:p w14:paraId="7C6AE968">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动物/人流感检测用受体破坏酶 RDE</w:t>
            </w:r>
          </w:p>
        </w:tc>
        <w:tc>
          <w:tcPr>
            <w:tcW w:w="4551" w:type="dxa"/>
            <w:vAlign w:val="center"/>
          </w:tcPr>
          <w:p w14:paraId="18A17A2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1.规格：20ml/瓶；</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2.含受体破坏酶，霍乱滤液；</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3.可保存于2-10°C</w:t>
            </w:r>
          </w:p>
        </w:tc>
        <w:tc>
          <w:tcPr>
            <w:tcW w:w="912" w:type="dxa"/>
            <w:vAlign w:val="center"/>
          </w:tcPr>
          <w:p w14:paraId="68EBFF1B">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mL</w:t>
            </w:r>
          </w:p>
        </w:tc>
        <w:tc>
          <w:tcPr>
            <w:tcW w:w="900" w:type="dxa"/>
            <w:vAlign w:val="center"/>
          </w:tcPr>
          <w:p w14:paraId="3B8FAB0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160</w:t>
            </w:r>
          </w:p>
        </w:tc>
        <w:tc>
          <w:tcPr>
            <w:tcW w:w="829" w:type="dxa"/>
            <w:vAlign w:val="center"/>
          </w:tcPr>
          <w:p w14:paraId="5F867FA7">
            <w:pPr>
              <w:widowControl/>
              <w:jc w:val="center"/>
              <w:textAlignment w:val="center"/>
              <w:rPr>
                <w:rFonts w:hint="eastAsia" w:ascii="宋体" w:hAnsi="宋体" w:eastAsia="宋体" w:cs="宋体"/>
                <w:color w:val="000000"/>
                <w:kern w:val="0"/>
                <w:sz w:val="24"/>
                <w:szCs w:val="24"/>
                <w:lang w:bidi="ar"/>
              </w:rPr>
            </w:pPr>
          </w:p>
        </w:tc>
      </w:tr>
      <w:tr w14:paraId="251F0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14CAFB46">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148</w:t>
            </w:r>
          </w:p>
        </w:tc>
        <w:tc>
          <w:tcPr>
            <w:tcW w:w="1543" w:type="dxa"/>
            <w:vAlign w:val="center"/>
          </w:tcPr>
          <w:p w14:paraId="765ACCFF">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蕈状芽胞杆菌</w:t>
            </w:r>
          </w:p>
        </w:tc>
        <w:tc>
          <w:tcPr>
            <w:tcW w:w="4551" w:type="dxa"/>
            <w:shd w:val="clear" w:color="auto" w:fill="FFFFFF"/>
            <w:vAlign w:val="center"/>
          </w:tcPr>
          <w:p w14:paraId="7BC9ED3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冻干标准菌株，ATCC10206，</w:t>
            </w:r>
            <w:r>
              <w:rPr>
                <w:rFonts w:hint="eastAsia" w:ascii="宋体" w:hAnsi="宋体" w:eastAsia="宋体" w:cs="宋体"/>
                <w:b/>
                <w:bCs/>
                <w:color w:val="000000"/>
                <w:kern w:val="0"/>
                <w:sz w:val="24"/>
                <w:szCs w:val="24"/>
                <w:lang w:val="en-US" w:eastAsia="zh-CN" w:bidi="ar"/>
              </w:rPr>
              <w:t>投标文件中须</w:t>
            </w:r>
            <w:r>
              <w:rPr>
                <w:rFonts w:hint="eastAsia" w:ascii="宋体" w:hAnsi="宋体" w:eastAsia="宋体" w:cs="宋体"/>
                <w:b/>
                <w:bCs/>
                <w:color w:val="000000"/>
                <w:kern w:val="0"/>
                <w:sz w:val="24"/>
                <w:szCs w:val="24"/>
                <w:lang w:bidi="ar"/>
              </w:rPr>
              <w:t>提供菌株相关证书</w:t>
            </w:r>
          </w:p>
        </w:tc>
        <w:tc>
          <w:tcPr>
            <w:tcW w:w="912" w:type="dxa"/>
            <w:vAlign w:val="center"/>
          </w:tcPr>
          <w:p w14:paraId="0778BE6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6B6B0B8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6F12C519">
            <w:pPr>
              <w:widowControl/>
              <w:jc w:val="center"/>
              <w:textAlignment w:val="center"/>
              <w:rPr>
                <w:rFonts w:hint="eastAsia" w:ascii="宋体" w:hAnsi="宋体" w:eastAsia="宋体" w:cs="宋体"/>
                <w:color w:val="000000"/>
                <w:kern w:val="0"/>
                <w:sz w:val="24"/>
                <w:szCs w:val="24"/>
                <w:lang w:bidi="ar"/>
              </w:rPr>
            </w:pPr>
          </w:p>
        </w:tc>
      </w:tr>
      <w:tr w14:paraId="55872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4FB2280D">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149</w:t>
            </w:r>
          </w:p>
        </w:tc>
        <w:tc>
          <w:tcPr>
            <w:tcW w:w="1543" w:type="dxa"/>
            <w:vAlign w:val="center"/>
          </w:tcPr>
          <w:p w14:paraId="73DAB9A7">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苏云金芽胞杆菌</w:t>
            </w:r>
          </w:p>
        </w:tc>
        <w:tc>
          <w:tcPr>
            <w:tcW w:w="4551" w:type="dxa"/>
            <w:shd w:val="clear" w:color="auto" w:fill="FFFFFF"/>
            <w:vAlign w:val="center"/>
          </w:tcPr>
          <w:p w14:paraId="2C055D3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冻干标准菌株，ATCC10792，</w:t>
            </w:r>
            <w:r>
              <w:rPr>
                <w:rFonts w:hint="eastAsia" w:ascii="宋体" w:hAnsi="宋体" w:eastAsia="宋体" w:cs="宋体"/>
                <w:b/>
                <w:bCs/>
                <w:color w:val="000000"/>
                <w:kern w:val="0"/>
                <w:sz w:val="24"/>
                <w:szCs w:val="24"/>
                <w:lang w:val="en-US" w:eastAsia="zh-CN" w:bidi="ar"/>
              </w:rPr>
              <w:t>投标文件中须</w:t>
            </w:r>
            <w:r>
              <w:rPr>
                <w:rFonts w:hint="eastAsia" w:ascii="宋体" w:hAnsi="宋体" w:eastAsia="宋体" w:cs="宋体"/>
                <w:b/>
                <w:bCs/>
                <w:color w:val="000000"/>
                <w:kern w:val="0"/>
                <w:sz w:val="24"/>
                <w:szCs w:val="24"/>
                <w:lang w:bidi="ar"/>
              </w:rPr>
              <w:t>提供菌株相关证书</w:t>
            </w:r>
          </w:p>
        </w:tc>
        <w:tc>
          <w:tcPr>
            <w:tcW w:w="912" w:type="dxa"/>
            <w:vAlign w:val="center"/>
          </w:tcPr>
          <w:p w14:paraId="58FC2C4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42E318E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53AA9AC9">
            <w:pPr>
              <w:widowControl/>
              <w:jc w:val="center"/>
              <w:textAlignment w:val="center"/>
              <w:rPr>
                <w:rFonts w:hint="eastAsia" w:ascii="宋体" w:hAnsi="宋体" w:eastAsia="宋体" w:cs="宋体"/>
                <w:color w:val="000000"/>
                <w:kern w:val="0"/>
                <w:sz w:val="24"/>
                <w:szCs w:val="24"/>
                <w:lang w:bidi="ar"/>
              </w:rPr>
            </w:pPr>
          </w:p>
        </w:tc>
      </w:tr>
      <w:tr w14:paraId="69D23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143A0685">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150</w:t>
            </w:r>
          </w:p>
        </w:tc>
        <w:tc>
          <w:tcPr>
            <w:tcW w:w="1543" w:type="dxa"/>
            <w:vAlign w:val="center"/>
          </w:tcPr>
          <w:p w14:paraId="51DD3B25">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胰酪胨大豆羊血（TSSB）琼脂</w:t>
            </w:r>
          </w:p>
        </w:tc>
        <w:tc>
          <w:tcPr>
            <w:tcW w:w="4551" w:type="dxa"/>
            <w:vAlign w:val="center"/>
          </w:tcPr>
          <w:p w14:paraId="6012F8DD">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用于蜡样芽孢杆菌的溶血测试实验</w:t>
            </w:r>
          </w:p>
        </w:tc>
        <w:tc>
          <w:tcPr>
            <w:tcW w:w="912" w:type="dxa"/>
            <w:vAlign w:val="center"/>
          </w:tcPr>
          <w:p w14:paraId="6C6CED66">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w:t>
            </w:r>
          </w:p>
        </w:tc>
        <w:tc>
          <w:tcPr>
            <w:tcW w:w="900" w:type="dxa"/>
            <w:vAlign w:val="center"/>
          </w:tcPr>
          <w:p w14:paraId="4B22ADB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250</w:t>
            </w:r>
          </w:p>
        </w:tc>
        <w:tc>
          <w:tcPr>
            <w:tcW w:w="829" w:type="dxa"/>
            <w:vAlign w:val="center"/>
          </w:tcPr>
          <w:p w14:paraId="3871C5C5">
            <w:pPr>
              <w:widowControl/>
              <w:jc w:val="center"/>
              <w:textAlignment w:val="center"/>
              <w:rPr>
                <w:rFonts w:hint="eastAsia" w:ascii="宋体" w:hAnsi="宋体" w:eastAsia="宋体" w:cs="宋体"/>
                <w:color w:val="000000"/>
                <w:kern w:val="0"/>
                <w:sz w:val="24"/>
                <w:szCs w:val="24"/>
                <w:lang w:bidi="ar"/>
              </w:rPr>
            </w:pPr>
          </w:p>
        </w:tc>
      </w:tr>
      <w:tr w14:paraId="58CE8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0CD459AD">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151</w:t>
            </w:r>
          </w:p>
        </w:tc>
        <w:tc>
          <w:tcPr>
            <w:tcW w:w="1543" w:type="dxa"/>
            <w:vAlign w:val="center"/>
          </w:tcPr>
          <w:p w14:paraId="2D92909E">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硫酸锰营养琼脂</w:t>
            </w:r>
          </w:p>
        </w:tc>
        <w:tc>
          <w:tcPr>
            <w:tcW w:w="4551" w:type="dxa"/>
            <w:vAlign w:val="center"/>
          </w:tcPr>
          <w:p w14:paraId="3A228E9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适用于需氧芽孢杆菌的芽孢培养</w:t>
            </w:r>
          </w:p>
        </w:tc>
        <w:tc>
          <w:tcPr>
            <w:tcW w:w="912" w:type="dxa"/>
            <w:vAlign w:val="center"/>
          </w:tcPr>
          <w:p w14:paraId="4E91E4FF">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w:t>
            </w:r>
          </w:p>
        </w:tc>
        <w:tc>
          <w:tcPr>
            <w:tcW w:w="900" w:type="dxa"/>
            <w:vAlign w:val="center"/>
          </w:tcPr>
          <w:p w14:paraId="4F303A37">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250</w:t>
            </w:r>
          </w:p>
        </w:tc>
        <w:tc>
          <w:tcPr>
            <w:tcW w:w="829" w:type="dxa"/>
            <w:vAlign w:val="center"/>
          </w:tcPr>
          <w:p w14:paraId="102A592F">
            <w:pPr>
              <w:widowControl/>
              <w:jc w:val="center"/>
              <w:textAlignment w:val="center"/>
              <w:rPr>
                <w:rFonts w:hint="eastAsia" w:ascii="宋体" w:hAnsi="宋体" w:eastAsia="宋体" w:cs="宋体"/>
                <w:color w:val="000000"/>
                <w:kern w:val="0"/>
                <w:sz w:val="24"/>
                <w:szCs w:val="24"/>
                <w:lang w:bidi="ar"/>
              </w:rPr>
            </w:pPr>
          </w:p>
        </w:tc>
      </w:tr>
      <w:tr w14:paraId="34E67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2527249F">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152</w:t>
            </w:r>
          </w:p>
        </w:tc>
        <w:tc>
          <w:tcPr>
            <w:tcW w:w="1543" w:type="dxa"/>
            <w:vAlign w:val="center"/>
          </w:tcPr>
          <w:p w14:paraId="2E1B0B60">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0.5%碱性复红</w:t>
            </w:r>
          </w:p>
        </w:tc>
        <w:tc>
          <w:tcPr>
            <w:tcW w:w="4551" w:type="dxa"/>
            <w:vAlign w:val="center"/>
          </w:tcPr>
          <w:p w14:paraId="13FB885C">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适用于蜡样芽孢杆菌蛋白质毒素结晶试验</w:t>
            </w:r>
          </w:p>
        </w:tc>
        <w:tc>
          <w:tcPr>
            <w:tcW w:w="912" w:type="dxa"/>
            <w:vAlign w:val="center"/>
          </w:tcPr>
          <w:p w14:paraId="60D8AE5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6040479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4</w:t>
            </w:r>
          </w:p>
        </w:tc>
        <w:tc>
          <w:tcPr>
            <w:tcW w:w="829" w:type="dxa"/>
            <w:vAlign w:val="center"/>
          </w:tcPr>
          <w:p w14:paraId="7C26B0F4">
            <w:pPr>
              <w:widowControl/>
              <w:jc w:val="center"/>
              <w:textAlignment w:val="center"/>
              <w:rPr>
                <w:rFonts w:hint="eastAsia" w:ascii="宋体" w:hAnsi="宋体" w:eastAsia="宋体" w:cs="宋体"/>
                <w:color w:val="000000"/>
                <w:kern w:val="0"/>
                <w:sz w:val="24"/>
                <w:szCs w:val="24"/>
                <w:lang w:bidi="ar"/>
              </w:rPr>
            </w:pPr>
          </w:p>
        </w:tc>
      </w:tr>
      <w:tr w14:paraId="494CE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23CA6AF8">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153</w:t>
            </w:r>
          </w:p>
        </w:tc>
        <w:tc>
          <w:tcPr>
            <w:tcW w:w="1543" w:type="dxa"/>
            <w:vAlign w:val="center"/>
          </w:tcPr>
          <w:p w14:paraId="34E76422">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酪蛋白琼脂</w:t>
            </w:r>
          </w:p>
        </w:tc>
        <w:tc>
          <w:tcPr>
            <w:tcW w:w="4551" w:type="dxa"/>
            <w:vAlign w:val="center"/>
          </w:tcPr>
          <w:p w14:paraId="6D975D9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适用于蜡样芽孢杆菌的酪蛋白分解试验</w:t>
            </w:r>
          </w:p>
        </w:tc>
        <w:tc>
          <w:tcPr>
            <w:tcW w:w="912" w:type="dxa"/>
            <w:vAlign w:val="center"/>
          </w:tcPr>
          <w:p w14:paraId="55BA5F9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w:t>
            </w:r>
          </w:p>
        </w:tc>
        <w:tc>
          <w:tcPr>
            <w:tcW w:w="900" w:type="dxa"/>
            <w:vAlign w:val="center"/>
          </w:tcPr>
          <w:p w14:paraId="50A7436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250</w:t>
            </w:r>
          </w:p>
        </w:tc>
        <w:tc>
          <w:tcPr>
            <w:tcW w:w="829" w:type="dxa"/>
            <w:vAlign w:val="center"/>
          </w:tcPr>
          <w:p w14:paraId="0E91FA9E">
            <w:pPr>
              <w:widowControl/>
              <w:jc w:val="center"/>
              <w:textAlignment w:val="center"/>
              <w:rPr>
                <w:rFonts w:hint="eastAsia" w:ascii="宋体" w:hAnsi="宋体" w:eastAsia="宋体" w:cs="宋体"/>
                <w:color w:val="000000"/>
                <w:kern w:val="0"/>
                <w:sz w:val="24"/>
                <w:szCs w:val="24"/>
                <w:lang w:bidi="ar"/>
              </w:rPr>
            </w:pPr>
          </w:p>
        </w:tc>
      </w:tr>
      <w:tr w14:paraId="27FA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0D7B08DF">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154</w:t>
            </w:r>
          </w:p>
        </w:tc>
        <w:tc>
          <w:tcPr>
            <w:tcW w:w="1543" w:type="dxa"/>
            <w:vAlign w:val="center"/>
          </w:tcPr>
          <w:p w14:paraId="070CDBD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绿脓杆菌生化鉴定盒</w:t>
            </w:r>
          </w:p>
        </w:tc>
        <w:tc>
          <w:tcPr>
            <w:tcW w:w="4551" w:type="dxa"/>
            <w:vAlign w:val="center"/>
          </w:tcPr>
          <w:p w14:paraId="23C8AF13">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包含氧化酶、绿脓菌素、液化明胶，还原硝酸盐、42℃条件下生长实验等反应管</w:t>
            </w:r>
          </w:p>
        </w:tc>
        <w:tc>
          <w:tcPr>
            <w:tcW w:w="912" w:type="dxa"/>
            <w:vAlign w:val="center"/>
          </w:tcPr>
          <w:p w14:paraId="7C98AB1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4C7675A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829" w:type="dxa"/>
            <w:vAlign w:val="center"/>
          </w:tcPr>
          <w:p w14:paraId="3F237E55">
            <w:pPr>
              <w:widowControl/>
              <w:jc w:val="center"/>
              <w:textAlignment w:val="center"/>
              <w:rPr>
                <w:rFonts w:hint="eastAsia" w:ascii="宋体" w:hAnsi="宋体" w:eastAsia="宋体" w:cs="宋体"/>
                <w:color w:val="000000"/>
                <w:kern w:val="0"/>
                <w:sz w:val="24"/>
                <w:szCs w:val="24"/>
                <w:lang w:bidi="ar"/>
              </w:rPr>
            </w:pPr>
          </w:p>
        </w:tc>
      </w:tr>
      <w:tr w14:paraId="7C0BB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64FE4026">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155</w:t>
            </w:r>
          </w:p>
        </w:tc>
        <w:tc>
          <w:tcPr>
            <w:tcW w:w="1543" w:type="dxa"/>
            <w:vAlign w:val="center"/>
          </w:tcPr>
          <w:p w14:paraId="08EC20EF">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含225ml 0.85%生理盐水均质袋</w:t>
            </w:r>
          </w:p>
        </w:tc>
        <w:tc>
          <w:tcPr>
            <w:tcW w:w="4551" w:type="dxa"/>
            <w:vAlign w:val="center"/>
          </w:tcPr>
          <w:p w14:paraId="13632943">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无菌，适用于样品的稀释</w:t>
            </w:r>
          </w:p>
        </w:tc>
        <w:tc>
          <w:tcPr>
            <w:tcW w:w="912" w:type="dxa"/>
            <w:vAlign w:val="center"/>
          </w:tcPr>
          <w:p w14:paraId="4DA4DC0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c>
          <w:tcPr>
            <w:tcW w:w="900" w:type="dxa"/>
            <w:vAlign w:val="center"/>
          </w:tcPr>
          <w:p w14:paraId="3FB3423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20</w:t>
            </w:r>
          </w:p>
        </w:tc>
        <w:tc>
          <w:tcPr>
            <w:tcW w:w="829" w:type="dxa"/>
            <w:vAlign w:val="center"/>
          </w:tcPr>
          <w:p w14:paraId="79391B18">
            <w:pPr>
              <w:widowControl/>
              <w:jc w:val="center"/>
              <w:textAlignment w:val="center"/>
              <w:rPr>
                <w:rFonts w:hint="eastAsia" w:ascii="宋体" w:hAnsi="宋体" w:eastAsia="宋体" w:cs="宋体"/>
                <w:color w:val="000000"/>
                <w:kern w:val="0"/>
                <w:sz w:val="24"/>
                <w:szCs w:val="24"/>
                <w:lang w:bidi="ar"/>
              </w:rPr>
            </w:pPr>
          </w:p>
        </w:tc>
      </w:tr>
      <w:tr w14:paraId="45B37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5D8DA703">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156</w:t>
            </w:r>
          </w:p>
        </w:tc>
        <w:tc>
          <w:tcPr>
            <w:tcW w:w="1543" w:type="dxa"/>
            <w:vAlign w:val="center"/>
          </w:tcPr>
          <w:p w14:paraId="58F7FDCB">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结晶紫中性红胆盐琼脂</w:t>
            </w:r>
          </w:p>
        </w:tc>
        <w:tc>
          <w:tcPr>
            <w:tcW w:w="4551" w:type="dxa"/>
            <w:vAlign w:val="center"/>
          </w:tcPr>
          <w:p w14:paraId="153EAC2C">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粉末</w:t>
            </w:r>
          </w:p>
        </w:tc>
        <w:tc>
          <w:tcPr>
            <w:tcW w:w="912" w:type="dxa"/>
            <w:vAlign w:val="center"/>
          </w:tcPr>
          <w:p w14:paraId="6721CE1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w:t>
            </w:r>
          </w:p>
        </w:tc>
        <w:tc>
          <w:tcPr>
            <w:tcW w:w="900" w:type="dxa"/>
            <w:vAlign w:val="center"/>
          </w:tcPr>
          <w:p w14:paraId="775F7A6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250</w:t>
            </w:r>
          </w:p>
        </w:tc>
        <w:tc>
          <w:tcPr>
            <w:tcW w:w="829" w:type="dxa"/>
            <w:vAlign w:val="center"/>
          </w:tcPr>
          <w:p w14:paraId="662A8D88">
            <w:pPr>
              <w:widowControl/>
              <w:jc w:val="center"/>
              <w:textAlignment w:val="center"/>
              <w:rPr>
                <w:rFonts w:hint="eastAsia" w:ascii="宋体" w:hAnsi="宋体" w:eastAsia="宋体" w:cs="宋体"/>
                <w:color w:val="000000"/>
                <w:kern w:val="0"/>
                <w:sz w:val="24"/>
                <w:szCs w:val="24"/>
                <w:lang w:bidi="ar"/>
              </w:rPr>
            </w:pPr>
          </w:p>
        </w:tc>
      </w:tr>
      <w:tr w14:paraId="498F7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27B3BE78">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157</w:t>
            </w:r>
          </w:p>
        </w:tc>
        <w:tc>
          <w:tcPr>
            <w:tcW w:w="1543" w:type="dxa"/>
            <w:vAlign w:val="center"/>
          </w:tcPr>
          <w:p w14:paraId="30809CC9">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克罗诺杆菌生化鉴定条</w:t>
            </w:r>
          </w:p>
        </w:tc>
        <w:tc>
          <w:tcPr>
            <w:tcW w:w="4551" w:type="dxa"/>
            <w:vAlign w:val="center"/>
          </w:tcPr>
          <w:p w14:paraId="7C4FE6F0">
            <w:pPr>
              <w:widowControl/>
              <w:jc w:val="left"/>
              <w:textAlignment w:val="center"/>
              <w:rPr>
                <w:rFonts w:hint="eastAsia" w:ascii="宋体" w:hAnsi="宋体" w:eastAsia="宋体" w:cs="宋体"/>
                <w:color w:val="333333"/>
                <w:sz w:val="24"/>
                <w:szCs w:val="24"/>
              </w:rPr>
            </w:pPr>
            <w:r>
              <w:rPr>
                <w:rFonts w:hint="eastAsia" w:ascii="宋体" w:hAnsi="宋体" w:eastAsia="宋体" w:cs="宋体"/>
                <w:color w:val="333333"/>
                <w:kern w:val="0"/>
                <w:sz w:val="24"/>
                <w:szCs w:val="24"/>
                <w:lang w:bidi="ar"/>
              </w:rPr>
              <w:t>适用于克罗诺杆菌的生化鉴定(GB4789.40-2024标准)，包含氧化酶试纸，赖氨酸脱羧酶肉汤，鸟氨酸脱羧酶肉汤，L-精氨酸双水解酶，氨酸脱羧酶对照，西蒙氏柠檬酸盐，D-山梨醇，L-鼠李糖，D-蔗糖，D-蜜二糖等反应管</w:t>
            </w:r>
          </w:p>
        </w:tc>
        <w:tc>
          <w:tcPr>
            <w:tcW w:w="912" w:type="dxa"/>
            <w:vAlign w:val="center"/>
          </w:tcPr>
          <w:p w14:paraId="0D478EF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条</w:t>
            </w:r>
          </w:p>
        </w:tc>
        <w:tc>
          <w:tcPr>
            <w:tcW w:w="900" w:type="dxa"/>
            <w:vAlign w:val="center"/>
          </w:tcPr>
          <w:p w14:paraId="6645262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829" w:type="dxa"/>
            <w:vAlign w:val="center"/>
          </w:tcPr>
          <w:p w14:paraId="1F9911D9">
            <w:pPr>
              <w:widowControl/>
              <w:jc w:val="center"/>
              <w:textAlignment w:val="center"/>
              <w:rPr>
                <w:rFonts w:hint="eastAsia" w:ascii="宋体" w:hAnsi="宋体" w:eastAsia="宋体" w:cs="宋体"/>
                <w:color w:val="000000"/>
                <w:kern w:val="0"/>
                <w:sz w:val="24"/>
                <w:szCs w:val="24"/>
                <w:lang w:bidi="ar"/>
              </w:rPr>
            </w:pPr>
          </w:p>
        </w:tc>
      </w:tr>
      <w:tr w14:paraId="0CEF5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4815BB65">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158</w:t>
            </w:r>
          </w:p>
        </w:tc>
        <w:tc>
          <w:tcPr>
            <w:tcW w:w="1543" w:type="dxa"/>
            <w:vAlign w:val="center"/>
          </w:tcPr>
          <w:p w14:paraId="2DE3D719">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无菌液体石蜡</w:t>
            </w:r>
          </w:p>
        </w:tc>
        <w:tc>
          <w:tcPr>
            <w:tcW w:w="4551" w:type="dxa"/>
            <w:vAlign w:val="center"/>
          </w:tcPr>
          <w:p w14:paraId="4D1B2BAB">
            <w:pPr>
              <w:widowControl/>
              <w:jc w:val="left"/>
              <w:textAlignment w:val="center"/>
              <w:rPr>
                <w:rFonts w:hint="eastAsia" w:ascii="宋体" w:hAnsi="宋体" w:eastAsia="宋体" w:cs="宋体"/>
                <w:color w:val="333333"/>
                <w:sz w:val="24"/>
                <w:szCs w:val="24"/>
              </w:rPr>
            </w:pPr>
            <w:r>
              <w:rPr>
                <w:rFonts w:hint="eastAsia" w:ascii="宋体" w:hAnsi="宋体" w:eastAsia="宋体" w:cs="宋体"/>
                <w:color w:val="333333"/>
                <w:kern w:val="0"/>
                <w:sz w:val="24"/>
                <w:szCs w:val="24"/>
                <w:lang w:bidi="ar"/>
              </w:rPr>
              <w:t>无菌</w:t>
            </w:r>
          </w:p>
        </w:tc>
        <w:tc>
          <w:tcPr>
            <w:tcW w:w="912" w:type="dxa"/>
            <w:vAlign w:val="center"/>
          </w:tcPr>
          <w:p w14:paraId="2827DD0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6685768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20</w:t>
            </w:r>
          </w:p>
        </w:tc>
        <w:tc>
          <w:tcPr>
            <w:tcW w:w="829" w:type="dxa"/>
            <w:vAlign w:val="center"/>
          </w:tcPr>
          <w:p w14:paraId="379C58F2">
            <w:pPr>
              <w:widowControl/>
              <w:jc w:val="center"/>
              <w:textAlignment w:val="center"/>
              <w:rPr>
                <w:rFonts w:hint="eastAsia" w:ascii="宋体" w:hAnsi="宋体" w:eastAsia="宋体" w:cs="宋体"/>
                <w:color w:val="000000"/>
                <w:kern w:val="0"/>
                <w:sz w:val="24"/>
                <w:szCs w:val="24"/>
                <w:lang w:bidi="ar"/>
              </w:rPr>
            </w:pPr>
          </w:p>
        </w:tc>
      </w:tr>
      <w:tr w14:paraId="475DE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1DB796B4">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159</w:t>
            </w:r>
          </w:p>
        </w:tc>
        <w:tc>
          <w:tcPr>
            <w:tcW w:w="1543" w:type="dxa"/>
            <w:vAlign w:val="center"/>
          </w:tcPr>
          <w:p w14:paraId="51FEA267">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含900ml缓冲蛋白胨水(BPW)均质袋</w:t>
            </w:r>
          </w:p>
        </w:tc>
        <w:tc>
          <w:tcPr>
            <w:tcW w:w="4551" w:type="dxa"/>
            <w:vAlign w:val="center"/>
          </w:tcPr>
          <w:p w14:paraId="01E78077">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无菌</w:t>
            </w:r>
          </w:p>
        </w:tc>
        <w:tc>
          <w:tcPr>
            <w:tcW w:w="912" w:type="dxa"/>
            <w:vAlign w:val="center"/>
          </w:tcPr>
          <w:p w14:paraId="13DDC0A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c>
          <w:tcPr>
            <w:tcW w:w="900" w:type="dxa"/>
            <w:vAlign w:val="center"/>
          </w:tcPr>
          <w:p w14:paraId="2B442606">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4</w:t>
            </w:r>
          </w:p>
        </w:tc>
        <w:tc>
          <w:tcPr>
            <w:tcW w:w="829" w:type="dxa"/>
            <w:vAlign w:val="center"/>
          </w:tcPr>
          <w:p w14:paraId="30A2636E">
            <w:pPr>
              <w:widowControl/>
              <w:jc w:val="center"/>
              <w:textAlignment w:val="center"/>
              <w:rPr>
                <w:rFonts w:hint="eastAsia" w:ascii="宋体" w:hAnsi="宋体" w:eastAsia="宋体" w:cs="宋体"/>
                <w:color w:val="000000"/>
                <w:kern w:val="0"/>
                <w:sz w:val="24"/>
                <w:szCs w:val="24"/>
                <w:lang w:bidi="ar"/>
              </w:rPr>
            </w:pPr>
          </w:p>
        </w:tc>
      </w:tr>
      <w:tr w14:paraId="1D271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3403A75B">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160</w:t>
            </w:r>
          </w:p>
        </w:tc>
        <w:tc>
          <w:tcPr>
            <w:tcW w:w="1543" w:type="dxa"/>
            <w:vAlign w:val="center"/>
          </w:tcPr>
          <w:p w14:paraId="09CC94D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改良月桂基硫酸盐胰蛋白胨肉汤-万古霉素管(10ml)</w:t>
            </w:r>
          </w:p>
        </w:tc>
        <w:tc>
          <w:tcPr>
            <w:tcW w:w="4551" w:type="dxa"/>
            <w:vAlign w:val="center"/>
          </w:tcPr>
          <w:p w14:paraId="6C3158D4">
            <w:pPr>
              <w:widowControl/>
              <w:jc w:val="left"/>
              <w:textAlignment w:val="center"/>
              <w:rPr>
                <w:rFonts w:hint="eastAsia" w:ascii="宋体" w:hAnsi="宋体" w:eastAsia="宋体" w:cs="宋体"/>
                <w:color w:val="333333"/>
                <w:sz w:val="24"/>
                <w:szCs w:val="24"/>
              </w:rPr>
            </w:pPr>
            <w:r>
              <w:rPr>
                <w:rFonts w:hint="eastAsia" w:ascii="宋体" w:hAnsi="宋体" w:eastAsia="宋体" w:cs="宋体"/>
                <w:color w:val="333333"/>
                <w:kern w:val="0"/>
                <w:sz w:val="24"/>
                <w:szCs w:val="24"/>
                <w:lang w:bidi="ar"/>
              </w:rPr>
              <w:t>无菌</w:t>
            </w:r>
          </w:p>
        </w:tc>
        <w:tc>
          <w:tcPr>
            <w:tcW w:w="912" w:type="dxa"/>
            <w:vAlign w:val="center"/>
          </w:tcPr>
          <w:p w14:paraId="52134D0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w:t>
            </w:r>
          </w:p>
        </w:tc>
        <w:tc>
          <w:tcPr>
            <w:tcW w:w="900" w:type="dxa"/>
            <w:vAlign w:val="center"/>
          </w:tcPr>
          <w:p w14:paraId="10389DEF">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20</w:t>
            </w:r>
          </w:p>
        </w:tc>
        <w:tc>
          <w:tcPr>
            <w:tcW w:w="829" w:type="dxa"/>
            <w:vAlign w:val="center"/>
          </w:tcPr>
          <w:p w14:paraId="1A32BED8">
            <w:pPr>
              <w:widowControl/>
              <w:jc w:val="center"/>
              <w:textAlignment w:val="center"/>
              <w:rPr>
                <w:rFonts w:hint="eastAsia" w:ascii="宋体" w:hAnsi="宋体" w:eastAsia="宋体" w:cs="宋体"/>
                <w:color w:val="000000"/>
                <w:kern w:val="0"/>
                <w:sz w:val="24"/>
                <w:szCs w:val="24"/>
                <w:lang w:bidi="ar"/>
              </w:rPr>
            </w:pPr>
          </w:p>
        </w:tc>
      </w:tr>
      <w:tr w14:paraId="2B7C8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367AD2B5">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161</w:t>
            </w:r>
          </w:p>
        </w:tc>
        <w:tc>
          <w:tcPr>
            <w:tcW w:w="1543" w:type="dxa"/>
            <w:vAlign w:val="center"/>
          </w:tcPr>
          <w:p w14:paraId="6474741B">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克罗诺杆菌显色培养基</w:t>
            </w:r>
          </w:p>
        </w:tc>
        <w:tc>
          <w:tcPr>
            <w:tcW w:w="4551" w:type="dxa"/>
            <w:vAlign w:val="center"/>
          </w:tcPr>
          <w:p w14:paraId="73A8577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粉末，可配制成1000ml培养基</w:t>
            </w:r>
          </w:p>
        </w:tc>
        <w:tc>
          <w:tcPr>
            <w:tcW w:w="912" w:type="dxa"/>
            <w:vAlign w:val="center"/>
          </w:tcPr>
          <w:p w14:paraId="0B387DC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瓶</w:t>
            </w:r>
          </w:p>
        </w:tc>
        <w:tc>
          <w:tcPr>
            <w:tcW w:w="900" w:type="dxa"/>
            <w:vAlign w:val="center"/>
          </w:tcPr>
          <w:p w14:paraId="4CFD1F9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829" w:type="dxa"/>
            <w:vAlign w:val="center"/>
          </w:tcPr>
          <w:p w14:paraId="24B8B315">
            <w:pPr>
              <w:widowControl/>
              <w:jc w:val="center"/>
              <w:textAlignment w:val="center"/>
              <w:rPr>
                <w:rFonts w:hint="eastAsia" w:ascii="宋体" w:hAnsi="宋体" w:eastAsia="宋体" w:cs="宋体"/>
                <w:color w:val="000000"/>
                <w:kern w:val="0"/>
                <w:sz w:val="24"/>
                <w:szCs w:val="24"/>
                <w:lang w:bidi="ar"/>
              </w:rPr>
            </w:pPr>
          </w:p>
        </w:tc>
      </w:tr>
      <w:tr w14:paraId="0A97D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27" w:type="dxa"/>
            <w:vAlign w:val="center"/>
          </w:tcPr>
          <w:p w14:paraId="2BB8D07D">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162</w:t>
            </w:r>
          </w:p>
        </w:tc>
        <w:tc>
          <w:tcPr>
            <w:tcW w:w="1543" w:type="dxa"/>
            <w:vAlign w:val="center"/>
          </w:tcPr>
          <w:p w14:paraId="77C980F7">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克罗诺杆菌荧光定量PCR试剂盒</w:t>
            </w:r>
          </w:p>
        </w:tc>
        <w:tc>
          <w:tcPr>
            <w:tcW w:w="4551" w:type="dxa"/>
            <w:vAlign w:val="center"/>
          </w:tcPr>
          <w:p w14:paraId="01DCE6E7">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适用于克罗诺杆菌的检测</w:t>
            </w:r>
          </w:p>
        </w:tc>
        <w:tc>
          <w:tcPr>
            <w:tcW w:w="912" w:type="dxa"/>
            <w:vAlign w:val="center"/>
          </w:tcPr>
          <w:p w14:paraId="4BD9C29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w:t>
            </w:r>
          </w:p>
        </w:tc>
        <w:tc>
          <w:tcPr>
            <w:tcW w:w="900" w:type="dxa"/>
            <w:vAlign w:val="center"/>
          </w:tcPr>
          <w:p w14:paraId="4B7AE64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w:t>
            </w:r>
          </w:p>
        </w:tc>
        <w:tc>
          <w:tcPr>
            <w:tcW w:w="829" w:type="dxa"/>
            <w:vAlign w:val="center"/>
          </w:tcPr>
          <w:p w14:paraId="601D7BB6">
            <w:pPr>
              <w:widowControl/>
              <w:jc w:val="center"/>
              <w:textAlignment w:val="center"/>
              <w:rPr>
                <w:rFonts w:hint="eastAsia" w:ascii="宋体" w:hAnsi="宋体" w:eastAsia="宋体" w:cs="宋体"/>
                <w:color w:val="000000"/>
                <w:kern w:val="0"/>
                <w:sz w:val="24"/>
                <w:szCs w:val="24"/>
                <w:lang w:bidi="ar"/>
              </w:rPr>
            </w:pPr>
          </w:p>
        </w:tc>
      </w:tr>
    </w:tbl>
    <w:p w14:paraId="118B91EA">
      <w:pPr>
        <w:wordWrap w:val="0"/>
        <w:spacing w:line="360" w:lineRule="auto"/>
        <w:ind w:firstLine="437"/>
        <w:rPr>
          <w:rFonts w:ascii="Arial" w:hAnsi="Arial" w:eastAsia="宋体" w:cs="Arial"/>
          <w:b/>
          <w:sz w:val="28"/>
          <w:szCs w:val="28"/>
        </w:rPr>
      </w:pPr>
      <w:r>
        <w:rPr>
          <w:rFonts w:hint="eastAsia" w:ascii="Arial" w:hAnsi="Arial" w:eastAsia="宋体" w:cs="Arial"/>
          <w:b/>
          <w:sz w:val="28"/>
          <w:szCs w:val="28"/>
        </w:rPr>
        <w:t>四、报价要求</w:t>
      </w:r>
    </w:p>
    <w:p w14:paraId="6A66EA11">
      <w:r>
        <w:rPr>
          <w:rFonts w:hint="eastAsia" w:ascii="宋体" w:hAnsi="宋体" w:eastAsia="宋体"/>
          <w:sz w:val="24"/>
        </w:rPr>
        <w:t>本项目报总价，投标报价包括本项目需求（包含招标文件要求内容、投标文件承诺内容、评审过程澄清修改内容等）的全部货物及所需附件购置费、包装费、运输费、人工费、保险费、安装调试费、各种税费、资料费、售后服务费及完成项目应有的全部费用，中标后采购人不再另行支付任何费用，</w:t>
      </w:r>
      <w:r>
        <w:rPr>
          <w:rFonts w:hint="eastAsia" w:ascii="宋体" w:hAnsi="宋体" w:eastAsia="宋体"/>
          <w:b/>
          <w:bCs/>
          <w:sz w:val="24"/>
        </w:rPr>
        <w:t>投标分项报价表中须明确列出所投产品所含货物名称、品牌、型号规格、原产地及生产厂商，否则可能导致投标无效。</w:t>
      </w:r>
      <w:bookmarkStart w:id="2" w:name="_GoBack"/>
      <w:bookmarkEnd w:id="2"/>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C62B6">
    <w:pPr>
      <w:pStyle w:val="2"/>
      <w:jc w:val="center"/>
      <w:rPr>
        <w:rFonts w:ascii="Arial" w:hAnsi="Arial" w:eastAsia="宋体" w:cs="Arial"/>
        <w:b/>
        <w:bCs/>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B37090">
                          <w:pPr>
                            <w:pStyle w:val="2"/>
                            <w:rPr>
                              <w:rFonts w:hint="eastAsia"/>
                            </w:rP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4B37090">
                    <w:pPr>
                      <w:pStyle w:val="2"/>
                      <w:rPr>
                        <w:rFonts w:hint="eastAsia"/>
                      </w:rP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0F4C1">
    <w:pPr>
      <w:pStyle w:val="2"/>
      <w:jc w:val="center"/>
      <w:rPr>
        <w:rFonts w:ascii="Arial" w:hAnsi="Arial" w:eastAsia="宋体" w:cs="Arial"/>
        <w:b/>
        <w:bCs/>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0AC9DC">
                          <w:pPr>
                            <w:pStyle w:val="2"/>
                            <w:rPr>
                              <w:rFonts w:hint="eastAsia"/>
                            </w:rP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0D0AC9DC">
                    <w:pPr>
                      <w:pStyle w:val="2"/>
                      <w:rPr>
                        <w:rFonts w:hint="eastAsia"/>
                      </w:rP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505944"/>
    <w:multiLevelType w:val="singleLevel"/>
    <w:tmpl w:val="D950594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024B63"/>
    <w:rsid w:val="2EDA6C9B"/>
    <w:rsid w:val="57024B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D&amp;L"/>
    <w:basedOn w:val="3"/>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7">
    <w:name w:val="xl31"/>
    <w:basedOn w:val="1"/>
    <w:qFormat/>
    <w:uiPriority w:val="0"/>
    <w:pPr>
      <w:widowControl/>
      <w:spacing w:before="100" w:beforeAutospacing="1" w:after="100" w:afterAutospacing="1"/>
      <w:jc w:val="center"/>
    </w:pPr>
    <w:rPr>
      <w:b/>
      <w:bCs/>
      <w:kern w:val="0"/>
      <w:sz w:val="28"/>
      <w:szCs w:val="28"/>
    </w:rPr>
  </w:style>
  <w:style w:type="character" w:customStyle="1" w:styleId="8">
    <w:name w:val="font51"/>
    <w:basedOn w:val="5"/>
    <w:qFormat/>
    <w:uiPriority w:val="0"/>
    <w:rPr>
      <w:rFonts w:hint="eastAsia" w:ascii="仿宋" w:hAnsi="仿宋" w:eastAsia="仿宋" w:cs="仿宋"/>
      <w:color w:val="000000"/>
      <w:sz w:val="22"/>
      <w:szCs w:val="22"/>
      <w:u w:val="none"/>
    </w:rPr>
  </w:style>
  <w:style w:type="character" w:customStyle="1" w:styleId="9">
    <w:name w:val="font71"/>
    <w:basedOn w:val="5"/>
    <w:qFormat/>
    <w:uiPriority w:val="0"/>
    <w:rPr>
      <w:rFonts w:hint="eastAsia" w:ascii="仿宋" w:hAnsi="仿宋" w:eastAsia="仿宋" w:cs="仿宋"/>
      <w:color w:val="000000"/>
      <w:sz w:val="22"/>
      <w:szCs w:val="22"/>
      <w:u w:val="none"/>
    </w:rPr>
  </w:style>
  <w:style w:type="paragraph" w:customStyle="1" w:styleId="10">
    <w:name w:val="Table Paragraph"/>
    <w:basedOn w:val="1"/>
    <w:qFormat/>
    <w:uiPriority w:val="1"/>
    <w:rPr>
      <w:rFonts w:ascii="宋体" w:hAnsi="宋体" w:cs="宋体"/>
      <w:lang w:val="zh-CN" w:bidi="zh-CN"/>
    </w:rPr>
  </w:style>
  <w:style w:type="character" w:customStyle="1" w:styleId="11">
    <w:name w:val="font81"/>
    <w:basedOn w:val="5"/>
    <w:qFormat/>
    <w:uiPriority w:val="0"/>
    <w:rPr>
      <w:rFonts w:hint="eastAsia" w:ascii="仿宋" w:hAnsi="仿宋" w:eastAsia="仿宋" w:cs="仿宋"/>
      <w:i/>
      <w:iCs/>
      <w:color w:val="000000"/>
      <w:sz w:val="22"/>
      <w:szCs w:val="22"/>
      <w:u w:val="none"/>
    </w:rPr>
  </w:style>
  <w:style w:type="character" w:customStyle="1" w:styleId="12">
    <w:name w:val="font91"/>
    <w:basedOn w:val="5"/>
    <w:qFormat/>
    <w:uiPriority w:val="0"/>
    <w:rPr>
      <w:rFonts w:hint="eastAsia" w:ascii="仿宋" w:hAnsi="仿宋" w:eastAsia="仿宋" w:cs="仿宋"/>
      <w:i/>
      <w:iCs/>
      <w:color w:val="000000"/>
      <w:sz w:val="22"/>
      <w:szCs w:val="22"/>
      <w:u w:val="none"/>
      <w:vertAlign w:val="superscript"/>
    </w:rPr>
  </w:style>
  <w:style w:type="character" w:customStyle="1" w:styleId="13">
    <w:name w:val="font61"/>
    <w:basedOn w:val="5"/>
    <w:qFormat/>
    <w:uiPriority w:val="0"/>
    <w:rPr>
      <w:rFonts w:hint="eastAsia" w:ascii="仿宋" w:hAnsi="仿宋" w:eastAsia="仿宋" w:cs="仿宋"/>
      <w:color w:val="000000"/>
      <w:sz w:val="22"/>
      <w:szCs w:val="22"/>
      <w:u w:val="none"/>
    </w:rPr>
  </w:style>
  <w:style w:type="character" w:customStyle="1" w:styleId="14">
    <w:name w:val="font101"/>
    <w:basedOn w:val="5"/>
    <w:qFormat/>
    <w:uiPriority w:val="0"/>
    <w:rPr>
      <w:rFonts w:ascii="Arial" w:hAnsi="Arial" w:cs="Arial"/>
      <w:color w:val="000000"/>
      <w:sz w:val="22"/>
      <w:szCs w:val="22"/>
      <w:u w:val="none"/>
    </w:rPr>
  </w:style>
  <w:style w:type="character" w:customStyle="1" w:styleId="15">
    <w:name w:val="font112"/>
    <w:basedOn w:val="5"/>
    <w:qFormat/>
    <w:uiPriority w:val="0"/>
    <w:rPr>
      <w:rFonts w:hint="eastAsia" w:ascii="仿宋" w:hAnsi="仿宋" w:eastAsia="仿宋" w:cs="仿宋"/>
      <w:color w:val="262A33"/>
      <w:sz w:val="22"/>
      <w:szCs w:val="22"/>
      <w:u w:val="none"/>
    </w:rPr>
  </w:style>
  <w:style w:type="character" w:customStyle="1" w:styleId="16">
    <w:name w:val="font121"/>
    <w:basedOn w:val="5"/>
    <w:qFormat/>
    <w:uiPriority w:val="0"/>
    <w:rPr>
      <w:rFonts w:hint="eastAsia" w:ascii="仿宋" w:hAnsi="仿宋" w:eastAsia="仿宋" w:cs="仿宋"/>
      <w:color w:val="262A33"/>
      <w:sz w:val="22"/>
      <w:szCs w:val="22"/>
      <w:u w:val="none"/>
      <w:vertAlign w:val="subscript"/>
    </w:rPr>
  </w:style>
  <w:style w:type="character" w:customStyle="1" w:styleId="17">
    <w:name w:val="font131"/>
    <w:basedOn w:val="5"/>
    <w:qFormat/>
    <w:uiPriority w:val="0"/>
    <w:rPr>
      <w:rFonts w:hint="eastAsia" w:ascii="仿宋" w:hAnsi="仿宋" w:eastAsia="仿宋" w:cs="仿宋"/>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0</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2026-05-20T03:29:00Z</dcterms:created>
  <dc:creator>森</dc:creator>
  <cp:lastModifiedBy>森</cp:lastModifiedBy>
  <dcterms:modified xsi:type="dcterms:W3CDTF">2026-05-20T04:22:51Z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64A43E45515C460A94B112A28168B0A9_11</vt:lpwstr>
  </property>
  <property fmtid="{D5CDD505-2E9C-101B-9397-08002B2CF9AE}" pid="4" name="KSOTemplateDocerSaveRecord">
    <vt:lpwstr>eyJoZGlkIjoiOTc3M2Y5NzIzMDFlZjAyY2Q4Njk5ODkyYjFjNzBiNTQiLCJ1c2VySWQiOiI0MzAwMTYzNzkifQ==</vt:lpwstr>
  </property>
</Properties>
</file>