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81FDE4">
      <w:pPr>
        <w:wordWrap w:val="0"/>
        <w:spacing w:line="360" w:lineRule="auto"/>
        <w:jc w:val="center"/>
        <w:outlineLvl w:val="1"/>
        <w:rPr>
          <w:rFonts w:hint="eastAsia" w:ascii="华文中宋" w:hAnsi="华文中宋" w:eastAsia="华文中宋" w:cs="Times New Roman"/>
          <w:b/>
          <w:bCs/>
          <w:kern w:val="44"/>
          <w:sz w:val="44"/>
          <w:szCs w:val="44"/>
        </w:rPr>
      </w:pPr>
      <w:bookmarkStart w:id="2" w:name="_GoBack"/>
      <w:bookmarkEnd w:id="2"/>
      <w:r>
        <w:rPr>
          <w:rFonts w:hint="eastAsia" w:ascii="华文中宋" w:hAnsi="华文中宋" w:eastAsia="华文中宋" w:cs="Times New Roman"/>
          <w:b/>
          <w:bCs/>
          <w:kern w:val="44"/>
          <w:sz w:val="44"/>
          <w:szCs w:val="44"/>
        </w:rPr>
        <w:t>采购需求</w:t>
      </w:r>
    </w:p>
    <w:p w14:paraId="2E66E2BC">
      <w:pPr>
        <w:wordWrap w:val="0"/>
        <w:spacing w:line="360" w:lineRule="auto"/>
        <w:rPr>
          <w:rFonts w:ascii="宋体" w:hAnsi="宋体" w:eastAsia="宋体"/>
          <w:b/>
          <w:sz w:val="24"/>
        </w:rPr>
      </w:pPr>
      <w:r>
        <w:rPr>
          <w:rFonts w:hint="eastAsia" w:ascii="宋体" w:hAnsi="宋体" w:eastAsia="宋体"/>
          <w:b/>
          <w:sz w:val="24"/>
        </w:rPr>
        <w:t>前注：</w:t>
      </w:r>
    </w:p>
    <w:p w14:paraId="1B006CB7">
      <w:pPr>
        <w:wordWrap w:val="0"/>
        <w:spacing w:line="360" w:lineRule="auto"/>
        <w:ind w:firstLine="437"/>
        <w:rPr>
          <w:rFonts w:ascii="宋体" w:hAnsi="宋体" w:eastAsia="宋体"/>
          <w:sz w:val="24"/>
        </w:rPr>
      </w:pPr>
      <w:r>
        <w:rPr>
          <w:rFonts w:hint="eastAsia" w:ascii="宋体" w:hAnsi="宋体" w:eastAsia="宋体"/>
          <w:sz w:val="24"/>
        </w:rPr>
        <w:t>1.</w:t>
      </w:r>
      <w:r>
        <w:rPr>
          <w:rFonts w:ascii="宋体" w:hAnsi="宋体" w:eastAsia="宋体"/>
          <w:sz w:val="24"/>
        </w:rPr>
        <w:t>本说明中提出的</w:t>
      </w:r>
      <w:r>
        <w:rPr>
          <w:rFonts w:hint="eastAsia" w:ascii="宋体" w:hAnsi="宋体" w:eastAsia="宋体"/>
          <w:sz w:val="24"/>
        </w:rPr>
        <w:t>服务</w:t>
      </w:r>
      <w:r>
        <w:rPr>
          <w:rFonts w:ascii="宋体" w:hAnsi="宋体" w:eastAsia="宋体"/>
          <w:sz w:val="24"/>
        </w:rPr>
        <w:t>方案仅为参考，如无明确限制，供应商可以进行优化，提供满足用户实际需要的更优（或者性能实质上不低于的）</w:t>
      </w:r>
      <w:r>
        <w:rPr>
          <w:rFonts w:hint="eastAsia" w:ascii="宋体" w:hAnsi="宋体" w:eastAsia="宋体"/>
          <w:sz w:val="24"/>
        </w:rPr>
        <w:t>服务</w:t>
      </w:r>
      <w:r>
        <w:rPr>
          <w:rFonts w:ascii="宋体" w:hAnsi="宋体" w:eastAsia="宋体"/>
          <w:sz w:val="24"/>
        </w:rPr>
        <w:t>方案，且此方案须经</w:t>
      </w:r>
      <w:r>
        <w:rPr>
          <w:rFonts w:hint="eastAsia" w:ascii="宋体" w:hAnsi="宋体" w:eastAsia="宋体"/>
          <w:sz w:val="24"/>
        </w:rPr>
        <w:t>谈判</w:t>
      </w:r>
      <w:r>
        <w:rPr>
          <w:rFonts w:ascii="宋体" w:hAnsi="宋体" w:eastAsia="宋体"/>
          <w:sz w:val="24"/>
        </w:rPr>
        <w:t>小组评审认可</w:t>
      </w:r>
      <w:r>
        <w:rPr>
          <w:rFonts w:hint="eastAsia" w:ascii="宋体" w:hAnsi="宋体" w:eastAsia="宋体"/>
          <w:sz w:val="24"/>
        </w:rPr>
        <w:t>。</w:t>
      </w:r>
    </w:p>
    <w:p w14:paraId="3E4D1730">
      <w:pPr>
        <w:wordWrap w:val="0"/>
        <w:spacing w:line="360" w:lineRule="auto"/>
        <w:ind w:firstLine="437"/>
        <w:rPr>
          <w:rFonts w:hint="default" w:ascii="宋体" w:hAnsi="宋体" w:eastAsia="宋体"/>
          <w:b/>
          <w:bCs/>
          <w:sz w:val="24"/>
          <w:szCs w:val="20"/>
          <w:lang w:val="en-US" w:eastAsia="zh-CN"/>
        </w:rPr>
      </w:pPr>
      <w:r>
        <w:rPr>
          <w:rFonts w:hint="default" w:ascii="宋体" w:hAnsi="宋体" w:eastAsia="宋体"/>
          <w:b/>
          <w:bCs/>
          <w:sz w:val="24"/>
          <w:szCs w:val="20"/>
          <w:lang w:val="en-US" w:eastAsia="zh-CN"/>
        </w:rPr>
        <w:t>2.</w:t>
      </w:r>
      <w:r>
        <w:rPr>
          <w:rFonts w:hint="default" w:ascii="宋体" w:hAnsi="宋体" w:eastAsia="宋体" w:cs="@仿宋_GB2312"/>
          <w:b/>
          <w:bCs/>
          <w:i w:val="0"/>
          <w:iCs w:val="0"/>
          <w:kern w:val="2"/>
          <w:sz w:val="24"/>
          <w:szCs w:val="20"/>
          <w:highlight w:val="none"/>
          <w:u w:val="none"/>
          <w:lang w:val="en-US" w:eastAsia="zh-CN" w:bidi="ar"/>
        </w:rPr>
        <w:t>采购需求不允许负偏离，负偏离或未响应视为不响应，作无效响应处理。</w:t>
      </w:r>
    </w:p>
    <w:p w14:paraId="7B85EEE1">
      <w:pPr>
        <w:wordWrap w:val="0"/>
        <w:spacing w:line="360" w:lineRule="auto"/>
        <w:ind w:firstLine="437"/>
        <w:rPr>
          <w:rFonts w:ascii="宋体" w:hAnsi="宋体" w:eastAsia="宋体"/>
          <w:b/>
          <w:sz w:val="28"/>
          <w:szCs w:val="28"/>
        </w:rPr>
      </w:pPr>
      <w:r>
        <w:rPr>
          <w:rFonts w:hint="eastAsia" w:ascii="宋体" w:hAnsi="宋体" w:eastAsia="宋体"/>
          <w:b/>
          <w:sz w:val="28"/>
          <w:szCs w:val="28"/>
        </w:rPr>
        <w:t>一、采购需求前附表</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7"/>
        <w:gridCol w:w="2053"/>
        <w:gridCol w:w="5546"/>
      </w:tblGrid>
      <w:tr w14:paraId="05619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17" w:type="dxa"/>
            <w:noWrap w:val="0"/>
            <w:vAlign w:val="center"/>
          </w:tcPr>
          <w:p w14:paraId="2CBD8E7E">
            <w:pPr>
              <w:pStyle w:val="6"/>
              <w:pBdr>
                <w:bottom w:val="none" w:color="auto" w:sz="0" w:space="0"/>
              </w:pBdr>
              <w:tabs>
                <w:tab w:val="clear" w:pos="4153"/>
                <w:tab w:val="clear" w:pos="8306"/>
              </w:tabs>
              <w:wordWrap w:val="0"/>
              <w:adjustRightInd/>
              <w:spacing w:line="240" w:lineRule="auto"/>
              <w:textAlignment w:val="auto"/>
              <w:rPr>
                <w:rFonts w:ascii="宋体" w:hAnsi="宋体" w:eastAsia="宋体"/>
                <w:b/>
                <w:kern w:val="2"/>
              </w:rPr>
            </w:pPr>
            <w:r>
              <w:rPr>
                <w:rFonts w:hint="eastAsia" w:ascii="宋体" w:hAnsi="宋体" w:eastAsia="宋体"/>
                <w:b/>
                <w:kern w:val="2"/>
              </w:rPr>
              <w:t>序号</w:t>
            </w:r>
          </w:p>
        </w:tc>
        <w:tc>
          <w:tcPr>
            <w:tcW w:w="2053" w:type="dxa"/>
            <w:noWrap w:val="0"/>
            <w:vAlign w:val="center"/>
          </w:tcPr>
          <w:p w14:paraId="55E94660">
            <w:pPr>
              <w:pStyle w:val="7"/>
              <w:widowControl w:val="0"/>
              <w:wordWrap w:val="0"/>
              <w:spacing w:before="0" w:beforeAutospacing="0" w:after="0" w:afterAutospacing="0" w:line="360" w:lineRule="auto"/>
              <w:rPr>
                <w:rFonts w:ascii="宋体" w:hAnsi="宋体" w:eastAsia="宋体"/>
                <w:bCs w:val="0"/>
                <w:sz w:val="24"/>
              </w:rPr>
            </w:pPr>
            <w:r>
              <w:rPr>
                <w:rFonts w:hint="eastAsia" w:ascii="宋体" w:hAnsi="宋体" w:eastAsia="宋体"/>
                <w:bCs w:val="0"/>
                <w:sz w:val="24"/>
              </w:rPr>
              <w:t>条款名称</w:t>
            </w:r>
          </w:p>
        </w:tc>
        <w:tc>
          <w:tcPr>
            <w:tcW w:w="5546" w:type="dxa"/>
            <w:noWrap w:val="0"/>
            <w:vAlign w:val="center"/>
          </w:tcPr>
          <w:p w14:paraId="61B507D2">
            <w:pPr>
              <w:pStyle w:val="7"/>
              <w:widowControl w:val="0"/>
              <w:wordWrap w:val="0"/>
              <w:spacing w:before="0" w:beforeAutospacing="0" w:after="0" w:afterAutospacing="0" w:line="360" w:lineRule="auto"/>
              <w:rPr>
                <w:rFonts w:ascii="宋体" w:hAnsi="宋体" w:eastAsia="宋体"/>
                <w:bCs w:val="0"/>
                <w:sz w:val="24"/>
              </w:rPr>
            </w:pPr>
            <w:r>
              <w:rPr>
                <w:rFonts w:hint="eastAsia" w:ascii="宋体" w:hAnsi="宋体" w:eastAsia="宋体"/>
                <w:bCs w:val="0"/>
                <w:sz w:val="24"/>
              </w:rPr>
              <w:t>内容、说明与要求</w:t>
            </w:r>
          </w:p>
        </w:tc>
      </w:tr>
      <w:tr w14:paraId="652B9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17" w:type="dxa"/>
            <w:noWrap w:val="0"/>
            <w:vAlign w:val="center"/>
          </w:tcPr>
          <w:p w14:paraId="11476072">
            <w:pPr>
              <w:pStyle w:val="6"/>
              <w:pBdr>
                <w:bottom w:val="none" w:color="auto" w:sz="0" w:space="0"/>
              </w:pBdr>
              <w:tabs>
                <w:tab w:val="clear" w:pos="4153"/>
                <w:tab w:val="clear" w:pos="8306"/>
              </w:tabs>
              <w:wordWrap w:val="0"/>
              <w:adjustRightInd/>
              <w:spacing w:line="240" w:lineRule="auto"/>
              <w:textAlignment w:val="auto"/>
              <w:rPr>
                <w:rFonts w:ascii="宋体" w:hAnsi="宋体" w:eastAsia="宋体"/>
                <w:bCs/>
                <w:kern w:val="2"/>
              </w:rPr>
            </w:pPr>
            <w:r>
              <w:rPr>
                <w:rFonts w:hint="eastAsia" w:ascii="宋体" w:hAnsi="宋体" w:eastAsia="宋体"/>
                <w:bCs/>
                <w:kern w:val="2"/>
              </w:rPr>
              <w:t>1</w:t>
            </w:r>
          </w:p>
        </w:tc>
        <w:tc>
          <w:tcPr>
            <w:tcW w:w="2053" w:type="dxa"/>
            <w:noWrap w:val="0"/>
            <w:vAlign w:val="center"/>
          </w:tcPr>
          <w:p w14:paraId="4653DD4D">
            <w:pPr>
              <w:pStyle w:val="7"/>
              <w:widowControl w:val="0"/>
              <w:wordWrap w:val="0"/>
              <w:spacing w:before="0" w:beforeAutospacing="0" w:after="0" w:afterAutospacing="0" w:line="360" w:lineRule="auto"/>
              <w:rPr>
                <w:rFonts w:ascii="宋体" w:hAnsi="宋体" w:eastAsia="宋体"/>
                <w:b w:val="0"/>
                <w:sz w:val="24"/>
              </w:rPr>
            </w:pPr>
            <w:r>
              <w:rPr>
                <w:rFonts w:hint="eastAsia" w:ascii="宋体" w:hAnsi="宋体" w:eastAsia="宋体"/>
                <w:b w:val="0"/>
                <w:sz w:val="24"/>
              </w:rPr>
              <w:t>付款方式</w:t>
            </w:r>
          </w:p>
        </w:tc>
        <w:tc>
          <w:tcPr>
            <w:tcW w:w="5546" w:type="dxa"/>
            <w:noWrap w:val="0"/>
            <w:vAlign w:val="center"/>
          </w:tcPr>
          <w:p w14:paraId="6E56E27E">
            <w:pPr>
              <w:pStyle w:val="7"/>
              <w:widowControl w:val="0"/>
              <w:wordWrap w:val="0"/>
              <w:spacing w:before="0" w:beforeAutospacing="0" w:after="0" w:afterAutospacing="0" w:line="360" w:lineRule="auto"/>
              <w:jc w:val="both"/>
              <w:rPr>
                <w:rFonts w:ascii="宋体" w:hAnsi="宋体" w:eastAsia="宋体"/>
                <w:b w:val="0"/>
                <w:sz w:val="24"/>
                <w:u w:val="single"/>
              </w:rPr>
            </w:pPr>
            <w:r>
              <w:rPr>
                <w:rFonts w:hint="eastAsia" w:ascii="宋体" w:hAnsi="宋体" w:eastAsia="宋体"/>
                <w:b w:val="0"/>
                <w:sz w:val="24"/>
                <w:u w:val="single"/>
              </w:rPr>
              <w:t xml:space="preserve">供应商完成当批次废弃物无害化处置后，供应商提供发票，支付当批次服务费用  </w:t>
            </w:r>
          </w:p>
        </w:tc>
      </w:tr>
      <w:tr w14:paraId="58F8C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17" w:type="dxa"/>
            <w:noWrap w:val="0"/>
            <w:vAlign w:val="center"/>
          </w:tcPr>
          <w:p w14:paraId="6FB0B5F9">
            <w:pPr>
              <w:pStyle w:val="6"/>
              <w:pBdr>
                <w:bottom w:val="none" w:color="auto" w:sz="0" w:space="0"/>
              </w:pBdr>
              <w:tabs>
                <w:tab w:val="clear" w:pos="4153"/>
                <w:tab w:val="clear" w:pos="8306"/>
              </w:tabs>
              <w:wordWrap w:val="0"/>
              <w:adjustRightInd/>
              <w:spacing w:line="240" w:lineRule="auto"/>
              <w:textAlignment w:val="auto"/>
              <w:rPr>
                <w:rFonts w:ascii="宋体" w:hAnsi="宋体" w:eastAsia="宋体"/>
                <w:bCs/>
                <w:kern w:val="2"/>
              </w:rPr>
            </w:pPr>
            <w:r>
              <w:rPr>
                <w:rFonts w:hint="eastAsia" w:ascii="宋体" w:hAnsi="宋体" w:eastAsia="宋体"/>
                <w:bCs/>
                <w:kern w:val="2"/>
              </w:rPr>
              <w:t>2</w:t>
            </w:r>
          </w:p>
        </w:tc>
        <w:tc>
          <w:tcPr>
            <w:tcW w:w="2053" w:type="dxa"/>
            <w:noWrap w:val="0"/>
            <w:vAlign w:val="center"/>
          </w:tcPr>
          <w:p w14:paraId="6249AEAA">
            <w:pPr>
              <w:pStyle w:val="7"/>
              <w:widowControl w:val="0"/>
              <w:wordWrap w:val="0"/>
              <w:spacing w:before="0" w:beforeAutospacing="0" w:after="0" w:afterAutospacing="0" w:line="360" w:lineRule="auto"/>
              <w:rPr>
                <w:rFonts w:ascii="宋体" w:hAnsi="宋体" w:eastAsia="宋体"/>
                <w:b w:val="0"/>
                <w:sz w:val="24"/>
              </w:rPr>
            </w:pPr>
            <w:r>
              <w:rPr>
                <w:rFonts w:hint="eastAsia" w:ascii="宋体" w:hAnsi="宋体" w:eastAsia="宋体"/>
                <w:b w:val="0"/>
                <w:sz w:val="24"/>
              </w:rPr>
              <w:t>服务地点</w:t>
            </w:r>
          </w:p>
        </w:tc>
        <w:tc>
          <w:tcPr>
            <w:tcW w:w="5546" w:type="dxa"/>
            <w:noWrap w:val="0"/>
            <w:vAlign w:val="center"/>
          </w:tcPr>
          <w:p w14:paraId="435958C7">
            <w:pPr>
              <w:pStyle w:val="7"/>
              <w:widowControl w:val="0"/>
              <w:wordWrap w:val="0"/>
              <w:spacing w:before="0" w:beforeAutospacing="0" w:after="0" w:afterAutospacing="0" w:line="360" w:lineRule="auto"/>
              <w:jc w:val="both"/>
              <w:rPr>
                <w:rFonts w:hint="eastAsia" w:ascii="宋体" w:hAnsi="宋体" w:eastAsia="宋体"/>
                <w:b w:val="0"/>
                <w:sz w:val="24"/>
              </w:rPr>
            </w:pPr>
            <w:r>
              <w:rPr>
                <w:rFonts w:hint="eastAsia" w:ascii="宋体" w:hAnsi="宋体" w:eastAsia="宋体"/>
                <w:b w:val="0"/>
                <w:sz w:val="24"/>
                <w:u w:val="single"/>
              </w:rPr>
              <w:t>安徽理工大学或采购人指定地点。</w:t>
            </w:r>
          </w:p>
        </w:tc>
      </w:tr>
      <w:tr w14:paraId="4CE2E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17" w:type="dxa"/>
            <w:noWrap w:val="0"/>
            <w:vAlign w:val="center"/>
          </w:tcPr>
          <w:p w14:paraId="674D1229">
            <w:pPr>
              <w:pStyle w:val="6"/>
              <w:pBdr>
                <w:bottom w:val="none" w:color="auto" w:sz="0" w:space="0"/>
              </w:pBdr>
              <w:tabs>
                <w:tab w:val="clear" w:pos="4153"/>
                <w:tab w:val="clear" w:pos="8306"/>
              </w:tabs>
              <w:wordWrap w:val="0"/>
              <w:adjustRightInd/>
              <w:spacing w:line="240" w:lineRule="auto"/>
              <w:textAlignment w:val="auto"/>
              <w:rPr>
                <w:rFonts w:ascii="宋体" w:hAnsi="宋体" w:eastAsia="宋体"/>
                <w:bCs/>
                <w:kern w:val="2"/>
              </w:rPr>
            </w:pPr>
            <w:r>
              <w:rPr>
                <w:rFonts w:hint="eastAsia" w:ascii="宋体" w:hAnsi="宋体" w:eastAsia="宋体"/>
                <w:bCs/>
                <w:kern w:val="2"/>
              </w:rPr>
              <w:t>3</w:t>
            </w:r>
          </w:p>
        </w:tc>
        <w:tc>
          <w:tcPr>
            <w:tcW w:w="2053" w:type="dxa"/>
            <w:noWrap w:val="0"/>
            <w:vAlign w:val="center"/>
          </w:tcPr>
          <w:p w14:paraId="7D8B677B">
            <w:pPr>
              <w:pStyle w:val="7"/>
              <w:widowControl w:val="0"/>
              <w:wordWrap w:val="0"/>
              <w:spacing w:before="0" w:beforeAutospacing="0" w:after="0" w:afterAutospacing="0" w:line="360" w:lineRule="auto"/>
              <w:rPr>
                <w:rFonts w:ascii="宋体" w:hAnsi="宋体" w:eastAsia="宋体"/>
                <w:b w:val="0"/>
                <w:sz w:val="24"/>
              </w:rPr>
            </w:pPr>
            <w:r>
              <w:rPr>
                <w:rFonts w:hint="eastAsia" w:ascii="宋体" w:hAnsi="宋体" w:eastAsia="宋体"/>
                <w:b w:val="0"/>
                <w:sz w:val="24"/>
              </w:rPr>
              <w:t>服务期限</w:t>
            </w:r>
          </w:p>
        </w:tc>
        <w:tc>
          <w:tcPr>
            <w:tcW w:w="5546" w:type="dxa"/>
            <w:noWrap w:val="0"/>
            <w:vAlign w:val="center"/>
          </w:tcPr>
          <w:p w14:paraId="5FC41238">
            <w:pPr>
              <w:pStyle w:val="7"/>
              <w:widowControl w:val="0"/>
              <w:wordWrap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u w:val="single"/>
              </w:rPr>
              <w:t>自合同签订之日起一年内分批处置</w:t>
            </w:r>
          </w:p>
        </w:tc>
      </w:tr>
    </w:tbl>
    <w:p w14:paraId="77BC2C2F">
      <w:pPr>
        <w:spacing w:line="500" w:lineRule="exact"/>
        <w:ind w:firstLine="562"/>
        <w:rPr>
          <w:rFonts w:ascii="仿宋" w:hAnsi="仿宋" w:eastAsia="仿宋"/>
          <w:b/>
          <w:bCs/>
          <w:kern w:val="0"/>
          <w:sz w:val="28"/>
          <w:szCs w:val="28"/>
        </w:rPr>
      </w:pPr>
      <w:bookmarkStart w:id="0" w:name="_Hlk16461016"/>
      <w:r>
        <w:rPr>
          <w:rFonts w:hint="eastAsia" w:ascii="宋体" w:hAnsi="宋体" w:eastAsia="宋体"/>
          <w:b/>
          <w:sz w:val="28"/>
          <w:szCs w:val="28"/>
        </w:rPr>
        <w:t>二、</w:t>
      </w:r>
      <w:r>
        <w:rPr>
          <w:rFonts w:hint="eastAsia" w:ascii="仿宋" w:hAnsi="仿宋" w:eastAsia="仿宋"/>
          <w:b/>
          <w:bCs/>
          <w:kern w:val="0"/>
          <w:sz w:val="28"/>
          <w:szCs w:val="28"/>
        </w:rPr>
        <w:t>采购需求</w:t>
      </w:r>
    </w:p>
    <w:p w14:paraId="2FA5002F">
      <w:pPr>
        <w:spacing w:line="500" w:lineRule="exact"/>
        <w:ind w:firstLine="480"/>
        <w:outlineLvl w:val="1"/>
        <w:rPr>
          <w:rFonts w:hint="eastAsia" w:ascii="宋体" w:hAnsi="宋体" w:eastAsia="宋体" w:cs="宋体"/>
          <w:kern w:val="0"/>
          <w:sz w:val="24"/>
          <w:szCs w:val="24"/>
        </w:rPr>
      </w:pPr>
      <w:bookmarkStart w:id="1" w:name="_Toc20386"/>
      <w:r>
        <w:rPr>
          <w:rFonts w:hint="eastAsia" w:ascii="宋体" w:hAnsi="宋体" w:eastAsia="宋体" w:cs="宋体"/>
          <w:kern w:val="0"/>
          <w:sz w:val="24"/>
          <w:szCs w:val="24"/>
        </w:rPr>
        <w:t>（一）项目概况</w:t>
      </w:r>
    </w:p>
    <w:p w14:paraId="67D65DF6">
      <w:pPr>
        <w:spacing w:line="500" w:lineRule="exact"/>
        <w:ind w:firstLine="480"/>
        <w:outlineLvl w:val="9"/>
        <w:rPr>
          <w:rFonts w:hint="eastAsia" w:ascii="宋体" w:hAnsi="宋体" w:eastAsia="宋体" w:cs="宋体"/>
          <w:kern w:val="0"/>
          <w:sz w:val="24"/>
          <w:szCs w:val="24"/>
        </w:rPr>
      </w:pPr>
      <w:r>
        <w:rPr>
          <w:rFonts w:hint="eastAsia" w:ascii="宋体" w:hAnsi="宋体" w:eastAsia="宋体" w:cs="宋体"/>
          <w:kern w:val="0"/>
          <w:sz w:val="24"/>
          <w:szCs w:val="24"/>
        </w:rPr>
        <w:t>本项目是对安徽理工大学地球与环境学院、安全科学与工程学院、材料科学与工程学院、化工与爆破学院、医学院、精准医学创新研究院、力学与光电物理学院、土木建筑学院等单位实验室在教学、科研实验活动所产生可能对生态环境或人体健康造成有害影响的剧毒试剂（有毒害试剂等）、一般废弃试剂（有机溶剂、盐酸等其他废弃试剂）、无标签试剂、实验室废液（含易燃易爆废液、有毒害废液、腐蚀性废液等）、试剂空瓶（玻璃瓶、塑料瓶、铁桶等）等危险废弃物进行转移和处置。按国家环保部门有关规定，上述废弃物均属于危险废物，须交具有危险废物经营许可证的公司处置（省级环保部门批准）。</w:t>
      </w:r>
    </w:p>
    <w:p w14:paraId="558C5CED">
      <w:pPr>
        <w:spacing w:line="500" w:lineRule="exact"/>
        <w:ind w:firstLine="480"/>
        <w:outlineLvl w:val="1"/>
        <w:rPr>
          <w:rFonts w:hint="eastAsia" w:ascii="宋体" w:hAnsi="宋体" w:eastAsia="宋体" w:cs="宋体"/>
          <w:kern w:val="0"/>
          <w:sz w:val="24"/>
          <w:szCs w:val="24"/>
        </w:rPr>
      </w:pPr>
      <w:r>
        <w:rPr>
          <w:rFonts w:hint="eastAsia" w:ascii="宋体" w:hAnsi="宋体" w:eastAsia="宋体" w:cs="宋体"/>
          <w:kern w:val="0"/>
          <w:sz w:val="24"/>
          <w:szCs w:val="24"/>
        </w:rPr>
        <w:t>（二）基本要求</w:t>
      </w:r>
    </w:p>
    <w:p w14:paraId="29C6D04C">
      <w:pPr>
        <w:spacing w:line="500" w:lineRule="exact"/>
        <w:ind w:firstLine="480"/>
        <w:outlineLvl w:val="1"/>
        <w:rPr>
          <w:rFonts w:hint="eastAsia" w:ascii="宋体" w:hAnsi="宋体" w:eastAsia="宋体" w:cs="宋体"/>
          <w:kern w:val="0"/>
          <w:sz w:val="24"/>
          <w:szCs w:val="24"/>
        </w:rPr>
      </w:pPr>
      <w:r>
        <w:rPr>
          <w:rFonts w:hint="eastAsia" w:ascii="宋体" w:hAnsi="宋体" w:eastAsia="宋体" w:cs="宋体"/>
          <w:kern w:val="0"/>
          <w:sz w:val="24"/>
          <w:szCs w:val="24"/>
        </w:rPr>
        <w:t>1.供应商须承诺依照国家法律法规，结合我校的实际情况，提供以上危险废弃物的检测鉴别、包装指导、规范装车、安全运输、合法合规处置等服务</w:t>
      </w:r>
      <w:r>
        <w:rPr>
          <w:rFonts w:hint="eastAsia" w:ascii="宋体" w:hAnsi="宋体" w:eastAsia="宋体" w:cs="宋体"/>
          <w:b/>
          <w:bCs/>
          <w:kern w:val="0"/>
          <w:sz w:val="24"/>
          <w:szCs w:val="24"/>
        </w:rPr>
        <w:t>（响应文件中须提供承诺函，格式自拟）。</w:t>
      </w:r>
    </w:p>
    <w:p w14:paraId="11C5618E">
      <w:pPr>
        <w:spacing w:line="500" w:lineRule="exact"/>
        <w:ind w:firstLine="480"/>
        <w:outlineLvl w:val="1"/>
        <w:rPr>
          <w:rFonts w:hint="eastAsia" w:ascii="宋体" w:hAnsi="宋体" w:eastAsia="宋体" w:cs="宋体"/>
          <w:kern w:val="0"/>
          <w:sz w:val="24"/>
          <w:szCs w:val="24"/>
        </w:rPr>
      </w:pPr>
      <w:r>
        <w:rPr>
          <w:rFonts w:hint="eastAsia" w:ascii="宋体" w:hAnsi="宋体" w:eastAsia="宋体" w:cs="宋体"/>
          <w:kern w:val="0"/>
          <w:sz w:val="24"/>
          <w:szCs w:val="24"/>
        </w:rPr>
        <w:t>2.本次采购选择一家供应商，服务期限为</w:t>
      </w:r>
      <w:r>
        <w:rPr>
          <w:rFonts w:ascii="宋体" w:hAnsi="宋体" w:eastAsia="宋体" w:cs="宋体"/>
          <w:kern w:val="0"/>
          <w:sz w:val="24"/>
          <w:szCs w:val="24"/>
        </w:rPr>
        <w:t>1</w:t>
      </w:r>
      <w:r>
        <w:rPr>
          <w:rFonts w:hint="eastAsia" w:ascii="宋体" w:hAnsi="宋体" w:eastAsia="宋体" w:cs="宋体"/>
          <w:kern w:val="0"/>
          <w:sz w:val="24"/>
          <w:szCs w:val="24"/>
        </w:rPr>
        <w:t xml:space="preserve">年。 </w:t>
      </w:r>
    </w:p>
    <w:p w14:paraId="2D60B6F1">
      <w:pPr>
        <w:spacing w:line="500" w:lineRule="exact"/>
        <w:ind w:firstLine="480"/>
        <w:outlineLvl w:val="1"/>
        <w:rPr>
          <w:rFonts w:hint="eastAsia" w:ascii="宋体" w:hAnsi="宋体" w:eastAsia="宋体" w:cs="宋体"/>
          <w:kern w:val="0"/>
          <w:sz w:val="24"/>
          <w:szCs w:val="24"/>
        </w:rPr>
      </w:pPr>
      <w:r>
        <w:rPr>
          <w:rFonts w:hint="eastAsia" w:ascii="宋体" w:hAnsi="宋体" w:eastAsia="宋体" w:cs="宋体"/>
          <w:kern w:val="0"/>
          <w:sz w:val="24"/>
          <w:szCs w:val="24"/>
        </w:rPr>
        <w:t>3.费用支付方法，供应商完成当批次废弃物无害化处置后，供应商提供发票，采购人支付当批次服务费用。</w:t>
      </w:r>
    </w:p>
    <w:p w14:paraId="212D5003">
      <w:pPr>
        <w:spacing w:line="500" w:lineRule="exact"/>
        <w:ind w:firstLine="480"/>
        <w:outlineLvl w:val="1"/>
        <w:rPr>
          <w:rFonts w:hint="eastAsia" w:ascii="宋体" w:hAnsi="宋体" w:eastAsia="宋体" w:cs="宋体"/>
          <w:kern w:val="0"/>
          <w:sz w:val="24"/>
          <w:szCs w:val="24"/>
        </w:rPr>
      </w:pPr>
      <w:r>
        <w:rPr>
          <w:rFonts w:hint="eastAsia" w:ascii="宋体" w:hAnsi="宋体" w:eastAsia="宋体" w:cs="宋体"/>
          <w:kern w:val="0"/>
          <w:sz w:val="24"/>
          <w:szCs w:val="24"/>
        </w:rPr>
        <w:t>（三）具体要求</w:t>
      </w:r>
    </w:p>
    <w:p w14:paraId="2FDDD367">
      <w:pPr>
        <w:spacing w:line="500" w:lineRule="exact"/>
        <w:ind w:firstLine="480"/>
        <w:outlineLvl w:val="1"/>
        <w:rPr>
          <w:rFonts w:hint="eastAsia" w:ascii="宋体" w:hAnsi="宋体" w:eastAsia="宋体" w:cs="宋体"/>
          <w:kern w:val="0"/>
          <w:sz w:val="24"/>
          <w:szCs w:val="24"/>
        </w:rPr>
      </w:pPr>
      <w:r>
        <w:rPr>
          <w:rFonts w:hint="eastAsia" w:ascii="宋体" w:hAnsi="宋体" w:eastAsia="宋体" w:cs="宋体"/>
          <w:kern w:val="0"/>
          <w:sz w:val="24"/>
          <w:szCs w:val="24"/>
        </w:rPr>
        <w:t>1.供应商须根据项目预处置危化品的情况制定处置方案并提供对应的技术指导方案，且提供标签装物。</w:t>
      </w:r>
    </w:p>
    <w:p w14:paraId="5A59FAFE">
      <w:pPr>
        <w:spacing w:line="500" w:lineRule="exact"/>
        <w:ind w:firstLine="480"/>
        <w:outlineLvl w:val="1"/>
        <w:rPr>
          <w:rFonts w:hint="eastAsia" w:ascii="宋体" w:hAnsi="宋体" w:eastAsia="宋体" w:cs="宋体"/>
          <w:kern w:val="0"/>
          <w:sz w:val="24"/>
          <w:szCs w:val="24"/>
        </w:rPr>
      </w:pPr>
      <w:r>
        <w:rPr>
          <w:rFonts w:hint="eastAsia" w:ascii="宋体" w:hAnsi="宋体" w:eastAsia="宋体" w:cs="宋体"/>
          <w:kern w:val="0"/>
          <w:sz w:val="24"/>
          <w:szCs w:val="24"/>
        </w:rPr>
        <w:t>2.供应商须承诺按照国家有关规定和标准对我方委托的危险废弃物进行安全装运及处置，并按照国家有关规定办理相关申报手续，承担危险废弃物装运及处置过程中的风险和安全责任</w:t>
      </w:r>
      <w:r>
        <w:rPr>
          <w:rFonts w:hint="eastAsia" w:ascii="宋体" w:hAnsi="宋体" w:eastAsia="宋体" w:cs="宋体"/>
          <w:b/>
          <w:bCs/>
          <w:kern w:val="0"/>
          <w:sz w:val="24"/>
          <w:szCs w:val="24"/>
        </w:rPr>
        <w:t>（响应文件中须提供承诺函，格式自拟）。</w:t>
      </w:r>
    </w:p>
    <w:p w14:paraId="295EDCC9">
      <w:pPr>
        <w:spacing w:line="500" w:lineRule="exact"/>
        <w:ind w:firstLine="480"/>
        <w:outlineLvl w:val="1"/>
        <w:rPr>
          <w:rFonts w:hint="eastAsia" w:ascii="宋体" w:hAnsi="宋体" w:eastAsia="宋体" w:cs="宋体"/>
          <w:kern w:val="0"/>
          <w:sz w:val="24"/>
          <w:szCs w:val="24"/>
        </w:rPr>
      </w:pPr>
      <w:r>
        <w:rPr>
          <w:rFonts w:hint="eastAsia" w:ascii="宋体" w:hAnsi="宋体" w:eastAsia="宋体" w:cs="宋体"/>
          <w:kern w:val="0"/>
          <w:sz w:val="24"/>
          <w:szCs w:val="24"/>
        </w:rPr>
        <w:t>3.供应商须承诺其人员及车辆进入我方校区将遵守我方的有关规定</w:t>
      </w:r>
      <w:r>
        <w:rPr>
          <w:rFonts w:hint="eastAsia" w:ascii="宋体" w:hAnsi="宋体" w:eastAsia="宋体" w:cs="宋体"/>
          <w:b/>
          <w:bCs/>
          <w:kern w:val="0"/>
          <w:sz w:val="24"/>
          <w:szCs w:val="24"/>
        </w:rPr>
        <w:t>（响应文件中须提供承诺函，格式自拟）</w:t>
      </w:r>
      <w:r>
        <w:rPr>
          <w:rFonts w:hint="eastAsia" w:ascii="宋体" w:hAnsi="宋体" w:eastAsia="宋体" w:cs="宋体"/>
          <w:kern w:val="0"/>
          <w:sz w:val="24"/>
          <w:szCs w:val="24"/>
        </w:rPr>
        <w:t>。</w:t>
      </w:r>
    </w:p>
    <w:p w14:paraId="590031DF">
      <w:pPr>
        <w:spacing w:line="500" w:lineRule="exact"/>
        <w:ind w:firstLine="480"/>
        <w:outlineLvl w:val="1"/>
        <w:rPr>
          <w:rFonts w:hint="eastAsia" w:ascii="宋体" w:hAnsi="宋体" w:eastAsia="宋体" w:cs="宋体"/>
          <w:kern w:val="0"/>
          <w:sz w:val="24"/>
          <w:szCs w:val="24"/>
        </w:rPr>
      </w:pPr>
      <w:r>
        <w:rPr>
          <w:rFonts w:hint="eastAsia" w:ascii="宋体" w:hAnsi="宋体" w:eastAsia="宋体" w:cs="宋体"/>
          <w:kern w:val="0"/>
          <w:sz w:val="24"/>
          <w:szCs w:val="24"/>
        </w:rPr>
        <w:t>4.本次需处置的危险废弃物分散在我校地球与环境学院、安全科学与工程学院、材料科学与工程学院、化工与爆破学院、医学院、精准医学创新研究院、力学与光电物理学院、土木建筑学院等单位的实验楼或危废中转站，供货商须按合同约定要求按期上门收集、转运，并安排专业人员现场负责装车安全。</w:t>
      </w:r>
    </w:p>
    <w:p w14:paraId="4D170551">
      <w:pPr>
        <w:spacing w:line="500" w:lineRule="exact"/>
        <w:ind w:firstLine="480"/>
        <w:outlineLvl w:val="1"/>
        <w:rPr>
          <w:rFonts w:hint="eastAsia" w:ascii="宋体" w:hAnsi="宋体" w:eastAsia="宋体" w:cs="宋体"/>
          <w:kern w:val="0"/>
          <w:sz w:val="24"/>
          <w:szCs w:val="24"/>
        </w:rPr>
      </w:pPr>
      <w:r>
        <w:rPr>
          <w:rFonts w:hint="eastAsia" w:ascii="宋体" w:hAnsi="宋体" w:eastAsia="宋体" w:cs="宋体"/>
          <w:kern w:val="0"/>
          <w:sz w:val="24"/>
          <w:szCs w:val="24"/>
        </w:rPr>
        <w:t>5.运输由供应商负责，供应商在废弃物处置合同签订后，1个月内将危险废弃物从我方废弃物存储实验室安全运出后并做无害化处置，处置次数根据实际情况另行约定。</w:t>
      </w:r>
    </w:p>
    <w:p w14:paraId="60D2B174">
      <w:pPr>
        <w:spacing w:line="500" w:lineRule="exact"/>
        <w:ind w:firstLine="480"/>
        <w:outlineLvl w:val="1"/>
        <w:rPr>
          <w:rFonts w:hint="eastAsia" w:ascii="宋体" w:hAnsi="宋体" w:eastAsia="宋体" w:cs="宋体"/>
          <w:b/>
          <w:bCs/>
          <w:kern w:val="0"/>
          <w:sz w:val="24"/>
          <w:szCs w:val="24"/>
        </w:rPr>
      </w:pPr>
      <w:r>
        <w:rPr>
          <w:rFonts w:hint="eastAsia" w:ascii="宋体" w:hAnsi="宋体" w:eastAsia="宋体" w:cs="宋体"/>
          <w:b/>
          <w:bCs/>
          <w:kern w:val="0"/>
          <w:sz w:val="24"/>
          <w:szCs w:val="24"/>
        </w:rPr>
        <w:t>6.危险废弃物处置费用按现场称量（甲乙双方）的实际转移处置的重量乘以成交分项单价进行结算。</w:t>
      </w:r>
    </w:p>
    <w:p w14:paraId="1ACADD81">
      <w:pPr>
        <w:spacing w:line="500" w:lineRule="exact"/>
        <w:ind w:firstLine="480"/>
        <w:outlineLvl w:val="1"/>
        <w:rPr>
          <w:rFonts w:hint="eastAsia" w:ascii="宋体" w:hAnsi="宋体" w:eastAsia="宋体" w:cs="宋体"/>
          <w:kern w:val="0"/>
          <w:sz w:val="24"/>
          <w:szCs w:val="24"/>
        </w:rPr>
      </w:pPr>
      <w:r>
        <w:rPr>
          <w:rFonts w:hint="eastAsia" w:ascii="宋体" w:hAnsi="宋体" w:eastAsia="宋体" w:cs="宋体"/>
          <w:kern w:val="0"/>
          <w:sz w:val="24"/>
          <w:szCs w:val="24"/>
        </w:rPr>
        <w:t>7.供应商接采购人通知后，</w:t>
      </w:r>
      <w:r>
        <w:rPr>
          <w:rFonts w:ascii="宋体" w:hAnsi="宋体" w:eastAsia="宋体" w:cs="宋体"/>
          <w:kern w:val="0"/>
          <w:sz w:val="24"/>
          <w:szCs w:val="24"/>
        </w:rPr>
        <w:t>5</w:t>
      </w:r>
      <w:r>
        <w:rPr>
          <w:rFonts w:hint="eastAsia" w:ascii="宋体" w:hAnsi="宋体" w:eastAsia="宋体" w:cs="宋体"/>
          <w:kern w:val="0"/>
          <w:sz w:val="24"/>
          <w:szCs w:val="24"/>
        </w:rPr>
        <w:t>日内将当批次危险废弃物处置完毕。</w:t>
      </w:r>
    </w:p>
    <w:p w14:paraId="25D5F62A">
      <w:pPr>
        <w:spacing w:line="500" w:lineRule="exact"/>
        <w:ind w:firstLine="480"/>
        <w:outlineLvl w:val="1"/>
        <w:rPr>
          <w:rFonts w:hint="eastAsia" w:ascii="宋体" w:hAnsi="宋体" w:eastAsia="宋体" w:cs="宋体"/>
          <w:kern w:val="0"/>
          <w:sz w:val="24"/>
          <w:szCs w:val="24"/>
        </w:rPr>
      </w:pPr>
      <w:r>
        <w:rPr>
          <w:rFonts w:hint="eastAsia" w:ascii="宋体" w:hAnsi="宋体" w:eastAsia="宋体" w:cs="宋体"/>
          <w:kern w:val="0"/>
          <w:sz w:val="24"/>
          <w:szCs w:val="24"/>
        </w:rPr>
        <w:t>（四）危险废弃物处置清单</w:t>
      </w:r>
    </w:p>
    <w:p w14:paraId="6A9828FA">
      <w:pPr>
        <w:spacing w:line="500" w:lineRule="exact"/>
        <w:ind w:firstLine="480"/>
        <w:outlineLvl w:val="1"/>
        <w:rPr>
          <w:rFonts w:hint="eastAsia" w:ascii="宋体" w:hAnsi="宋体" w:eastAsia="宋体" w:cs="宋体"/>
          <w:kern w:val="0"/>
          <w:sz w:val="24"/>
          <w:szCs w:val="24"/>
        </w:rPr>
      </w:pPr>
      <w:r>
        <w:rPr>
          <w:rFonts w:hint="eastAsia" w:ascii="宋体" w:hAnsi="宋体" w:eastAsia="宋体" w:cs="宋体"/>
          <w:kern w:val="0"/>
          <w:sz w:val="24"/>
          <w:szCs w:val="24"/>
        </w:rPr>
        <w:t>安徽理工大学危险废弃物处置清单</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8"/>
        <w:gridCol w:w="1992"/>
        <w:gridCol w:w="1535"/>
        <w:gridCol w:w="3097"/>
      </w:tblGrid>
      <w:tr w14:paraId="382AE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97" w:type="pct"/>
            <w:noWrap/>
            <w:vAlign w:val="center"/>
          </w:tcPr>
          <w:p w14:paraId="0C5DFC14">
            <w:pPr>
              <w:spacing w:line="5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处置内容</w:t>
            </w:r>
          </w:p>
        </w:tc>
        <w:tc>
          <w:tcPr>
            <w:tcW w:w="1552" w:type="pct"/>
            <w:noWrap/>
            <w:vAlign w:val="center"/>
          </w:tcPr>
          <w:p w14:paraId="24BF799A">
            <w:pPr>
              <w:spacing w:line="5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废物类别</w:t>
            </w:r>
          </w:p>
        </w:tc>
        <w:tc>
          <w:tcPr>
            <w:tcW w:w="1284" w:type="pct"/>
            <w:noWrap/>
            <w:vAlign w:val="center"/>
          </w:tcPr>
          <w:p w14:paraId="7239F734">
            <w:pPr>
              <w:spacing w:line="5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废物代码</w:t>
            </w:r>
          </w:p>
        </w:tc>
        <w:tc>
          <w:tcPr>
            <w:tcW w:w="667" w:type="pct"/>
            <w:noWrap/>
            <w:vAlign w:val="center"/>
          </w:tcPr>
          <w:p w14:paraId="0A3E0667">
            <w:pPr>
              <w:spacing w:line="5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本年度处置估算量（千克）</w:t>
            </w:r>
          </w:p>
        </w:tc>
      </w:tr>
      <w:tr w14:paraId="17C81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97" w:type="pct"/>
            <w:noWrap/>
            <w:vAlign w:val="center"/>
          </w:tcPr>
          <w:p w14:paraId="63AB1450">
            <w:pPr>
              <w:spacing w:line="5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剧毒试剂</w:t>
            </w:r>
          </w:p>
        </w:tc>
        <w:tc>
          <w:tcPr>
            <w:tcW w:w="1552" w:type="pct"/>
            <w:noWrap/>
            <w:vAlign w:val="center"/>
          </w:tcPr>
          <w:p w14:paraId="5952AE25">
            <w:pPr>
              <w:spacing w:line="5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HW49其他废物</w:t>
            </w:r>
          </w:p>
        </w:tc>
        <w:tc>
          <w:tcPr>
            <w:tcW w:w="1284" w:type="pct"/>
            <w:noWrap/>
            <w:vAlign w:val="center"/>
          </w:tcPr>
          <w:p w14:paraId="678B255E">
            <w:pPr>
              <w:spacing w:line="5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900-999-49</w:t>
            </w:r>
          </w:p>
        </w:tc>
        <w:tc>
          <w:tcPr>
            <w:tcW w:w="667" w:type="pct"/>
            <w:noWrap/>
            <w:vAlign w:val="center"/>
          </w:tcPr>
          <w:p w14:paraId="36764BA7">
            <w:pPr>
              <w:spacing w:line="5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112</w:t>
            </w:r>
          </w:p>
        </w:tc>
      </w:tr>
      <w:tr w14:paraId="38917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97" w:type="pct"/>
            <w:noWrap/>
            <w:vAlign w:val="center"/>
          </w:tcPr>
          <w:p w14:paraId="40995825">
            <w:pPr>
              <w:spacing w:line="5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无标签试剂</w:t>
            </w:r>
          </w:p>
        </w:tc>
        <w:tc>
          <w:tcPr>
            <w:tcW w:w="1552" w:type="pct"/>
            <w:noWrap/>
            <w:vAlign w:val="center"/>
          </w:tcPr>
          <w:p w14:paraId="6D045D24">
            <w:pPr>
              <w:spacing w:line="5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HW49其他废物</w:t>
            </w:r>
          </w:p>
        </w:tc>
        <w:tc>
          <w:tcPr>
            <w:tcW w:w="1284" w:type="pct"/>
            <w:noWrap/>
            <w:vAlign w:val="center"/>
          </w:tcPr>
          <w:p w14:paraId="72427D32">
            <w:pPr>
              <w:spacing w:line="5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900-999-49</w:t>
            </w:r>
          </w:p>
        </w:tc>
        <w:tc>
          <w:tcPr>
            <w:tcW w:w="667" w:type="pct"/>
            <w:noWrap/>
            <w:vAlign w:val="center"/>
          </w:tcPr>
          <w:p w14:paraId="16167239">
            <w:pPr>
              <w:spacing w:line="5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418</w:t>
            </w:r>
          </w:p>
        </w:tc>
      </w:tr>
      <w:tr w14:paraId="0D24B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97" w:type="pct"/>
            <w:noWrap/>
            <w:vAlign w:val="center"/>
          </w:tcPr>
          <w:p w14:paraId="5BA3EEB2">
            <w:pPr>
              <w:spacing w:line="5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一般废弃试剂</w:t>
            </w:r>
          </w:p>
        </w:tc>
        <w:tc>
          <w:tcPr>
            <w:tcW w:w="1552" w:type="pct"/>
            <w:noWrap/>
            <w:vAlign w:val="center"/>
          </w:tcPr>
          <w:p w14:paraId="2F022F14">
            <w:pPr>
              <w:spacing w:line="5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HW49其他废物</w:t>
            </w:r>
          </w:p>
        </w:tc>
        <w:tc>
          <w:tcPr>
            <w:tcW w:w="1284" w:type="pct"/>
            <w:noWrap/>
            <w:vAlign w:val="center"/>
          </w:tcPr>
          <w:p w14:paraId="6A62BDA8">
            <w:pPr>
              <w:spacing w:line="5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900-999-49</w:t>
            </w:r>
          </w:p>
        </w:tc>
        <w:tc>
          <w:tcPr>
            <w:tcW w:w="667" w:type="pct"/>
            <w:noWrap/>
            <w:vAlign w:val="center"/>
          </w:tcPr>
          <w:p w14:paraId="1B185B8D">
            <w:pPr>
              <w:spacing w:line="5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2251</w:t>
            </w:r>
          </w:p>
        </w:tc>
      </w:tr>
      <w:tr w14:paraId="77934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97" w:type="pct"/>
            <w:noWrap/>
            <w:vAlign w:val="center"/>
          </w:tcPr>
          <w:p w14:paraId="1C3C4C7D">
            <w:pPr>
              <w:spacing w:line="5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实验室废液</w:t>
            </w:r>
          </w:p>
        </w:tc>
        <w:tc>
          <w:tcPr>
            <w:tcW w:w="1552" w:type="pct"/>
            <w:noWrap/>
            <w:vAlign w:val="center"/>
          </w:tcPr>
          <w:p w14:paraId="6DA71358">
            <w:pPr>
              <w:spacing w:line="5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HW49其他废物</w:t>
            </w:r>
          </w:p>
        </w:tc>
        <w:tc>
          <w:tcPr>
            <w:tcW w:w="1284" w:type="pct"/>
            <w:noWrap/>
            <w:vAlign w:val="center"/>
          </w:tcPr>
          <w:p w14:paraId="1EDC16B6">
            <w:pPr>
              <w:spacing w:line="5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900-047-49</w:t>
            </w:r>
          </w:p>
        </w:tc>
        <w:tc>
          <w:tcPr>
            <w:tcW w:w="667" w:type="pct"/>
            <w:noWrap/>
            <w:vAlign w:val="center"/>
          </w:tcPr>
          <w:p w14:paraId="478AE1C9">
            <w:pPr>
              <w:spacing w:line="5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7771</w:t>
            </w:r>
          </w:p>
        </w:tc>
      </w:tr>
      <w:tr w14:paraId="6BD86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97" w:type="pct"/>
            <w:noWrap/>
            <w:vAlign w:val="center"/>
          </w:tcPr>
          <w:p w14:paraId="44393B76">
            <w:pPr>
              <w:spacing w:line="5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试剂空瓶</w:t>
            </w:r>
          </w:p>
        </w:tc>
        <w:tc>
          <w:tcPr>
            <w:tcW w:w="1552" w:type="pct"/>
            <w:noWrap/>
            <w:vAlign w:val="center"/>
          </w:tcPr>
          <w:p w14:paraId="54F9446A">
            <w:pPr>
              <w:spacing w:line="5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HW49其他废物</w:t>
            </w:r>
          </w:p>
        </w:tc>
        <w:tc>
          <w:tcPr>
            <w:tcW w:w="1284" w:type="pct"/>
            <w:noWrap/>
            <w:vAlign w:val="center"/>
          </w:tcPr>
          <w:p w14:paraId="6237880E">
            <w:pPr>
              <w:spacing w:line="5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900-041-49</w:t>
            </w:r>
          </w:p>
        </w:tc>
        <w:tc>
          <w:tcPr>
            <w:tcW w:w="667" w:type="pct"/>
            <w:noWrap/>
            <w:vAlign w:val="center"/>
          </w:tcPr>
          <w:p w14:paraId="0541FEB9">
            <w:pPr>
              <w:spacing w:line="5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2181</w:t>
            </w:r>
          </w:p>
        </w:tc>
      </w:tr>
      <w:tr w14:paraId="61C28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97" w:type="pct"/>
            <w:noWrap/>
            <w:vAlign w:val="center"/>
          </w:tcPr>
          <w:p w14:paraId="7EB95F5D">
            <w:pPr>
              <w:spacing w:line="5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实验沾染物</w:t>
            </w:r>
          </w:p>
        </w:tc>
        <w:tc>
          <w:tcPr>
            <w:tcW w:w="1552" w:type="pct"/>
            <w:noWrap/>
            <w:vAlign w:val="center"/>
          </w:tcPr>
          <w:p w14:paraId="4AEE1211">
            <w:pPr>
              <w:spacing w:line="5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HW49其他废物</w:t>
            </w:r>
          </w:p>
        </w:tc>
        <w:tc>
          <w:tcPr>
            <w:tcW w:w="1284" w:type="pct"/>
            <w:noWrap/>
            <w:vAlign w:val="center"/>
          </w:tcPr>
          <w:p w14:paraId="46B4475F">
            <w:pPr>
              <w:spacing w:line="5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900-041-49</w:t>
            </w:r>
          </w:p>
        </w:tc>
        <w:tc>
          <w:tcPr>
            <w:tcW w:w="667" w:type="pct"/>
            <w:noWrap/>
            <w:vAlign w:val="center"/>
          </w:tcPr>
          <w:p w14:paraId="7844B851">
            <w:pPr>
              <w:spacing w:line="5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770</w:t>
            </w:r>
          </w:p>
        </w:tc>
      </w:tr>
      <w:bookmarkEnd w:id="1"/>
    </w:tbl>
    <w:p w14:paraId="6CB1F87F">
      <w:pPr>
        <w:wordWrap w:val="0"/>
        <w:spacing w:line="360" w:lineRule="auto"/>
        <w:ind w:firstLine="562" w:firstLineChars="200"/>
        <w:rPr>
          <w:rFonts w:ascii="宋体" w:hAnsi="宋体" w:eastAsia="宋体"/>
          <w:b/>
          <w:sz w:val="24"/>
          <w:szCs w:val="18"/>
        </w:rPr>
      </w:pPr>
      <w:r>
        <w:rPr>
          <w:rFonts w:hint="eastAsia" w:ascii="宋体" w:hAnsi="宋体" w:eastAsia="宋体"/>
          <w:b/>
          <w:sz w:val="28"/>
          <w:szCs w:val="28"/>
        </w:rPr>
        <w:t>五、报价要求</w:t>
      </w:r>
    </w:p>
    <w:p w14:paraId="279DC6B9">
      <w:pPr>
        <w:wordWrap w:val="0"/>
        <w:spacing w:line="360" w:lineRule="auto"/>
        <w:ind w:firstLine="437"/>
        <w:rPr>
          <w:rFonts w:hint="eastAsia" w:ascii="Arial" w:hAnsi="Arial" w:eastAsia="宋体" w:cs="Arial"/>
          <w:bCs/>
          <w:sz w:val="24"/>
          <w:szCs w:val="18"/>
        </w:rPr>
      </w:pPr>
      <w:r>
        <w:rPr>
          <w:rFonts w:hint="eastAsia" w:ascii="Arial" w:hAnsi="Arial" w:eastAsia="宋体" w:cs="Arial"/>
          <w:sz w:val="24"/>
          <w:szCs w:val="18"/>
        </w:rPr>
        <w:t>本项目报总价</w:t>
      </w:r>
      <w:r>
        <w:rPr>
          <w:rFonts w:hint="eastAsia" w:ascii="Arial" w:hAnsi="Arial" w:eastAsia="宋体" w:cs="Arial"/>
          <w:sz w:val="24"/>
          <w:szCs w:val="18"/>
          <w:lang w:val="en-US" w:eastAsia="zh-CN"/>
        </w:rPr>
        <w:t>与各项单价</w:t>
      </w:r>
      <w:r>
        <w:rPr>
          <w:rFonts w:hint="eastAsia" w:ascii="Arial" w:hAnsi="Arial" w:eastAsia="宋体" w:cs="Arial"/>
          <w:sz w:val="24"/>
          <w:szCs w:val="18"/>
        </w:rPr>
        <w:t>，</w:t>
      </w:r>
      <w:r>
        <w:rPr>
          <w:rFonts w:hint="eastAsia" w:ascii="Arial" w:hAnsi="Arial" w:eastAsia="宋体" w:cs="Arial"/>
          <w:sz w:val="24"/>
          <w:szCs w:val="18"/>
          <w:lang w:val="en-US" w:eastAsia="zh-CN"/>
        </w:rPr>
        <w:t>总价作为本项目报价评审因素，</w:t>
      </w:r>
      <w:r>
        <w:rPr>
          <w:rFonts w:hint="eastAsia" w:ascii="Arial" w:hAnsi="Arial" w:eastAsia="宋体" w:cs="Arial"/>
          <w:sz w:val="24"/>
          <w:szCs w:val="18"/>
        </w:rPr>
        <w:t>报价即完成本项目处置估算量的所有费用，</w:t>
      </w:r>
      <w:r>
        <w:rPr>
          <w:rFonts w:hint="eastAsia" w:ascii="Arial" w:hAnsi="Arial" w:eastAsia="宋体" w:cs="Arial"/>
          <w:b/>
          <w:bCs/>
          <w:sz w:val="24"/>
          <w:szCs w:val="18"/>
        </w:rPr>
        <w:t>成交后按</w:t>
      </w:r>
      <w:r>
        <w:rPr>
          <w:rFonts w:hint="eastAsia" w:ascii="Arial" w:hAnsi="Arial" w:eastAsia="宋体" w:cs="Arial"/>
          <w:b/>
          <w:bCs/>
          <w:sz w:val="24"/>
          <w:szCs w:val="18"/>
          <w:lang w:val="en-US" w:eastAsia="zh-CN"/>
        </w:rPr>
        <w:t>成交</w:t>
      </w:r>
      <w:r>
        <w:rPr>
          <w:rFonts w:hint="eastAsia" w:ascii="Arial" w:hAnsi="Arial" w:eastAsia="宋体" w:cs="Arial"/>
          <w:b/>
          <w:bCs/>
          <w:sz w:val="24"/>
          <w:szCs w:val="18"/>
        </w:rPr>
        <w:t>单价和实际处置量进行结算，不再另行支付任何费用</w:t>
      </w:r>
      <w:r>
        <w:rPr>
          <w:rFonts w:hint="eastAsia" w:ascii="Arial" w:hAnsi="Arial" w:eastAsia="宋体" w:cs="Arial"/>
          <w:b/>
          <w:bCs/>
          <w:sz w:val="24"/>
          <w:szCs w:val="18"/>
          <w:lang w:eastAsia="zh-CN"/>
        </w:rPr>
        <w:t>，</w:t>
      </w:r>
      <w:r>
        <w:rPr>
          <w:rFonts w:hint="eastAsia" w:ascii="Arial" w:hAnsi="Arial" w:eastAsia="宋体" w:cs="Arial"/>
          <w:b/>
          <w:bCs/>
          <w:sz w:val="24"/>
          <w:szCs w:val="18"/>
          <w:lang w:val="en-US" w:eastAsia="zh-CN"/>
        </w:rPr>
        <w:t>最终结算不得超过总报价</w:t>
      </w:r>
      <w:r>
        <w:rPr>
          <w:rFonts w:hint="eastAsia" w:ascii="Arial" w:hAnsi="Arial" w:eastAsia="宋体" w:cs="Arial"/>
          <w:b/>
          <w:bCs/>
          <w:sz w:val="24"/>
          <w:szCs w:val="18"/>
        </w:rPr>
        <w:t>。</w:t>
      </w:r>
      <w:bookmarkEnd w:id="0"/>
    </w:p>
    <w:p w14:paraId="55B8E6B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8FB6AFE-94CA-4E4B-A5C0-1304C73CC7B6}"/>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BF200C7A-22B1-4A8A-9005-B7888B24A80E}"/>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embedRegular r:id="rId3" w:fontKey="{3086117A-D746-4AC8-8B3E-5913EDF37190}"/>
  </w:font>
  <w:font w:name="华文中宋">
    <w:panose1 w:val="02010600040101010101"/>
    <w:charset w:val="86"/>
    <w:family w:val="auto"/>
    <w:pitch w:val="default"/>
    <w:sig w:usb0="00000287" w:usb1="080F0000" w:usb2="00000000" w:usb3="00000000" w:csb0="0004009F" w:csb1="DFD70000"/>
    <w:embedRegular r:id="rId4" w:fontKey="{BEA64B0A-C2E2-4E86-A7EB-C798A15FC5C2}"/>
  </w:font>
  <w:font w:name="仿宋">
    <w:panose1 w:val="02010609060101010101"/>
    <w:charset w:val="86"/>
    <w:family w:val="modern"/>
    <w:pitch w:val="default"/>
    <w:sig w:usb0="800002BF" w:usb1="38CF7CFA" w:usb2="00000016" w:usb3="00000000" w:csb0="00040001" w:csb1="00000000"/>
    <w:embedRegular r:id="rId5" w:fontKey="{AE9CE384-3CD7-4F81-B543-541F793DCDC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4E362E"/>
    <w:rsid w:val="4C4E36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kern w:val="2"/>
      <w:sz w:val="21"/>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Normal Indent"/>
    <w:basedOn w:val="1"/>
    <w:qFormat/>
    <w:uiPriority w:val="99"/>
    <w:pPr>
      <w:widowControl/>
      <w:ind w:firstLine="420"/>
      <w:jc w:val="left"/>
    </w:pPr>
    <w:rPr>
      <w:kern w:val="0"/>
      <w:sz w:val="20"/>
      <w:szCs w:val="20"/>
    </w:rPr>
  </w:style>
  <w:style w:type="paragraph" w:styleId="3">
    <w:name w:val="header"/>
    <w:basedOn w:val="1"/>
    <w:unhideWhenUsed/>
    <w:uiPriority w:val="0"/>
    <w:pPr>
      <w:pBdr>
        <w:bottom w:val="single" w:color="auto" w:sz="6" w:space="1"/>
      </w:pBdr>
      <w:tabs>
        <w:tab w:val="center" w:pos="4153"/>
        <w:tab w:val="right" w:pos="8306"/>
      </w:tabs>
      <w:snapToGrid w:val="0"/>
      <w:jc w:val="center"/>
    </w:pPr>
    <w:rPr>
      <w:sz w:val="18"/>
      <w:szCs w:val="18"/>
    </w:rPr>
  </w:style>
  <w:style w:type="paragraph" w:customStyle="1" w:styleId="6">
    <w:name w:val="D&amp;L"/>
    <w:basedOn w:val="3"/>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7">
    <w:name w:val="xl31"/>
    <w:basedOn w:val="1"/>
    <w:qFormat/>
    <w:uiPriority w:val="0"/>
    <w:pPr>
      <w:widowControl/>
      <w:spacing w:before="100" w:beforeAutospacing="1" w:after="100" w:afterAutospacing="1"/>
      <w:jc w:val="center"/>
    </w:pPr>
    <w:rPr>
      <w:b/>
      <w:bCs/>
      <w:kern w:val="0"/>
      <w:sz w:val="28"/>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2026-05-15T08:12:00Z</dcterms:created>
  <dc:creator>Xuzhenwen</dc:creator>
  <cp:lastModifiedBy>Xuzhenwen</cp:lastModifiedBy>
  <dcterms:modified xsi:type="dcterms:W3CDTF">2026-05-15T08:12:34Z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802676FE8296485DA8D8939804AE467D_11</vt:lpwstr>
  </property>
  <property fmtid="{D5CDD505-2E9C-101B-9397-08002B2CF9AE}" pid="4" name="KSOTemplateDocerSaveRecord">
    <vt:lpwstr>eyJoZGlkIjoiN2YzNjBkOTgyNWQ1YTMxYzM3MzMwNWFiODNmOWIzYWMiLCJ1c2VySWQiOiIzMDY4OTk3NTIifQ==</vt:lpwstr>
  </property>
</Properties>
</file>