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96AF">
      <w:pPr>
        <w:spacing w:line="360" w:lineRule="auto"/>
        <w:jc w:val="center"/>
        <w:outlineLvl w:val="1"/>
        <w:rPr>
          <w:rFonts w:hint="eastAsia" w:ascii="华文中宋" w:hAnsi="华文中宋" w:eastAsia="华文中宋" w:cs="Times New Roman"/>
          <w:b/>
          <w:bCs/>
          <w:kern w:val="44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32"/>
          <w:szCs w:val="32"/>
        </w:rPr>
        <w:t>第三章  采购需求</w:t>
      </w:r>
    </w:p>
    <w:p w14:paraId="1EE2CA3B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前注：</w:t>
      </w:r>
    </w:p>
    <w:p w14:paraId="2E1E8D40">
      <w:pPr>
        <w:spacing w:line="360" w:lineRule="auto"/>
        <w:ind w:firstLine="43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本采购需求中提出的服务方案仅为参考，如无明确限制，</w:t>
      </w:r>
      <w:r>
        <w:rPr>
          <w:rFonts w:hint="eastAsia" w:ascii="宋体" w:hAnsi="宋体"/>
          <w:sz w:val="24"/>
        </w:rPr>
        <w:t>供应商</w:t>
      </w:r>
      <w:r>
        <w:rPr>
          <w:rFonts w:ascii="宋体" w:hAnsi="宋体"/>
          <w:sz w:val="24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/>
          <w:sz w:val="24"/>
        </w:rPr>
        <w:t>磋商小组</w:t>
      </w:r>
      <w:r>
        <w:rPr>
          <w:rFonts w:ascii="宋体" w:hAnsi="宋体"/>
          <w:sz w:val="24"/>
        </w:rPr>
        <w:t>评审认可</w:t>
      </w:r>
      <w:r>
        <w:rPr>
          <w:rFonts w:hint="eastAsia" w:ascii="宋体" w:hAnsi="宋体"/>
          <w:sz w:val="24"/>
        </w:rPr>
        <w:t>。</w:t>
      </w:r>
    </w:p>
    <w:p w14:paraId="05B44634">
      <w:pPr>
        <w:spacing w:line="360" w:lineRule="auto"/>
        <w:ind w:firstLine="437"/>
        <w:rPr>
          <w:rFonts w:ascii="宋体" w:hAnsi="宋体"/>
          <w:b/>
          <w:sz w:val="24"/>
          <w:szCs w:val="18"/>
        </w:rPr>
      </w:pPr>
      <w:r>
        <w:rPr>
          <w:rFonts w:hint="eastAsia" w:ascii="宋体" w:hAnsi="宋体"/>
          <w:b/>
          <w:sz w:val="24"/>
          <w:szCs w:val="18"/>
        </w:rPr>
        <w:t>一、采购需求前附表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025"/>
        <w:gridCol w:w="5466"/>
      </w:tblGrid>
      <w:tr w14:paraId="766C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0DC7B3A2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/>
                <w:b/>
                <w:kern w:val="2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 w14:paraId="0F9E6ED9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内容</w:t>
            </w:r>
          </w:p>
        </w:tc>
        <w:tc>
          <w:tcPr>
            <w:tcW w:w="5466" w:type="dxa"/>
            <w:noWrap w:val="0"/>
            <w:vAlign w:val="center"/>
          </w:tcPr>
          <w:p w14:paraId="6D6036E7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说明与要求</w:t>
            </w:r>
          </w:p>
        </w:tc>
      </w:tr>
      <w:tr w14:paraId="0E46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4DD544ED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 w14:paraId="00A7442E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付款方式</w:t>
            </w:r>
          </w:p>
        </w:tc>
        <w:tc>
          <w:tcPr>
            <w:tcW w:w="5466" w:type="dxa"/>
            <w:noWrap w:val="0"/>
            <w:vAlign w:val="center"/>
          </w:tcPr>
          <w:p w14:paraId="35A266C8"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按年支付，合同签订后支付本年度合同款的50％，本年度服务期满且经考核合格后支付剩余50％。</w:t>
            </w:r>
          </w:p>
        </w:tc>
      </w:tr>
      <w:tr w14:paraId="2B74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4C47925F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 w14:paraId="65CFEFAA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服务地点</w:t>
            </w:r>
          </w:p>
        </w:tc>
        <w:tc>
          <w:tcPr>
            <w:tcW w:w="5466" w:type="dxa"/>
            <w:noWrap w:val="0"/>
            <w:vAlign w:val="center"/>
          </w:tcPr>
          <w:p w14:paraId="1C338822"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安徽省疾病预防控制中心或采购人指定地点区。   </w:t>
            </w:r>
          </w:p>
        </w:tc>
      </w:tr>
      <w:tr w14:paraId="4B0D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5E62039C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 w14:paraId="3239E1B9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服务期限</w:t>
            </w:r>
          </w:p>
        </w:tc>
        <w:tc>
          <w:tcPr>
            <w:tcW w:w="5466" w:type="dxa"/>
            <w:noWrap w:val="0"/>
            <w:vAlign w:val="center"/>
          </w:tcPr>
          <w:p w14:paraId="565D9AC4">
            <w:pPr>
              <w:pStyle w:val="7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/>
                <w:b w:val="0"/>
                <w:sz w:val="24"/>
                <w:u w:val="single"/>
              </w:rPr>
            </w:pPr>
            <w:r>
              <w:rPr>
                <w:rFonts w:hint="eastAsia" w:ascii="宋体" w:hAnsi="宋体"/>
                <w:b w:val="0"/>
                <w:sz w:val="24"/>
                <w:u w:val="single"/>
                <w:lang w:eastAsia="zh-CN"/>
              </w:rPr>
              <w:t>自合同签订后三年。本项目采取“1+1+1”模式，合同一年一签，上一年合同签订后，服务完成并经考核合格，在年度预算可以保证的情况下可续签第二年合同</w:t>
            </w:r>
            <w:r>
              <w:rPr>
                <w:rFonts w:hint="eastAsia" w:ascii="宋体" w:hAnsi="宋体"/>
                <w:b w:val="0"/>
                <w:sz w:val="24"/>
                <w:u w:val="single"/>
              </w:rPr>
              <w:t>。</w:t>
            </w:r>
          </w:p>
        </w:tc>
      </w:tr>
      <w:tr w14:paraId="3349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0D051322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 w14:paraId="57494FD1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宋体" w:hAnsi="宋体"/>
                <w:b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本项目采购标的所属行业</w:t>
            </w:r>
          </w:p>
        </w:tc>
        <w:tc>
          <w:tcPr>
            <w:tcW w:w="5466" w:type="dxa"/>
            <w:noWrap w:val="0"/>
            <w:vAlign w:val="center"/>
          </w:tcPr>
          <w:p w14:paraId="34380995">
            <w:pPr>
              <w:widowControl/>
              <w:jc w:val="left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其他未列明行业</w:t>
            </w:r>
          </w:p>
        </w:tc>
      </w:tr>
    </w:tbl>
    <w:p w14:paraId="6B7D9E6F">
      <w:pPr>
        <w:spacing w:line="360" w:lineRule="auto"/>
        <w:ind w:firstLine="437"/>
        <w:jc w:val="left"/>
        <w:rPr>
          <w:rFonts w:ascii="宋体" w:hAnsi="宋体"/>
          <w:b/>
          <w:sz w:val="24"/>
          <w:szCs w:val="18"/>
        </w:rPr>
      </w:pPr>
      <w:r>
        <w:rPr>
          <w:rFonts w:hint="eastAsia" w:ascii="宋体" w:hAnsi="宋体"/>
          <w:b/>
          <w:sz w:val="24"/>
          <w:szCs w:val="18"/>
        </w:rPr>
        <w:t>二、项目概况</w:t>
      </w:r>
    </w:p>
    <w:p w14:paraId="0EAD5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1.项目名称：安徽省疾病预防控制中心污水处理站第三方维保服务项目</w:t>
      </w:r>
    </w:p>
    <w:p w14:paraId="666AEC0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2.项目地点：安徽省疾病预防控制中心院内（合肥市繁华大道12560号）</w:t>
      </w:r>
    </w:p>
    <w:p w14:paraId="48635BC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3.处理规模：20m³/d（立方米/天）</w:t>
      </w:r>
    </w:p>
    <w:p w14:paraId="49EEC4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4.建设时间：2016年</w:t>
      </w:r>
    </w:p>
    <w:p w14:paraId="5FCB102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预算金额：人民币7.5万元/年（含日常运维人工、常规药剂、常规备件及检测费用）。</w:t>
      </w:r>
    </w:p>
    <w:p w14:paraId="4B32FDCC">
      <w:pPr>
        <w:spacing w:line="360" w:lineRule="auto"/>
        <w:ind w:firstLine="435"/>
        <w:jc w:val="left"/>
        <w:rPr>
          <w:rFonts w:ascii="宋体" w:hAnsi="宋体"/>
          <w:b/>
          <w:sz w:val="24"/>
          <w:szCs w:val="18"/>
        </w:rPr>
      </w:pPr>
      <w:r>
        <w:rPr>
          <w:rFonts w:hint="eastAsia" w:ascii="宋体" w:hAnsi="宋体"/>
          <w:b/>
          <w:sz w:val="24"/>
          <w:szCs w:val="18"/>
        </w:rPr>
        <w:t>三、项目主要内容</w:t>
      </w:r>
    </w:p>
    <w:p w14:paraId="63DA39A1">
      <w:pPr>
        <w:pStyle w:val="2"/>
        <w:spacing w:before="183" w:line="219" w:lineRule="auto"/>
        <w:ind w:left="471"/>
        <w:outlineLvl w:val="9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/>
        </w:rPr>
        <w:t>（一）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服务依据与标准</w:t>
      </w:r>
    </w:p>
    <w:p w14:paraId="06BC4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供应商必须确保污水经处理后稳定达标排放，严格执行以下标准及规定：</w:t>
      </w:r>
    </w:p>
    <w:p w14:paraId="489731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1.《医疗机构水污染物排放标准》（GB18466-2005）表2中的预处理标准；</w:t>
      </w:r>
    </w:p>
    <w:p w14:paraId="1AD82A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2.《污水排入城镇下水道水质标准》（GB/T 31962-2015）中相关标准；</w:t>
      </w:r>
    </w:p>
    <w:p w14:paraId="3395BED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3.合肥市环保部门及排水办最新的排放要求和总量控制指标；</w:t>
      </w:r>
    </w:p>
    <w:p w14:paraId="1273FF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4.国家及地方现行有效的环境保护法律法规。</w:t>
      </w:r>
    </w:p>
    <w:p w14:paraId="03682EF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/>
        </w:rPr>
        <w:t>（二）服务内容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/>
        </w:rPr>
        <w:t>（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此项为实质性要求，每项要求均须完全响应，负偏离或不响应将导致响应无效，响应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/>
        </w:rPr>
        <w:t>文件中须提供承诺函，格式自拟）</w:t>
      </w:r>
    </w:p>
    <w:p w14:paraId="66B85F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本项目采取“包工、包料、包设备维修（大修除外）、包水质达标”的全包模式，具体包括但不限于：</w:t>
      </w:r>
    </w:p>
    <w:p w14:paraId="5A832BA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（一）日常运行管理</w:t>
      </w:r>
    </w:p>
    <w:p w14:paraId="08AFEBC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1.人员配置：供应商须配备固定的专业运维团队（含项目负责人、专职或兼职技术员），提供24小时应急响应。</w:t>
      </w:r>
    </w:p>
    <w:p w14:paraId="3CF389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2.巡回检查：每月对污水站设备、工艺运行情况进行巡查，做好巡检记录。</w:t>
      </w:r>
    </w:p>
    <w:p w14:paraId="059E5D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3.药剂投加：负责二氧化氯（或次氯酸钠等）消毒剂、絮凝剂等污水处理所需药剂的采购、运输、储存及精准投加，确保消毒效果，并保留药剂合格证及采购记录备查。</w:t>
      </w:r>
    </w:p>
    <w:p w14:paraId="5EEF021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（二）设备设施维护</w:t>
      </w:r>
    </w:p>
    <w:p w14:paraId="7D4303A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1.日常保养：每月需对污水处理所有机电设备进行清洁、润滑、紧固等保养工作，包括更换腐蚀触点或接头、清洗滤网或滤芯、清理积尘积水，紫外消毒灯管清洗（每年全部更换一次）。</w:t>
      </w:r>
    </w:p>
    <w:p w14:paraId="04DDB98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2.故障维修：负责除主体结构、大型设备（如风机主机、水泵电机等）更换外的所有故障维修。</w:t>
      </w:r>
    </w:p>
    <w:p w14:paraId="6BA1295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3.仪表校准：每个季度对污水处理站相关压力表、流量计、PH计等进行校准。</w:t>
      </w:r>
    </w:p>
    <w:p w14:paraId="1C9E65B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4.废物处置：每月需对污水池中产生的藻类等漂浮物进行清理，每半年需对池底污泥进行清理，并按照环保要求进行规范包装、暂存，并配合甲方委托有资质的单位进行转运处置。</w:t>
      </w:r>
    </w:p>
    <w:p w14:paraId="715022E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由于设备及填料老化，效率下降，为了保证出水稳定达标，污水池每年必须清理、清洗。作业前必需排水、排泥、通风、消毒，并做好安全防护措施。每年需对设备主体、盖板的、管道、支架等金属件除锈防腐。</w:t>
      </w:r>
    </w:p>
    <w:p w14:paraId="06C25F0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（三）水质检测</w:t>
      </w:r>
    </w:p>
    <w:p w14:paraId="2674542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检测要求：成交供应商定期取样检测，也可委托第三方机构进行检测，并出具CMA认可的正式检测报告。</w:t>
      </w:r>
    </w:p>
    <w:p w14:paraId="39373D8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2.检测频率：每月1次。</w:t>
      </w:r>
    </w:p>
    <w:p w14:paraId="4DA255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3.检测指标：pH、CODcr、SS、动植物油、粪大肠菌群数（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属于</w:t>
      </w:r>
      <w:r>
        <w:rPr>
          <w:rFonts w:hint="eastAsia" w:ascii="宋体" w:hAnsi="宋体" w:eastAsia="宋体" w:cs="宋体"/>
          <w:sz w:val="24"/>
          <w:szCs w:val="24"/>
        </w:rPr>
        <w:t>必检）等，GB18466要求的主要控制指标中，能够执行的检测项目越多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在评分部分另有规定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6EBD9F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台账管理与迎检：建立完善的运行台账，包括设备运行记录、药剂投加记录、水质检测记录、维修保养记录等。配合中心接受环保局、卫健委、实验室认证认可等部门的各项检查，提供所需资料。</w:t>
      </w:r>
    </w:p>
    <w:p w14:paraId="7EBD76B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</w:rPr>
        <w:t>四、项目服务要求</w:t>
      </w:r>
      <w:r>
        <w:rPr>
          <w:rFonts w:hint="eastAsia" w:ascii="宋体" w:hAnsi="宋体" w:eastAsia="宋体" w:cs="宋体"/>
          <w:b/>
          <w:color w:val="FF0000"/>
          <w:sz w:val="24"/>
          <w:lang w:val="en-US"/>
        </w:rPr>
        <w:t>（</w:t>
      </w:r>
      <w:r>
        <w:rPr>
          <w:rFonts w:hint="eastAsia" w:ascii="宋体" w:hAnsi="宋体" w:eastAsia="宋体" w:cs="宋体"/>
          <w:b/>
          <w:color w:val="FF0000"/>
          <w:sz w:val="24"/>
          <w:lang w:val="en-US" w:eastAsia="zh-CN"/>
        </w:rPr>
        <w:t>此项为实质性要求，每项要求均须完全响应，负偏离或不响应将导致响应无效，响应</w:t>
      </w:r>
      <w:r>
        <w:rPr>
          <w:rFonts w:hint="eastAsia" w:ascii="宋体" w:hAnsi="宋体" w:eastAsia="宋体" w:cs="宋体"/>
          <w:b/>
          <w:color w:val="FF0000"/>
          <w:sz w:val="24"/>
          <w:lang w:val="en-US"/>
        </w:rPr>
        <w:t>文件中须提供承诺函，格式自拟）</w:t>
      </w:r>
    </w:p>
    <w:p w14:paraId="61E373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1.应急响应：接到故障通知后，须在2小时内响应，24小时内到达现场处理。如遇设备停运等紧急情况，需立即启动应急预案，并向甲方报告。</w:t>
      </w:r>
    </w:p>
    <w:p w14:paraId="200FEDC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2.安全管理：维保单位须对其员工的安全负责，严格遵循有限空间作业规程、安全用电规范等。因操作不当导致的安全事故，由维保单位承担全部责任。</w:t>
      </w:r>
    </w:p>
    <w:p w14:paraId="72B6126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3.外观与环境：保持站房内及周边环境卫生整洁，无明显的异味散发（符合厂界标准），无跑冒滴漏现象。</w:t>
      </w:r>
    </w:p>
    <w:p w14:paraId="5B112C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4.检测报告：我中心将不定期组织污水处理站水质检测，如检测结果不达标则不续签下一年合同。</w:t>
      </w:r>
    </w:p>
    <w:p w14:paraId="27CA3F11">
      <w:pPr>
        <w:spacing w:line="360" w:lineRule="auto"/>
        <w:ind w:firstLine="437"/>
        <w:jc w:val="left"/>
        <w:rPr>
          <w:rFonts w:hint="eastAsia" w:ascii="宋体" w:hAnsi="宋体"/>
          <w:b/>
          <w:sz w:val="24"/>
          <w:szCs w:val="18"/>
        </w:rPr>
      </w:pPr>
      <w:r>
        <w:rPr>
          <w:rFonts w:hint="eastAsia" w:ascii="宋体" w:hAnsi="宋体"/>
          <w:b/>
          <w:sz w:val="24"/>
          <w:szCs w:val="18"/>
          <w:lang w:val="en-US" w:eastAsia="zh-CN"/>
        </w:rPr>
        <w:t>五</w:t>
      </w:r>
      <w:r>
        <w:rPr>
          <w:rFonts w:hint="eastAsia" w:ascii="宋体" w:hAnsi="宋体"/>
          <w:b/>
          <w:sz w:val="24"/>
          <w:szCs w:val="18"/>
        </w:rPr>
        <w:t>、报价要求</w:t>
      </w:r>
    </w:p>
    <w:p w14:paraId="0775AA6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本项目报总价，报价包含为完成本项目所需的一切费用，包括但不限于人工成本、日常维修费（含消耗品及易损易磨件定期更换）、消毒药剂费、絮凝剂等所有药剂费、常规水质检测费、仪表校准费、废物处置费、税金及其他可能发生的全部费用。供应商应根据项目实际需求，综合考虑各项成本及风险因素，合理测算并谨慎报价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。</w:t>
      </w:r>
    </w:p>
    <w:p w14:paraId="5604E42B">
      <w:pPr>
        <w:spacing w:line="360" w:lineRule="auto"/>
        <w:ind w:firstLine="437"/>
        <w:jc w:val="left"/>
        <w:rPr>
          <w:rFonts w:hint="eastAsia" w:ascii="宋体" w:hAnsi="宋体" w:eastAsia="宋体"/>
          <w:b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18"/>
          <w:lang w:val="en-US" w:eastAsia="zh-CN"/>
        </w:rPr>
        <w:t>六、其他要求</w:t>
      </w:r>
    </w:p>
    <w:p w14:paraId="0AF84C7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.考核机制：采购人每年对服务进行一次考核，考核内容包含出水达标情况、台账完整性、响应及时性等。考核不合格给予警告并要求整改；连续两次不合格，采购人有权单方面解除合同。</w:t>
      </w:r>
    </w:p>
    <w:p w14:paraId="752C7705">
      <w:pPr>
        <w:ind w:firstLine="480" w:firstLineChars="200"/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.违约责任：如因维保方原因导致出水超标被环保部门处罚，罚款由维保方承担，并赔偿由此给采购人造成的名誉损失。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5B81"/>
    <w:rsid w:val="6DA0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&amp;L"/>
    <w:basedOn w:val="3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7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2026-05-07T08:19:00Z</dcterms:created>
  <dc:creator>森</dc:creator>
  <cp:lastModifiedBy>森</cp:lastModifiedBy>
  <dcterms:modified xsi:type="dcterms:W3CDTF">2026-05-07T08:21:04Z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64F36D6AF52B42079FE5A6812659192C_11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