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FAE1E">
      <w:pPr>
        <w:pStyle w:val="3"/>
        <w:wordWrap w:val="0"/>
        <w:jc w:val="center"/>
        <w:rPr>
          <w:rFonts w:ascii="华文中宋" w:hAnsi="华文中宋" w:eastAsia="华文中宋" w:cs="Times New Roman"/>
          <w:kern w:val="44"/>
          <w:sz w:val="44"/>
          <w:szCs w:val="44"/>
        </w:rPr>
      </w:pPr>
      <w:bookmarkStart w:id="0" w:name="_Toc15718"/>
      <w:bookmarkStart w:id="1" w:name="_Toc17676"/>
      <w:r>
        <w:rPr>
          <w:rFonts w:hint="eastAsia" w:ascii="华文中宋" w:hAnsi="华文中宋" w:eastAsia="华文中宋" w:cs="Times New Roman"/>
          <w:kern w:val="44"/>
          <w:sz w:val="44"/>
          <w:szCs w:val="44"/>
        </w:rPr>
        <w:t>第三章  招标需求</w:t>
      </w:r>
      <w:bookmarkEnd w:id="0"/>
      <w:bookmarkEnd w:id="1"/>
    </w:p>
    <w:p w14:paraId="54C98B00">
      <w:pPr>
        <w:wordWrap w:val="0"/>
        <w:spacing w:line="360" w:lineRule="auto"/>
        <w:rPr>
          <w:rFonts w:ascii="宋体" w:hAnsi="宋体" w:eastAsia="宋体"/>
          <w:b/>
          <w:sz w:val="24"/>
        </w:rPr>
      </w:pPr>
      <w:r>
        <w:rPr>
          <w:rFonts w:hint="eastAsia" w:ascii="宋体" w:hAnsi="宋体" w:eastAsia="宋体"/>
          <w:b/>
          <w:sz w:val="24"/>
        </w:rPr>
        <w:t>前注：</w:t>
      </w:r>
    </w:p>
    <w:p w14:paraId="7F9CE6A0">
      <w:pPr>
        <w:wordWrap w:val="0"/>
        <w:spacing w:line="360" w:lineRule="auto"/>
        <w:ind w:firstLine="437"/>
        <w:rPr>
          <w:rFonts w:ascii="宋体" w:hAnsi="宋体" w:eastAsia="宋体"/>
          <w:sz w:val="24"/>
        </w:rPr>
      </w:pPr>
      <w:r>
        <w:rPr>
          <w:rFonts w:hint="eastAsia" w:ascii="宋体" w:hAnsi="宋体" w:eastAsia="宋体"/>
          <w:sz w:val="24"/>
        </w:rPr>
        <w:t>1.</w:t>
      </w:r>
      <w:r>
        <w:rPr>
          <w:rFonts w:ascii="宋体" w:hAnsi="宋体" w:eastAsia="宋体"/>
          <w:sz w:val="24"/>
        </w:rPr>
        <w:t>本说明中提出的</w:t>
      </w:r>
      <w:r>
        <w:rPr>
          <w:rFonts w:hint="eastAsia" w:ascii="宋体" w:hAnsi="宋体" w:eastAsia="宋体"/>
          <w:sz w:val="24"/>
        </w:rPr>
        <w:t>服务</w:t>
      </w:r>
      <w:r>
        <w:rPr>
          <w:rFonts w:ascii="宋体" w:hAnsi="宋体" w:eastAsia="宋体"/>
          <w:sz w:val="24"/>
        </w:rPr>
        <w:t>方案仅为参考，如无明确限制，</w:t>
      </w:r>
      <w:r>
        <w:rPr>
          <w:rFonts w:hint="eastAsia" w:ascii="宋体" w:hAnsi="宋体" w:eastAsia="宋体"/>
          <w:sz w:val="24"/>
        </w:rPr>
        <w:t>投标人</w:t>
      </w:r>
      <w:r>
        <w:rPr>
          <w:rFonts w:ascii="宋体" w:hAnsi="宋体" w:eastAsia="宋体"/>
          <w:sz w:val="24"/>
        </w:rPr>
        <w:t>可以进行优化，提供满足用户实际需要的更优（或者性能实质上不低于的）</w:t>
      </w:r>
      <w:r>
        <w:rPr>
          <w:rFonts w:hint="eastAsia" w:ascii="宋体" w:hAnsi="宋体" w:eastAsia="宋体"/>
          <w:sz w:val="24"/>
        </w:rPr>
        <w:t>服务</w:t>
      </w:r>
      <w:r>
        <w:rPr>
          <w:rFonts w:ascii="宋体" w:hAnsi="宋体" w:eastAsia="宋体"/>
          <w:sz w:val="24"/>
        </w:rPr>
        <w:t>方案，且此方案须经</w:t>
      </w:r>
      <w:r>
        <w:rPr>
          <w:rFonts w:hint="eastAsia" w:ascii="宋体" w:hAnsi="宋体" w:eastAsia="宋体"/>
          <w:sz w:val="24"/>
        </w:rPr>
        <w:t>评标委员会评标</w:t>
      </w:r>
      <w:r>
        <w:rPr>
          <w:rFonts w:ascii="宋体" w:hAnsi="宋体" w:eastAsia="宋体"/>
          <w:sz w:val="24"/>
        </w:rPr>
        <w:t>认可</w:t>
      </w:r>
      <w:r>
        <w:rPr>
          <w:rFonts w:hint="eastAsia" w:ascii="宋体" w:hAnsi="宋体" w:eastAsia="宋体"/>
          <w:sz w:val="24"/>
        </w:rPr>
        <w:t>。</w:t>
      </w:r>
    </w:p>
    <w:p w14:paraId="1743EEAD">
      <w:pPr>
        <w:wordWrap w:val="0"/>
        <w:spacing w:line="360" w:lineRule="auto"/>
        <w:ind w:firstLine="437"/>
        <w:outlineLvl w:val="2"/>
        <w:rPr>
          <w:rFonts w:ascii="Arial" w:hAnsi="Arial" w:eastAsia="宋体" w:cs="Arial"/>
          <w:b/>
          <w:sz w:val="28"/>
          <w:szCs w:val="28"/>
        </w:rPr>
      </w:pPr>
      <w:r>
        <w:rPr>
          <w:rFonts w:ascii="Arial" w:hAnsi="Arial" w:eastAsia="宋体" w:cs="Arial"/>
          <w:b/>
          <w:sz w:val="28"/>
          <w:szCs w:val="28"/>
        </w:rPr>
        <w:t>一、</w:t>
      </w:r>
      <w:r>
        <w:rPr>
          <w:rFonts w:hint="eastAsia" w:ascii="Arial" w:hAnsi="Arial" w:eastAsia="宋体" w:cs="Arial"/>
          <w:b/>
          <w:sz w:val="28"/>
          <w:szCs w:val="28"/>
        </w:rPr>
        <w:t>招标需求</w:t>
      </w:r>
      <w:r>
        <w:rPr>
          <w:rFonts w:ascii="Arial" w:hAnsi="Arial" w:eastAsia="宋体" w:cs="Arial"/>
          <w:b/>
          <w:sz w:val="28"/>
          <w:szCs w:val="28"/>
        </w:rPr>
        <w:t>前附表</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3"/>
        <w:gridCol w:w="5977"/>
      </w:tblGrid>
      <w:tr w14:paraId="5A7D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14:paraId="178DBC9E">
            <w:pPr>
              <w:pStyle w:val="8"/>
              <w:pBdr>
                <w:bottom w:val="none" w:color="auto" w:sz="0" w:space="0"/>
              </w:pBdr>
              <w:tabs>
                <w:tab w:val="clear" w:pos="4153"/>
                <w:tab w:val="clear" w:pos="8306"/>
              </w:tabs>
              <w:wordWrap w:val="0"/>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213" w:type="dxa"/>
            <w:noWrap w:val="0"/>
            <w:vAlign w:val="center"/>
          </w:tcPr>
          <w:p w14:paraId="754A2561">
            <w:pPr>
              <w:pStyle w:val="9"/>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977" w:type="dxa"/>
            <w:noWrap w:val="0"/>
            <w:vAlign w:val="center"/>
          </w:tcPr>
          <w:p w14:paraId="168B1DA1">
            <w:pPr>
              <w:pStyle w:val="9"/>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71A3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14:paraId="5D2A3F23">
            <w:pPr>
              <w:pStyle w:val="8"/>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213" w:type="dxa"/>
            <w:noWrap w:val="0"/>
            <w:vAlign w:val="center"/>
          </w:tcPr>
          <w:p w14:paraId="544057D3">
            <w:pPr>
              <w:pStyle w:val="9"/>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977" w:type="dxa"/>
            <w:noWrap w:val="0"/>
            <w:vAlign w:val="center"/>
          </w:tcPr>
          <w:p w14:paraId="61D26AC8">
            <w:pPr>
              <w:pStyle w:val="9"/>
              <w:widowControl w:val="0"/>
              <w:wordWrap w:val="0"/>
              <w:spacing w:before="0" w:beforeAutospacing="0" w:after="0" w:afterAutospacing="0" w:line="360" w:lineRule="auto"/>
              <w:jc w:val="left"/>
              <w:rPr>
                <w:rFonts w:hint="eastAsia" w:ascii="宋体" w:hAnsi="宋体" w:eastAsia="宋体"/>
                <w:b w:val="0"/>
                <w:sz w:val="24"/>
              </w:rPr>
            </w:pPr>
            <w:r>
              <w:rPr>
                <w:rFonts w:ascii="宋体" w:hAnsi="宋体" w:eastAsia="宋体"/>
                <w:b w:val="0"/>
                <w:sz w:val="24"/>
                <w:szCs w:val="24"/>
              </w:rPr>
              <w:t>师生可通过微信、支付宝或运营商APP扫码支付费用，支付金额将严格按照中标公示的收费标准及实际购买时长进行核算，</w:t>
            </w:r>
            <w:r>
              <w:rPr>
                <w:rFonts w:hint="eastAsia" w:ascii="宋体" w:hAnsi="宋体" w:eastAsia="宋体"/>
                <w:b w:val="0"/>
                <w:sz w:val="24"/>
                <w:szCs w:val="24"/>
              </w:rPr>
              <w:t>招标人不另行支付费用。</w:t>
            </w:r>
          </w:p>
        </w:tc>
      </w:tr>
      <w:tr w14:paraId="5810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14:paraId="611BA2F0">
            <w:pPr>
              <w:pStyle w:val="8"/>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213" w:type="dxa"/>
            <w:noWrap w:val="0"/>
            <w:vAlign w:val="center"/>
          </w:tcPr>
          <w:p w14:paraId="45EF8854">
            <w:pPr>
              <w:pStyle w:val="9"/>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5977" w:type="dxa"/>
            <w:noWrap w:val="0"/>
            <w:vAlign w:val="center"/>
          </w:tcPr>
          <w:p w14:paraId="5BC2F606">
            <w:pPr>
              <w:pStyle w:val="9"/>
              <w:widowControl w:val="0"/>
              <w:wordWrap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sz w:val="24"/>
              </w:rPr>
              <w:t>安徽医科大学杏林路小区（新医科中心），招标人指定地点。</w:t>
            </w:r>
          </w:p>
        </w:tc>
      </w:tr>
      <w:tr w14:paraId="6A59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14:paraId="598B3840">
            <w:pPr>
              <w:pStyle w:val="8"/>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213" w:type="dxa"/>
            <w:noWrap w:val="0"/>
            <w:vAlign w:val="center"/>
          </w:tcPr>
          <w:p w14:paraId="71A81C31">
            <w:pPr>
              <w:pStyle w:val="9"/>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5977" w:type="dxa"/>
            <w:noWrap w:val="0"/>
            <w:vAlign w:val="center"/>
          </w:tcPr>
          <w:p w14:paraId="0247362F">
            <w:pPr>
              <w:pStyle w:val="9"/>
              <w:widowControl w:val="0"/>
              <w:wordWrap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sz w:val="24"/>
                <w:lang w:val="en-US" w:eastAsia="zh-CN"/>
              </w:rPr>
              <w:t>合同签订后一年</w:t>
            </w:r>
            <w:r>
              <w:rPr>
                <w:rFonts w:hint="eastAsia" w:ascii="宋体" w:hAnsi="宋体" w:eastAsia="宋体"/>
                <w:b w:val="0"/>
                <w:sz w:val="24"/>
              </w:rPr>
              <w:t>，采用1+1+1模式。运营期间，由保卫处协同学校工会、团委、本工部、研工部、国资处以及学生代表等相关部门人员组成考核小组，对中标人工作进行年度考核，考核标准详见《安徽医科大学杏林路校区共享单车服务考核办法》。若年度考核分数低于80分，则甲方有权提前单方面终止合同。服务期限内合同一年一签（招标人根据对中标人服务考核情况确定是否签订下一年合同）。</w:t>
            </w:r>
          </w:p>
        </w:tc>
      </w:tr>
    </w:tbl>
    <w:p w14:paraId="177E865B">
      <w:pPr>
        <w:wordWrap w:val="0"/>
        <w:spacing w:line="360" w:lineRule="auto"/>
        <w:ind w:firstLine="437"/>
        <w:outlineLvl w:val="2"/>
        <w:rPr>
          <w:rFonts w:ascii="Arial" w:hAnsi="Arial" w:eastAsia="宋体" w:cs="Arial"/>
          <w:b/>
          <w:sz w:val="28"/>
          <w:szCs w:val="28"/>
        </w:rPr>
      </w:pPr>
      <w:r>
        <w:rPr>
          <w:rFonts w:hint="eastAsia" w:ascii="Arial" w:hAnsi="Arial" w:eastAsia="宋体" w:cs="Arial"/>
          <w:b/>
          <w:sz w:val="28"/>
          <w:szCs w:val="28"/>
        </w:rPr>
        <w:t>二、</w:t>
      </w:r>
      <w:r>
        <w:rPr>
          <w:rFonts w:ascii="Arial" w:hAnsi="Arial" w:eastAsia="宋体" w:cs="Arial"/>
          <w:b/>
          <w:sz w:val="28"/>
          <w:szCs w:val="28"/>
        </w:rPr>
        <w:t>服务需求</w:t>
      </w:r>
    </w:p>
    <w:p w14:paraId="51033C34">
      <w:pPr>
        <w:spacing w:line="360" w:lineRule="auto"/>
        <w:ind w:firstLine="437"/>
        <w:rPr>
          <w:rFonts w:ascii="宋体" w:hAnsi="宋体" w:eastAsia="宋体" w:cs="仿宋"/>
          <w:bCs/>
          <w:sz w:val="24"/>
          <w:szCs w:val="24"/>
        </w:rPr>
      </w:pPr>
      <w:bookmarkStart w:id="2" w:name="OLE_LINK26"/>
      <w:bookmarkStart w:id="3" w:name="OLE_LINK25"/>
      <w:r>
        <w:rPr>
          <w:rFonts w:hint="eastAsia" w:ascii="宋体" w:hAnsi="宋体" w:eastAsia="宋体" w:cs="仿宋"/>
          <w:bCs/>
          <w:sz w:val="24"/>
          <w:szCs w:val="24"/>
        </w:rPr>
        <w:t>中标人提供符合国家生产及安全标准的自行车，通过建设电子围栏在校园内设置若干规范停车（取车）点，使用者扫描车辆二维码付费获取服务。中标人应配备足量运维管理人员，负责共享自行车停放管理、维护保养及协助处理各类事故。</w:t>
      </w:r>
    </w:p>
    <w:bookmarkEnd w:id="2"/>
    <w:bookmarkEnd w:id="3"/>
    <w:p w14:paraId="400EABB4">
      <w:pPr>
        <w:spacing w:line="360" w:lineRule="auto"/>
        <w:ind w:firstLine="437"/>
        <w:outlineLvl w:val="9"/>
        <w:rPr>
          <w:rFonts w:ascii="宋体" w:hAnsi="宋体" w:eastAsia="宋体" w:cs="仿宋"/>
          <w:b/>
          <w:bCs/>
          <w:sz w:val="24"/>
          <w:szCs w:val="24"/>
        </w:rPr>
      </w:pPr>
      <w:r>
        <w:rPr>
          <w:rFonts w:hint="eastAsia" w:ascii="宋体" w:hAnsi="宋体" w:eastAsia="宋体" w:cs="仿宋"/>
          <w:b/>
          <w:bCs/>
          <w:sz w:val="24"/>
          <w:szCs w:val="24"/>
        </w:rPr>
        <w:t>（一）车辆相关要求</w:t>
      </w:r>
    </w:p>
    <w:p w14:paraId="128C4862">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1.投放车辆标准及数量：所供车辆必须为符合国家生产及安全标准的全新定制自行车。杏林路区首批投放共享自行车1000台。后期在运营管理中，根据运营实际情况增减共享单车数量。第一年投放须为全新定制自行车，所有车辆损坏应及时更换，不得缺额。校园共享单车达到约定数量上限，造成局部区域停放秩序紊乱，中标人有义务将超额车辆及时清离校园。</w:t>
      </w:r>
    </w:p>
    <w:p w14:paraId="37396435">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2.停车点及电子围栏：根据招标人要求及场地实际，规划建设停车点、划定电子围栏及规范停车位。具有数据通讯技术的智能锁，且符合国家、行业相关技术标准要求。车辆须在指定地点有序停放，严禁乱停乱放。</w:t>
      </w:r>
    </w:p>
    <w:p w14:paraId="53D362FA">
      <w:pPr>
        <w:spacing w:line="360" w:lineRule="auto"/>
        <w:ind w:firstLine="437"/>
        <w:outlineLvl w:val="9"/>
        <w:rPr>
          <w:rFonts w:hint="eastAsia" w:ascii="宋体" w:hAnsi="宋体" w:eastAsia="宋体" w:cs="仿宋"/>
          <w:bCs/>
          <w:sz w:val="24"/>
          <w:szCs w:val="24"/>
        </w:rPr>
      </w:pPr>
      <w:r>
        <w:rPr>
          <w:rFonts w:hint="eastAsia" w:ascii="宋体" w:hAnsi="宋体" w:eastAsia="宋体" w:cs="仿宋"/>
          <w:bCs/>
          <w:sz w:val="24"/>
          <w:szCs w:val="24"/>
        </w:rPr>
        <w:t>3.日常运营保障：维持平峰及高峰时段的车辆供给，确保各停车点有车可用，满足师生出行需求。</w:t>
      </w:r>
    </w:p>
    <w:p w14:paraId="75269BD9">
      <w:pPr>
        <w:spacing w:line="360" w:lineRule="auto"/>
        <w:ind w:firstLine="437"/>
        <w:outlineLvl w:val="9"/>
        <w:rPr>
          <w:rFonts w:hint="eastAsia" w:ascii="宋体" w:hAnsi="宋体" w:eastAsia="宋体" w:cs="仿宋"/>
          <w:bCs/>
          <w:sz w:val="24"/>
          <w:szCs w:val="24"/>
        </w:rPr>
      </w:pPr>
      <w:r>
        <w:rPr>
          <w:rFonts w:hint="eastAsia" w:ascii="宋体" w:hAnsi="宋体" w:eastAsia="宋体" w:cs="仿宋"/>
          <w:bCs/>
          <w:sz w:val="24"/>
          <w:szCs w:val="24"/>
        </w:rPr>
        <w:t>4.智能调度：利用大数据分析，结合历史客流数据进行智能调度，实现精细化运营管理。</w:t>
      </w:r>
    </w:p>
    <w:p w14:paraId="4F54A133">
      <w:pPr>
        <w:spacing w:line="360" w:lineRule="auto"/>
        <w:ind w:firstLine="437"/>
        <w:outlineLvl w:val="9"/>
        <w:rPr>
          <w:rFonts w:hint="eastAsia" w:ascii="宋体" w:hAnsi="宋体" w:eastAsia="宋体" w:cs="仿宋"/>
          <w:bCs/>
          <w:sz w:val="24"/>
          <w:szCs w:val="24"/>
        </w:rPr>
      </w:pPr>
      <w:r>
        <w:rPr>
          <w:rFonts w:hint="eastAsia" w:ascii="宋体" w:hAnsi="宋体" w:eastAsia="宋体" w:cs="仿宋"/>
          <w:bCs/>
          <w:sz w:val="24"/>
          <w:szCs w:val="24"/>
        </w:rPr>
        <w:t>5.人员配置：配备专职驻校项目经理 1 人，配备不少于4名专职运维人员，全职配合招标人加强校园共享单车管理工作。</w:t>
      </w:r>
    </w:p>
    <w:p w14:paraId="7B3EC5E5">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6.运营时间：运营时间设为每日6:30—23:00。中标人需合理安排人员排班，确保此时间段内有工作人员常驻现场值守。</w:t>
      </w:r>
    </w:p>
    <w:p w14:paraId="5082FD5A">
      <w:pPr>
        <w:tabs>
          <w:tab w:val="left" w:pos="7665"/>
        </w:tabs>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（二）服务内容及要求</w:t>
      </w:r>
    </w:p>
    <w:p w14:paraId="3013D8C7">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1</w:t>
      </w:r>
      <w:bookmarkStart w:id="4" w:name="OLE_LINK31"/>
      <w:bookmarkStart w:id="5" w:name="OLE_LINK32"/>
      <w:r>
        <w:rPr>
          <w:rFonts w:hint="eastAsia" w:ascii="宋体" w:hAnsi="宋体" w:eastAsia="宋体" w:cs="仿宋"/>
          <w:bCs/>
          <w:sz w:val="24"/>
          <w:szCs w:val="24"/>
        </w:rPr>
        <w:t>.</w:t>
      </w:r>
      <w:bookmarkEnd w:id="4"/>
      <w:bookmarkEnd w:id="5"/>
      <w:r>
        <w:rPr>
          <w:rFonts w:hint="eastAsia" w:ascii="宋体" w:hAnsi="宋体" w:eastAsia="宋体" w:cs="仿宋"/>
          <w:bCs/>
          <w:sz w:val="24"/>
          <w:szCs w:val="24"/>
        </w:rPr>
        <w:t>项目实施：采取市场化、企业化运作模式，乙方负责项目全部投资、建设及经营管理，实现自主经营、自负盈亏。负责划设停车区域、投放运营车辆。乙方服务范围涵盖运营管理、车辆调度、一线人员招聘培训与考核、车辆保养、到期报废回收机制、更新及售后服务等。</w:t>
      </w:r>
    </w:p>
    <w:p w14:paraId="63A89D28">
      <w:pPr>
        <w:spacing w:line="360" w:lineRule="auto"/>
        <w:ind w:firstLine="437"/>
        <w:rPr>
          <w:rFonts w:hint="eastAsia" w:ascii="宋体" w:hAnsi="宋体" w:eastAsia="宋体" w:cs="仿宋"/>
          <w:bCs/>
          <w:sz w:val="24"/>
          <w:szCs w:val="24"/>
        </w:rPr>
      </w:pPr>
      <w:bookmarkStart w:id="6" w:name="OLE_LINK7"/>
      <w:bookmarkStart w:id="7" w:name="OLE_LINK8"/>
      <w:r>
        <w:rPr>
          <w:rFonts w:hint="eastAsia" w:ascii="宋体" w:hAnsi="宋体" w:eastAsia="宋体" w:cs="仿宋"/>
          <w:bCs/>
          <w:sz w:val="24"/>
          <w:szCs w:val="24"/>
        </w:rPr>
        <w:t>2.运营期限：</w:t>
      </w:r>
      <w:bookmarkStart w:id="8" w:name="OLE_LINK6"/>
      <w:bookmarkStart w:id="9" w:name="OLE_LINK5"/>
      <w:r>
        <w:rPr>
          <w:rFonts w:hint="eastAsia" w:ascii="宋体" w:hAnsi="宋体" w:eastAsia="宋体" w:cs="仿宋"/>
          <w:bCs/>
          <w:sz w:val="24"/>
          <w:szCs w:val="24"/>
        </w:rPr>
        <w:t>项目经营期为3年，</w:t>
      </w:r>
      <w:r>
        <w:rPr>
          <w:rFonts w:hint="eastAsia" w:ascii="宋体" w:hAnsi="宋体" w:eastAsia="宋体"/>
          <w:sz w:val="24"/>
        </w:rPr>
        <w:t>采用1+1+1模式，</w:t>
      </w:r>
      <w:r>
        <w:rPr>
          <w:rFonts w:hint="eastAsia" w:ascii="宋体" w:hAnsi="宋体" w:eastAsia="宋体" w:cs="仿宋"/>
          <w:bCs/>
          <w:sz w:val="24"/>
          <w:szCs w:val="24"/>
        </w:rPr>
        <w:t>实行年度考核、逐年续签机制。经营期内，由乙方统一负责项目的建设、运营、维护、保养及调度管理工作。</w:t>
      </w:r>
    </w:p>
    <w:bookmarkEnd w:id="6"/>
    <w:bookmarkEnd w:id="7"/>
    <w:bookmarkEnd w:id="8"/>
    <w:bookmarkEnd w:id="9"/>
    <w:p w14:paraId="112BED80">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3.产权归属：乙方所投的全部设备设施，产权归供应商所有。</w:t>
      </w:r>
    </w:p>
    <w:p w14:paraId="26663FD0">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4.车辆要求：共享单车必须符合国家标准（GB3565.2-2022）要求，并提供拟投车辆检测报告。</w:t>
      </w:r>
    </w:p>
    <w:p w14:paraId="289DA80A">
      <w:pPr>
        <w:tabs>
          <w:tab w:val="left" w:pos="7665"/>
        </w:tabs>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（三）系统功能要求</w:t>
      </w:r>
    </w:p>
    <w:p w14:paraId="1BAF9108">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1.支持手机扫码租车、还车。</w:t>
      </w:r>
    </w:p>
    <w:p w14:paraId="7239BDC3">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2.具备用户实名认证功能。</w:t>
      </w:r>
    </w:p>
    <w:p w14:paraId="1959FA78">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3.实行免押金模式，支持支付宝、微信支付等第三方结算骑行费用。</w:t>
      </w:r>
    </w:p>
    <w:p w14:paraId="1A46E43D">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4.客户端APP支持查看车辆位置信息。</w:t>
      </w:r>
    </w:p>
    <w:p w14:paraId="19C23306">
      <w:pPr>
        <w:spacing w:line="360" w:lineRule="auto"/>
        <w:ind w:firstLine="482" w:firstLineChars="200"/>
        <w:outlineLvl w:val="9"/>
        <w:rPr>
          <w:rFonts w:ascii="宋体" w:hAnsi="宋体" w:eastAsia="宋体" w:cs="仿宋"/>
          <w:b/>
          <w:bCs/>
          <w:sz w:val="24"/>
          <w:szCs w:val="24"/>
        </w:rPr>
      </w:pPr>
      <w:r>
        <w:rPr>
          <w:rFonts w:hint="eastAsia" w:ascii="宋体" w:hAnsi="宋体" w:eastAsia="宋体" w:cs="仿宋"/>
          <w:b/>
          <w:bCs/>
          <w:sz w:val="24"/>
          <w:szCs w:val="24"/>
        </w:rPr>
        <w:t>（四）车辆管理及安全措施</w:t>
      </w:r>
    </w:p>
    <w:p w14:paraId="44A6C445">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1.保险购买：中标人必须购买公众责任险，保障范围包含事故人身伤害、财产损失、医疗费用及三者事故赔偿等。</w:t>
      </w:r>
    </w:p>
    <w:p w14:paraId="30754004">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2.车辆上路标准：本次引进共享单车服务，需提供全新定制车辆，严禁车辆带病上路运营。做到勤检查、勤保养，保持车辆整洁干净。</w:t>
      </w:r>
    </w:p>
    <w:p w14:paraId="12E0DF4B">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3.履约金保证：为保证服务质量 ，中标人需缴纳200000</w:t>
      </w:r>
      <w:bookmarkStart w:id="10" w:name="_Toc27379"/>
      <w:r>
        <w:rPr>
          <w:rFonts w:hint="eastAsia" w:ascii="宋体" w:hAnsi="宋体" w:eastAsia="宋体" w:cs="仿宋"/>
          <w:bCs/>
          <w:sz w:val="24"/>
          <w:szCs w:val="24"/>
        </w:rPr>
        <w:t>.00元（大写：贰拾万元）履约保证金。若因中标人自身运营问题，导致无法退还已办理月卡/学期卡师生费用的，履约保证金将全额扣除。若经查实存在师生服务质量有效投诉，将扣除部分履约保证金。</w:t>
      </w:r>
    </w:p>
    <w:p w14:paraId="5677D157">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4.广告规范：严禁在企业平台及车辆上发布非公益性广告。一经发现，将扣除部分履约保证金。</w:t>
      </w:r>
    </w:p>
    <w:p w14:paraId="661A7E94">
      <w:pPr>
        <w:spacing w:line="360" w:lineRule="auto"/>
        <w:ind w:firstLine="437"/>
        <w:rPr>
          <w:rFonts w:hint="eastAsia" w:ascii="宋体" w:hAnsi="宋体" w:eastAsia="宋体" w:cs="仿宋"/>
          <w:bCs/>
          <w:sz w:val="24"/>
          <w:szCs w:val="24"/>
        </w:rPr>
      </w:pPr>
      <w:r>
        <w:rPr>
          <w:rFonts w:hint="eastAsia" w:ascii="宋体" w:hAnsi="宋体" w:eastAsia="宋体" w:cs="仿宋"/>
          <w:b/>
          <w:bCs w:val="0"/>
          <w:sz w:val="24"/>
          <w:szCs w:val="24"/>
        </w:rPr>
        <w:t>5.用户保险：为每一位骑行用户统一购买意外伤害保险及第三者责任险等。自用户开锁起，保险即刻生效。在符合法律法规前提下，相关事故责任由乙方承担，所有事故学校无责任。</w:t>
      </w:r>
      <w:r>
        <w:rPr>
          <w:rFonts w:hint="eastAsia" w:ascii="宋体" w:hAnsi="宋体" w:eastAsia="宋体" w:cs="仿宋"/>
          <w:b/>
          <w:color w:val="FF0000"/>
          <w:sz w:val="24"/>
          <w:szCs w:val="24"/>
        </w:rPr>
        <w:t>（</w:t>
      </w:r>
      <w:r>
        <w:rPr>
          <w:rFonts w:hint="eastAsia" w:ascii="宋体" w:hAnsi="宋体" w:eastAsia="宋体" w:cs="仿宋"/>
          <w:b/>
          <w:color w:val="FF0000"/>
          <w:sz w:val="24"/>
          <w:szCs w:val="24"/>
          <w:lang w:val="en-US" w:eastAsia="zh-CN"/>
        </w:rPr>
        <w:t>此项为实质性要求，负偏离或不响应将导致投标无效，</w:t>
      </w:r>
      <w:r>
        <w:rPr>
          <w:rFonts w:hint="eastAsia" w:ascii="宋体" w:hAnsi="宋体" w:eastAsia="宋体" w:cs="仿宋"/>
          <w:b/>
          <w:color w:val="FF0000"/>
          <w:sz w:val="24"/>
          <w:szCs w:val="24"/>
        </w:rPr>
        <w:t>投标文件中须提供承诺函，格式自拟）。</w:t>
      </w:r>
    </w:p>
    <w:p w14:paraId="71533629">
      <w:pPr>
        <w:spacing w:line="360" w:lineRule="auto"/>
        <w:ind w:firstLine="482" w:firstLineChars="200"/>
        <w:rPr>
          <w:rFonts w:ascii="宋体" w:hAnsi="宋体" w:eastAsia="宋体" w:cs="仿宋"/>
          <w:b/>
          <w:bCs/>
          <w:color w:val="000000"/>
          <w:sz w:val="24"/>
          <w:szCs w:val="24"/>
        </w:rPr>
      </w:pPr>
      <w:r>
        <w:rPr>
          <w:rFonts w:hint="eastAsia" w:ascii="宋体" w:hAnsi="宋体" w:eastAsia="宋体" w:cs="仿宋"/>
          <w:b/>
          <w:bCs/>
          <w:color w:val="000000"/>
          <w:sz w:val="24"/>
          <w:szCs w:val="24"/>
        </w:rPr>
        <w:t>（五）运营服务要求</w:t>
      </w:r>
    </w:p>
    <w:p w14:paraId="6ABEA9F9">
      <w:pPr>
        <w:spacing w:line="360" w:lineRule="auto"/>
        <w:ind w:firstLine="437"/>
        <w:rPr>
          <w:rFonts w:hint="eastAsia" w:ascii="宋体" w:hAnsi="宋体" w:eastAsia="宋体" w:cs="仿宋"/>
          <w:bCs/>
          <w:sz w:val="24"/>
          <w:szCs w:val="24"/>
        </w:rPr>
      </w:pPr>
      <w:bookmarkStart w:id="11" w:name="_Hlk204710162"/>
      <w:r>
        <w:rPr>
          <w:rFonts w:hint="eastAsia" w:ascii="宋体" w:hAnsi="宋体" w:eastAsia="宋体" w:cs="仿宋"/>
          <w:bCs/>
          <w:sz w:val="24"/>
          <w:szCs w:val="24"/>
        </w:rPr>
        <w:t>1.配套设施建设：根据实际需要并经学校同意，乙方负责选址、规划停车点，并承担停车场划线、指示牌等配套设施建设。设施建成后，产权归学校所有。</w:t>
      </w:r>
    </w:p>
    <w:p w14:paraId="53511CBA">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2.运维团队配置：建立专门的运营管理团队（统一着装，具有明显标志）按不低于1:250（共享自行车投放总数）的比例配备专职运维人员。负责车辆码放、巡检、调配、清洁及故障回收；协助保卫处维护校区非机动车(含师生自有非机动车）秩序；处理故障车辆并及时整理广场、人行通道、盲道及绿化带等非规定区域的车辆、清除违规车身广告；确保消防通道畅通。</w:t>
      </w:r>
    </w:p>
    <w:p w14:paraId="1DB76FD1">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3.信息安全：中标人应严格保密校园师生等个人信息，严禁泄露或向第三方透露，否则视为违约，构成犯罪的，移交司法机关依法追究刑事责任。</w:t>
      </w:r>
    </w:p>
    <w:p w14:paraId="039FE083">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4.收费规范：支持微信、支付宝或运营商APP扫码支付。低于市场价格提供包月（不限制次数）骑行，包月期内，可在校园外使用中标人的社会投放车辆，无需额外支付费用。不得违规增设套餐或强制消费，否则视为违约，将扣除履约保证金直至解除合同。</w:t>
      </w:r>
    </w:p>
    <w:p w14:paraId="57D42B12">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5.事故处理：中标人须为骑行用户购买骑行保险(包含且不限于购买骑行意外险、第三者责任保险)，单用户总保额不低于50万元。中标人须建立应急预案，积极处理各类事故，保障用户权益，并提供相关保险保单或者保险合同。</w:t>
      </w:r>
    </w:p>
    <w:p w14:paraId="11EDFB8B">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6.重大活动保障：遇学校举办重大活动，中标人需积极配合校方做好活动现场的非机动车摆放秩序及运维保障工作。</w:t>
      </w:r>
    </w:p>
    <w:p w14:paraId="146E9590">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7.成本责任：车辆投入、运营服务人员工资、车辆维修等运营成本，均由乙方自行承担。</w:t>
      </w:r>
    </w:p>
    <w:p w14:paraId="0868DFB7">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8.需求调整：校方有权根据实际情况与乙方协商增减运营服务管理需求等。</w:t>
      </w:r>
      <w:bookmarkEnd w:id="11"/>
    </w:p>
    <w:p w14:paraId="1B64CD4A">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9.服务响应：中标人应在5分钟内响应，在30分钟内赶到故障现场进行维护服务（包括维修配件到达服务现场），轻微情节的修理应立即排除；一般情节的故障修理须4小时内排除；重大情节的故障修理须8小时内排除；特殊情节（交通事故等突发事件）的故障修理不得超过24小时。如设备损坏严重无法修复，立即更换同类或者更优化产品。</w:t>
      </w:r>
    </w:p>
    <w:tbl>
      <w:tblPr>
        <w:tblStyle w:val="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828"/>
        <w:gridCol w:w="1828"/>
        <w:gridCol w:w="1828"/>
        <w:gridCol w:w="2279"/>
      </w:tblGrid>
      <w:tr w14:paraId="7686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val="0"/>
            <w:vAlign w:val="center"/>
          </w:tcPr>
          <w:p w14:paraId="1BA9302E">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828" w:type="dxa"/>
            <w:noWrap w:val="0"/>
            <w:vAlign w:val="center"/>
          </w:tcPr>
          <w:p w14:paraId="31E99443">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故障情况</w:t>
            </w:r>
          </w:p>
        </w:tc>
        <w:tc>
          <w:tcPr>
            <w:tcW w:w="1828" w:type="dxa"/>
            <w:noWrap w:val="0"/>
            <w:vAlign w:val="center"/>
          </w:tcPr>
          <w:p w14:paraId="06D9F4F3">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响应时间</w:t>
            </w:r>
          </w:p>
        </w:tc>
        <w:tc>
          <w:tcPr>
            <w:tcW w:w="1828" w:type="dxa"/>
            <w:noWrap w:val="0"/>
            <w:vAlign w:val="center"/>
          </w:tcPr>
          <w:p w14:paraId="1D4ACEC5">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到场时间</w:t>
            </w:r>
          </w:p>
        </w:tc>
        <w:tc>
          <w:tcPr>
            <w:tcW w:w="2279" w:type="dxa"/>
            <w:noWrap w:val="0"/>
            <w:vAlign w:val="center"/>
          </w:tcPr>
          <w:p w14:paraId="7D4E3C65">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解决问题时间</w:t>
            </w:r>
          </w:p>
        </w:tc>
      </w:tr>
      <w:tr w14:paraId="266B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val="0"/>
            <w:vAlign w:val="center"/>
          </w:tcPr>
          <w:p w14:paraId="44047DEA">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828" w:type="dxa"/>
            <w:noWrap w:val="0"/>
            <w:vAlign w:val="center"/>
          </w:tcPr>
          <w:p w14:paraId="678C8F31">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轻微情节</w:t>
            </w:r>
          </w:p>
        </w:tc>
        <w:tc>
          <w:tcPr>
            <w:tcW w:w="1828" w:type="dxa"/>
            <w:noWrap w:val="0"/>
            <w:vAlign w:val="center"/>
          </w:tcPr>
          <w:p w14:paraId="155A60AF">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5分钟</w:t>
            </w:r>
          </w:p>
        </w:tc>
        <w:tc>
          <w:tcPr>
            <w:tcW w:w="1828" w:type="dxa"/>
            <w:noWrap w:val="0"/>
            <w:vAlign w:val="center"/>
          </w:tcPr>
          <w:p w14:paraId="7B881C58">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30分钟</w:t>
            </w:r>
          </w:p>
        </w:tc>
        <w:tc>
          <w:tcPr>
            <w:tcW w:w="2279" w:type="dxa"/>
            <w:noWrap w:val="0"/>
            <w:vAlign w:val="center"/>
          </w:tcPr>
          <w:p w14:paraId="59C131B9">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立即排除</w:t>
            </w:r>
          </w:p>
        </w:tc>
      </w:tr>
      <w:tr w14:paraId="79F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val="0"/>
            <w:vAlign w:val="center"/>
          </w:tcPr>
          <w:p w14:paraId="30580723">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828" w:type="dxa"/>
            <w:noWrap w:val="0"/>
            <w:vAlign w:val="center"/>
          </w:tcPr>
          <w:p w14:paraId="13A020B6">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一般情节</w:t>
            </w:r>
          </w:p>
        </w:tc>
        <w:tc>
          <w:tcPr>
            <w:tcW w:w="1828" w:type="dxa"/>
            <w:noWrap w:val="0"/>
            <w:vAlign w:val="center"/>
          </w:tcPr>
          <w:p w14:paraId="0DC0B574">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5分钟</w:t>
            </w:r>
          </w:p>
        </w:tc>
        <w:tc>
          <w:tcPr>
            <w:tcW w:w="1828" w:type="dxa"/>
            <w:noWrap w:val="0"/>
            <w:vAlign w:val="center"/>
          </w:tcPr>
          <w:p w14:paraId="5D6A0C4F">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30分钟</w:t>
            </w:r>
          </w:p>
        </w:tc>
        <w:tc>
          <w:tcPr>
            <w:tcW w:w="2279" w:type="dxa"/>
            <w:noWrap w:val="0"/>
            <w:vAlign w:val="center"/>
          </w:tcPr>
          <w:p w14:paraId="028A6CD3">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4小时</w:t>
            </w:r>
          </w:p>
        </w:tc>
      </w:tr>
      <w:tr w14:paraId="561D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val="0"/>
            <w:vAlign w:val="center"/>
          </w:tcPr>
          <w:p w14:paraId="36249658">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828" w:type="dxa"/>
            <w:noWrap w:val="0"/>
            <w:vAlign w:val="center"/>
          </w:tcPr>
          <w:p w14:paraId="67C364EF">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重大情节</w:t>
            </w:r>
          </w:p>
        </w:tc>
        <w:tc>
          <w:tcPr>
            <w:tcW w:w="1828" w:type="dxa"/>
            <w:noWrap w:val="0"/>
            <w:vAlign w:val="center"/>
          </w:tcPr>
          <w:p w14:paraId="69BCB3C8">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5分钟</w:t>
            </w:r>
          </w:p>
        </w:tc>
        <w:tc>
          <w:tcPr>
            <w:tcW w:w="1828" w:type="dxa"/>
            <w:noWrap w:val="0"/>
            <w:vAlign w:val="center"/>
          </w:tcPr>
          <w:p w14:paraId="5CB923B4">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30分钟</w:t>
            </w:r>
          </w:p>
        </w:tc>
        <w:tc>
          <w:tcPr>
            <w:tcW w:w="2279" w:type="dxa"/>
            <w:noWrap w:val="0"/>
            <w:vAlign w:val="center"/>
          </w:tcPr>
          <w:p w14:paraId="3DED0A09">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8小时</w:t>
            </w:r>
          </w:p>
        </w:tc>
      </w:tr>
      <w:tr w14:paraId="52B2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val="0"/>
            <w:vAlign w:val="center"/>
          </w:tcPr>
          <w:p w14:paraId="322F457A">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828" w:type="dxa"/>
            <w:noWrap w:val="0"/>
            <w:vAlign w:val="center"/>
          </w:tcPr>
          <w:p w14:paraId="5364D9CA">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特殊情节</w:t>
            </w:r>
          </w:p>
        </w:tc>
        <w:tc>
          <w:tcPr>
            <w:tcW w:w="1828" w:type="dxa"/>
            <w:noWrap w:val="0"/>
            <w:vAlign w:val="center"/>
          </w:tcPr>
          <w:p w14:paraId="4F241FFF">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5分钟</w:t>
            </w:r>
          </w:p>
        </w:tc>
        <w:tc>
          <w:tcPr>
            <w:tcW w:w="1828" w:type="dxa"/>
            <w:noWrap w:val="0"/>
            <w:vAlign w:val="center"/>
          </w:tcPr>
          <w:p w14:paraId="59FEDEE8">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30分钟</w:t>
            </w:r>
          </w:p>
        </w:tc>
        <w:tc>
          <w:tcPr>
            <w:tcW w:w="2279" w:type="dxa"/>
            <w:noWrap w:val="0"/>
            <w:vAlign w:val="center"/>
          </w:tcPr>
          <w:p w14:paraId="1EC4BD3B">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24小时</w:t>
            </w:r>
          </w:p>
        </w:tc>
      </w:tr>
    </w:tbl>
    <w:p w14:paraId="090B8491">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备注：</w:t>
      </w:r>
    </w:p>
    <w:p w14:paraId="312AEA95">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轻微情节：正确的操作可预防发生故障。</w:t>
      </w:r>
    </w:p>
    <w:p w14:paraId="20D62EDA">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一般情节：一般设备或线路故障。</w:t>
      </w:r>
    </w:p>
    <w:p w14:paraId="7FBC74AA">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重大情节：设备运行状态危急不能正常工作。</w:t>
      </w:r>
    </w:p>
    <w:p w14:paraId="274EDA5D">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特殊情节：交通事故等突发事件。</w:t>
      </w:r>
    </w:p>
    <w:p w14:paraId="49600892">
      <w:pPr>
        <w:spacing w:line="360" w:lineRule="auto"/>
        <w:ind w:firstLine="437"/>
        <w:rPr>
          <w:rFonts w:ascii="宋体" w:hAnsi="宋体" w:eastAsia="宋体" w:cs="仿宋"/>
          <w:bCs/>
          <w:sz w:val="24"/>
          <w:szCs w:val="24"/>
        </w:rPr>
      </w:pPr>
      <w:r>
        <w:rPr>
          <w:rFonts w:hint="eastAsia" w:ascii="宋体" w:hAnsi="宋体" w:eastAsia="宋体" w:cs="仿宋"/>
          <w:bCs/>
          <w:sz w:val="24"/>
          <w:szCs w:val="24"/>
        </w:rPr>
        <w:t>10.服务承诺：公开服务标准和服务质量承诺，公开服务监督电话，建立用户投诉处理制度，及时处理投诉。</w:t>
      </w:r>
    </w:p>
    <w:p w14:paraId="29E4BFC1">
      <w:pPr>
        <w:tabs>
          <w:tab w:val="left" w:pos="7665"/>
        </w:tabs>
        <w:spacing w:line="360" w:lineRule="auto"/>
        <w:ind w:firstLine="482" w:firstLineChars="200"/>
        <w:rPr>
          <w:rFonts w:ascii="宋体" w:hAnsi="宋体" w:eastAsia="宋体" w:cs="仿宋"/>
          <w:b/>
          <w:bCs/>
          <w:color w:val="000000"/>
          <w:sz w:val="24"/>
          <w:szCs w:val="24"/>
        </w:rPr>
      </w:pPr>
      <w:r>
        <w:rPr>
          <w:rFonts w:hint="eastAsia" w:ascii="宋体" w:hAnsi="宋体" w:eastAsia="宋体" w:cs="仿宋"/>
          <w:b/>
          <w:bCs/>
          <w:color w:val="000000"/>
          <w:sz w:val="24"/>
          <w:szCs w:val="24"/>
        </w:rPr>
        <w:t>（六）服务验收</w:t>
      </w:r>
    </w:p>
    <w:p w14:paraId="1D16DA5C">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1.验收标准：投放车辆及服务符合招标文件的各项要求。</w:t>
      </w:r>
    </w:p>
    <w:p w14:paraId="507B42F9">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2.验收方法：采取现场验收的方式进行。</w:t>
      </w:r>
    </w:p>
    <w:p w14:paraId="5C873AD8">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3.验收时间及地点：由甲方根据项目进度与乙方协商确定投车时间，验收地点为安徽医科大学杏林路校区。</w:t>
      </w:r>
    </w:p>
    <w:p w14:paraId="2E3EBA31">
      <w:pPr>
        <w:spacing w:line="360" w:lineRule="auto"/>
        <w:ind w:firstLine="437"/>
        <w:rPr>
          <w:rFonts w:ascii="宋体" w:hAnsi="宋体" w:eastAsia="宋体" w:cs="仿宋"/>
          <w:b/>
          <w:sz w:val="24"/>
          <w:szCs w:val="24"/>
        </w:rPr>
      </w:pPr>
      <w:r>
        <w:rPr>
          <w:rFonts w:hint="eastAsia" w:ascii="宋体" w:hAnsi="宋体" w:eastAsia="宋体" w:cs="仿宋"/>
          <w:b/>
          <w:sz w:val="24"/>
          <w:szCs w:val="24"/>
        </w:rPr>
        <w:t>备注：</w:t>
      </w:r>
      <w:r>
        <w:rPr>
          <w:rFonts w:ascii="宋体" w:hAnsi="宋体" w:eastAsia="宋体" w:cs="仿宋"/>
          <w:b/>
          <w:sz w:val="24"/>
          <w:szCs w:val="24"/>
        </w:rPr>
        <w:t>本需求方案根据项目实际研究制定。若后续因国家相关政策法规调整需变更内容，将严格按最新规定执行。</w:t>
      </w:r>
    </w:p>
    <w:p w14:paraId="01D3E60C">
      <w:pPr>
        <w:wordWrap w:val="0"/>
        <w:spacing w:line="360" w:lineRule="auto"/>
        <w:ind w:firstLine="437"/>
        <w:outlineLvl w:val="2"/>
        <w:rPr>
          <w:rFonts w:hint="eastAsia" w:ascii="Arial" w:hAnsi="Arial" w:eastAsia="宋体" w:cs="Arial"/>
          <w:b/>
          <w:sz w:val="28"/>
          <w:szCs w:val="28"/>
        </w:rPr>
      </w:pPr>
      <w:r>
        <w:rPr>
          <w:rFonts w:hint="eastAsia" w:ascii="Arial" w:hAnsi="Arial" w:eastAsia="宋体" w:cs="Arial"/>
          <w:b/>
          <w:sz w:val="28"/>
          <w:szCs w:val="28"/>
        </w:rPr>
        <w:t>三、报价要求</w:t>
      </w:r>
      <w:bookmarkEnd w:id="10"/>
    </w:p>
    <w:p w14:paraId="4DD8190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（一）收费及服务要求</w:t>
      </w:r>
    </w:p>
    <w:p w14:paraId="09DBF5DB">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中标人应支持微信、支付宝或运营商APP扫码支付，收费标准合理，实行免押金骑行。校内共享车辆收费标准不得高于校外同类型车辆，各种套餐总价须低于最高限价。中标人应提供月卡、学期卡两种不限次数骑行套餐，供师生员工选用。学生用户骑行套餐应覆盖合肥市区运营区域，不得强制或隐性绑架消费，否则按违约处理，采购人有权解除合同。</w:t>
      </w:r>
    </w:p>
    <w:p w14:paraId="335BBB2A">
      <w:pPr>
        <w:spacing w:line="360" w:lineRule="auto"/>
        <w:ind w:firstLine="560"/>
        <w:rPr>
          <w:rFonts w:ascii="宋体" w:hAnsi="宋体" w:eastAsia="宋体" w:cs="仿宋"/>
          <w:b/>
          <w:bCs/>
          <w:sz w:val="24"/>
          <w:szCs w:val="24"/>
        </w:rPr>
      </w:pPr>
      <w:r>
        <w:rPr>
          <w:rFonts w:hint="eastAsia" w:ascii="宋体" w:hAnsi="宋体" w:eastAsia="宋体" w:cs="仿宋"/>
          <w:b/>
          <w:bCs/>
          <w:sz w:val="24"/>
          <w:szCs w:val="24"/>
        </w:rPr>
        <w:t>（二）报价类别及限价要求</w:t>
      </w:r>
    </w:p>
    <w:p w14:paraId="7ED97FC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投标人须按下列要求报价：</w:t>
      </w:r>
    </w:p>
    <w:p w14:paraId="1272B4D9">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1</w:t>
      </w:r>
      <w:r>
        <w:rPr>
          <w:rFonts w:ascii="宋体" w:hAnsi="宋体" w:eastAsia="宋体" w:cs="仿宋"/>
          <w:b/>
          <w:bCs/>
          <w:sz w:val="24"/>
          <w:szCs w:val="24"/>
        </w:rPr>
        <w:t>.</w:t>
      </w:r>
      <w:r>
        <w:rPr>
          <w:rFonts w:hint="eastAsia" w:ascii="宋体" w:hAnsi="宋体" w:eastAsia="宋体" w:cs="仿宋"/>
          <w:b/>
          <w:bCs/>
          <w:sz w:val="24"/>
          <w:szCs w:val="24"/>
        </w:rPr>
        <w:t>月卡</w:t>
      </w:r>
      <w:r>
        <w:rPr>
          <w:rFonts w:hint="eastAsia" w:ascii="宋体" w:hAnsi="宋体" w:eastAsia="宋体" w:cs="仿宋"/>
          <w:b/>
          <w:bCs/>
          <w:kern w:val="0"/>
          <w:sz w:val="24"/>
          <w:szCs w:val="24"/>
        </w:rPr>
        <w:t>：</w:t>
      </w:r>
      <w:r>
        <w:rPr>
          <w:rFonts w:hint="eastAsia" w:ascii="宋体" w:hAnsi="宋体" w:eastAsia="宋体" w:cs="仿宋"/>
          <w:kern w:val="0"/>
          <w:sz w:val="24"/>
          <w:szCs w:val="24"/>
          <w:u w:val="single"/>
        </w:rPr>
        <w:t xml:space="preserve">    </w:t>
      </w:r>
      <w:r>
        <w:rPr>
          <w:rFonts w:hint="eastAsia" w:ascii="宋体" w:hAnsi="宋体" w:eastAsia="宋体" w:cs="仿宋"/>
          <w:sz w:val="24"/>
          <w:szCs w:val="24"/>
        </w:rPr>
        <w:t>元/月</w:t>
      </w:r>
    </w:p>
    <w:p w14:paraId="5C40DE39">
      <w:pPr>
        <w:spacing w:line="360" w:lineRule="auto"/>
        <w:ind w:firstLine="482" w:firstLineChars="200"/>
        <w:rPr>
          <w:rFonts w:ascii="宋体" w:hAnsi="宋体" w:eastAsia="宋体" w:cs="仿宋"/>
          <w:b/>
          <w:bCs/>
          <w:kern w:val="0"/>
          <w:sz w:val="24"/>
          <w:szCs w:val="24"/>
        </w:rPr>
      </w:pPr>
      <w:r>
        <w:rPr>
          <w:rFonts w:hint="eastAsia" w:ascii="宋体" w:hAnsi="宋体" w:eastAsia="宋体" w:cs="仿宋"/>
          <w:b/>
          <w:bCs/>
          <w:kern w:val="0"/>
          <w:sz w:val="24"/>
          <w:szCs w:val="24"/>
        </w:rPr>
        <w:t>2</w:t>
      </w:r>
      <w:r>
        <w:rPr>
          <w:rFonts w:ascii="宋体" w:hAnsi="宋体" w:eastAsia="宋体" w:cs="仿宋"/>
          <w:b/>
          <w:bCs/>
          <w:kern w:val="0"/>
          <w:sz w:val="24"/>
          <w:szCs w:val="24"/>
        </w:rPr>
        <w:t>.</w:t>
      </w:r>
      <w:r>
        <w:rPr>
          <w:rFonts w:hint="eastAsia" w:ascii="宋体" w:hAnsi="宋体" w:eastAsia="宋体" w:cs="仿宋"/>
          <w:b/>
          <w:bCs/>
          <w:sz w:val="24"/>
          <w:szCs w:val="24"/>
        </w:rPr>
        <w:t>学期卡</w:t>
      </w:r>
      <w:r>
        <w:rPr>
          <w:rFonts w:hint="eastAsia" w:ascii="宋体" w:hAnsi="宋体" w:eastAsia="宋体" w:cs="仿宋"/>
          <w:b/>
          <w:bCs/>
          <w:kern w:val="0"/>
          <w:sz w:val="24"/>
          <w:szCs w:val="24"/>
        </w:rPr>
        <w:t>：</w:t>
      </w:r>
      <w:r>
        <w:rPr>
          <w:rFonts w:hint="eastAsia" w:ascii="宋体" w:hAnsi="宋体" w:eastAsia="宋体" w:cs="仿宋"/>
          <w:kern w:val="0"/>
          <w:sz w:val="24"/>
          <w:szCs w:val="24"/>
          <w:u w:val="single"/>
        </w:rPr>
        <w:t xml:space="preserve">    </w:t>
      </w:r>
      <w:r>
        <w:rPr>
          <w:rFonts w:hint="eastAsia" w:ascii="宋体" w:hAnsi="宋体" w:eastAsia="宋体" w:cs="仿宋"/>
          <w:sz w:val="24"/>
          <w:szCs w:val="24"/>
        </w:rPr>
        <w:t>元/学期</w:t>
      </w:r>
    </w:p>
    <w:p w14:paraId="26899574">
      <w:pPr>
        <w:spacing w:line="360" w:lineRule="auto"/>
        <w:ind w:firstLine="482" w:firstLineChars="200"/>
        <w:jc w:val="center"/>
        <w:rPr>
          <w:rFonts w:ascii="宋体" w:hAnsi="宋体" w:eastAsia="宋体" w:cs="仿宋"/>
          <w:b/>
          <w:bCs/>
          <w:sz w:val="24"/>
          <w:szCs w:val="24"/>
        </w:rPr>
      </w:pPr>
      <w:r>
        <w:rPr>
          <w:rFonts w:hint="eastAsia" w:ascii="宋体" w:hAnsi="宋体" w:eastAsia="宋体" w:cs="仿宋"/>
          <w:b/>
          <w:bCs/>
          <w:sz w:val="24"/>
          <w:szCs w:val="24"/>
        </w:rPr>
        <w:t>最高限价一览表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2040"/>
        <w:gridCol w:w="5015"/>
      </w:tblGrid>
      <w:tr w14:paraId="748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top"/>
          </w:tcPr>
          <w:p w14:paraId="4A1460E6">
            <w:pPr>
              <w:pStyle w:val="10"/>
              <w:spacing w:line="360" w:lineRule="auto"/>
              <w:ind w:left="0" w:leftChars="0"/>
              <w:jc w:val="center"/>
              <w:rPr>
                <w:rFonts w:ascii="宋体" w:hAnsi="宋体" w:eastAsia="宋体" w:cs="仿宋"/>
                <w:b/>
                <w:bCs/>
                <w:sz w:val="24"/>
                <w:szCs w:val="24"/>
              </w:rPr>
            </w:pPr>
            <w:r>
              <w:rPr>
                <w:rFonts w:hint="eastAsia" w:ascii="宋体" w:hAnsi="宋体" w:eastAsia="宋体" w:cs="仿宋"/>
                <w:b/>
                <w:bCs/>
                <w:sz w:val="24"/>
                <w:szCs w:val="24"/>
              </w:rPr>
              <w:t>序号</w:t>
            </w:r>
          </w:p>
        </w:tc>
        <w:tc>
          <w:tcPr>
            <w:tcW w:w="2040" w:type="dxa"/>
            <w:noWrap w:val="0"/>
            <w:vAlign w:val="top"/>
          </w:tcPr>
          <w:p w14:paraId="518462C2">
            <w:pPr>
              <w:pStyle w:val="10"/>
              <w:spacing w:line="360" w:lineRule="auto"/>
              <w:ind w:left="0" w:leftChars="0"/>
              <w:jc w:val="center"/>
              <w:rPr>
                <w:rFonts w:ascii="宋体" w:hAnsi="宋体" w:eastAsia="宋体" w:cs="仿宋"/>
                <w:b/>
                <w:bCs/>
                <w:sz w:val="24"/>
                <w:szCs w:val="24"/>
              </w:rPr>
            </w:pPr>
            <w:r>
              <w:rPr>
                <w:rFonts w:hint="eastAsia" w:ascii="宋体" w:hAnsi="宋体" w:eastAsia="宋体" w:cs="仿宋"/>
                <w:b/>
                <w:bCs/>
                <w:sz w:val="24"/>
                <w:szCs w:val="24"/>
              </w:rPr>
              <w:t>报价类别</w:t>
            </w:r>
          </w:p>
        </w:tc>
        <w:tc>
          <w:tcPr>
            <w:tcW w:w="5015" w:type="dxa"/>
            <w:noWrap w:val="0"/>
            <w:vAlign w:val="top"/>
          </w:tcPr>
          <w:p w14:paraId="3CC1EEEF">
            <w:pPr>
              <w:pStyle w:val="10"/>
              <w:spacing w:line="360" w:lineRule="auto"/>
              <w:ind w:left="0" w:leftChars="0"/>
              <w:jc w:val="center"/>
              <w:rPr>
                <w:rFonts w:ascii="宋体" w:hAnsi="宋体" w:eastAsia="宋体" w:cs="仿宋"/>
                <w:b/>
                <w:bCs/>
                <w:sz w:val="24"/>
                <w:szCs w:val="24"/>
              </w:rPr>
            </w:pPr>
            <w:r>
              <w:rPr>
                <w:rFonts w:hint="eastAsia" w:ascii="宋体" w:hAnsi="宋体" w:eastAsia="宋体" w:cs="仿宋"/>
                <w:b/>
                <w:bCs/>
                <w:sz w:val="24"/>
                <w:szCs w:val="24"/>
              </w:rPr>
              <w:t>最高限价</w:t>
            </w:r>
          </w:p>
        </w:tc>
      </w:tr>
      <w:tr w14:paraId="5D7F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1255FDB2">
            <w:pPr>
              <w:pStyle w:val="10"/>
              <w:spacing w:line="360" w:lineRule="auto"/>
              <w:ind w:left="0" w:leftChars="0"/>
              <w:jc w:val="center"/>
              <w:rPr>
                <w:rFonts w:ascii="宋体" w:hAnsi="宋体" w:eastAsia="宋体" w:cs="仿宋"/>
                <w:sz w:val="24"/>
                <w:szCs w:val="24"/>
              </w:rPr>
            </w:pPr>
            <w:r>
              <w:rPr>
                <w:rFonts w:hint="eastAsia" w:ascii="宋体" w:hAnsi="宋体" w:eastAsia="宋体" w:cs="仿宋"/>
                <w:sz w:val="24"/>
                <w:szCs w:val="24"/>
              </w:rPr>
              <w:t>1</w:t>
            </w:r>
          </w:p>
        </w:tc>
        <w:tc>
          <w:tcPr>
            <w:tcW w:w="2040" w:type="dxa"/>
            <w:noWrap w:val="0"/>
            <w:vAlign w:val="center"/>
          </w:tcPr>
          <w:p w14:paraId="5D9A5252">
            <w:pPr>
              <w:pStyle w:val="10"/>
              <w:spacing w:line="360" w:lineRule="auto"/>
              <w:ind w:left="0" w:leftChars="0"/>
              <w:jc w:val="center"/>
              <w:rPr>
                <w:rFonts w:ascii="宋体" w:hAnsi="宋体" w:eastAsia="宋体" w:cs="仿宋"/>
                <w:sz w:val="24"/>
                <w:szCs w:val="24"/>
              </w:rPr>
            </w:pPr>
            <w:r>
              <w:rPr>
                <w:rFonts w:hint="eastAsia" w:ascii="宋体" w:hAnsi="宋体" w:eastAsia="宋体" w:cs="仿宋"/>
                <w:sz w:val="24"/>
                <w:szCs w:val="24"/>
              </w:rPr>
              <w:t>月卡</w:t>
            </w:r>
          </w:p>
        </w:tc>
        <w:tc>
          <w:tcPr>
            <w:tcW w:w="5015" w:type="dxa"/>
            <w:noWrap w:val="0"/>
            <w:vAlign w:val="center"/>
          </w:tcPr>
          <w:p w14:paraId="70C5CCC8">
            <w:pPr>
              <w:pStyle w:val="10"/>
              <w:spacing w:line="360" w:lineRule="auto"/>
              <w:ind w:left="0" w:leftChars="0"/>
              <w:jc w:val="center"/>
              <w:rPr>
                <w:rFonts w:ascii="宋体" w:hAnsi="宋体" w:eastAsia="宋体" w:cs="仿宋"/>
                <w:b/>
                <w:bCs/>
                <w:sz w:val="24"/>
                <w:szCs w:val="24"/>
                <w:u w:val="single"/>
              </w:rPr>
            </w:pPr>
            <w:r>
              <w:rPr>
                <w:rFonts w:hint="eastAsia" w:ascii="宋体" w:hAnsi="宋体" w:eastAsia="宋体" w:cs="仿宋"/>
                <w:b/>
                <w:bCs/>
                <w:sz w:val="24"/>
                <w:szCs w:val="24"/>
              </w:rPr>
              <w:t>6元/月</w:t>
            </w:r>
          </w:p>
        </w:tc>
      </w:tr>
      <w:tr w14:paraId="47C8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3FC4FFC4">
            <w:pPr>
              <w:pStyle w:val="10"/>
              <w:spacing w:line="360" w:lineRule="auto"/>
              <w:ind w:left="0" w:leftChars="0"/>
              <w:jc w:val="center"/>
              <w:rPr>
                <w:rFonts w:ascii="宋体" w:hAnsi="宋体" w:eastAsia="宋体" w:cs="仿宋"/>
                <w:sz w:val="24"/>
                <w:szCs w:val="24"/>
              </w:rPr>
            </w:pPr>
            <w:r>
              <w:rPr>
                <w:rFonts w:hint="eastAsia" w:ascii="宋体" w:hAnsi="宋体" w:eastAsia="宋体" w:cs="仿宋"/>
                <w:sz w:val="24"/>
                <w:szCs w:val="24"/>
              </w:rPr>
              <w:t>2</w:t>
            </w:r>
          </w:p>
        </w:tc>
        <w:tc>
          <w:tcPr>
            <w:tcW w:w="2040" w:type="dxa"/>
            <w:noWrap w:val="0"/>
            <w:vAlign w:val="center"/>
          </w:tcPr>
          <w:p w14:paraId="042A27B5">
            <w:pPr>
              <w:pStyle w:val="10"/>
              <w:spacing w:line="360" w:lineRule="auto"/>
              <w:ind w:left="0" w:leftChars="0"/>
              <w:jc w:val="center"/>
              <w:rPr>
                <w:rFonts w:ascii="宋体" w:hAnsi="宋体" w:eastAsia="宋体" w:cs="仿宋"/>
                <w:sz w:val="24"/>
                <w:szCs w:val="24"/>
              </w:rPr>
            </w:pPr>
            <w:r>
              <w:rPr>
                <w:rFonts w:hint="eastAsia" w:ascii="宋体" w:hAnsi="宋体" w:eastAsia="宋体" w:cs="仿宋"/>
                <w:sz w:val="24"/>
                <w:szCs w:val="24"/>
              </w:rPr>
              <w:t>学期卡</w:t>
            </w:r>
          </w:p>
        </w:tc>
        <w:tc>
          <w:tcPr>
            <w:tcW w:w="5015" w:type="dxa"/>
            <w:noWrap w:val="0"/>
            <w:vAlign w:val="center"/>
          </w:tcPr>
          <w:p w14:paraId="41FCE448">
            <w:pPr>
              <w:keepNext w:val="0"/>
              <w:keepLines w:val="0"/>
              <w:widowControl/>
              <w:suppressLineNumbers w:val="0"/>
              <w:jc w:val="center"/>
              <w:rPr>
                <w:rFonts w:hint="eastAsia" w:ascii="宋体" w:hAnsi="宋体" w:eastAsia="宋体" w:cs="仿宋"/>
                <w:b/>
                <w:bCs/>
                <w:sz w:val="24"/>
                <w:szCs w:val="24"/>
              </w:rPr>
            </w:pPr>
          </w:p>
          <w:p w14:paraId="0C8F77BC">
            <w:pPr>
              <w:keepNext w:val="0"/>
              <w:keepLines w:val="0"/>
              <w:widowControl/>
              <w:suppressLineNumbers w:val="0"/>
              <w:jc w:val="center"/>
              <w:rPr>
                <w:color w:val="FF0000"/>
              </w:rPr>
            </w:pPr>
            <w:r>
              <w:rPr>
                <w:rFonts w:hint="eastAsia" w:ascii="宋体" w:hAnsi="宋体" w:eastAsia="宋体" w:cs="仿宋"/>
                <w:b/>
                <w:bCs/>
                <w:sz w:val="24"/>
                <w:szCs w:val="24"/>
              </w:rPr>
              <w:t>24元/学期</w:t>
            </w:r>
            <w:r>
              <w:rPr>
                <w:rFonts w:hint="eastAsia" w:ascii="宋体" w:hAnsi="宋体" w:eastAsia="宋体" w:cs="宋体"/>
                <w:color w:val="FF0000"/>
                <w:kern w:val="0"/>
                <w:sz w:val="24"/>
                <w:szCs w:val="24"/>
                <w:lang w:val="en-US" w:eastAsia="zh-CN" w:bidi="ar"/>
              </w:rPr>
              <w:t>（以学校实际开学放假时间为准）</w:t>
            </w:r>
          </w:p>
          <w:p w14:paraId="2468DAD3">
            <w:pPr>
              <w:pStyle w:val="10"/>
              <w:spacing w:line="360" w:lineRule="auto"/>
              <w:ind w:left="0" w:leftChars="0"/>
              <w:jc w:val="center"/>
              <w:rPr>
                <w:rFonts w:ascii="宋体" w:hAnsi="宋体" w:eastAsia="宋体" w:cs="仿宋"/>
                <w:b/>
                <w:bCs/>
                <w:sz w:val="24"/>
                <w:szCs w:val="24"/>
              </w:rPr>
            </w:pPr>
          </w:p>
        </w:tc>
      </w:tr>
    </w:tbl>
    <w:p w14:paraId="24DECBFD">
      <w:pPr>
        <w:spacing w:line="360" w:lineRule="auto"/>
        <w:ind w:firstLine="437"/>
        <w:rPr>
          <w:rFonts w:hint="eastAsia" w:ascii="宋体" w:hAnsi="宋体" w:eastAsia="宋体" w:cs="仿宋"/>
          <w:b/>
          <w:sz w:val="24"/>
          <w:szCs w:val="24"/>
        </w:rPr>
      </w:pPr>
      <w:r>
        <w:rPr>
          <w:rFonts w:hint="eastAsia" w:ascii="宋体" w:hAnsi="宋体" w:eastAsia="宋体" w:cs="仿宋"/>
          <w:bCs/>
          <w:sz w:val="24"/>
          <w:szCs w:val="24"/>
        </w:rPr>
        <w:t>投标人报价最多精确到小数点后2位，如有不符，价格分评审及合同签订时按四舍五入至小数点后2位处理。为减少师生使用后不还车的情况，月卡和学期卡实行每次骑行60分钟内免费，超时按单次骑行超出部分标准收费，每日、每月和每学期骑行次数不限。投标人报价包含制作、人员工资、税费、设备使用等一切费用，</w:t>
      </w:r>
      <w:r>
        <w:rPr>
          <w:rFonts w:hint="eastAsia" w:ascii="宋体" w:hAnsi="宋体" w:eastAsia="宋体" w:cs="仿宋"/>
          <w:b/>
          <w:sz w:val="24"/>
          <w:szCs w:val="24"/>
        </w:rPr>
        <w:t>各类型报价不得超过对应最高限价，否则投标无效。</w:t>
      </w:r>
    </w:p>
    <w:p w14:paraId="375C7781">
      <w:pPr>
        <w:spacing w:line="360" w:lineRule="auto"/>
        <w:ind w:firstLine="482" w:firstLineChars="200"/>
        <w:rPr>
          <w:rFonts w:ascii="宋体" w:hAnsi="宋体" w:eastAsia="宋体" w:cs="Arial"/>
          <w:b/>
          <w:sz w:val="24"/>
          <w:szCs w:val="24"/>
        </w:rPr>
      </w:pPr>
      <w:bookmarkStart w:id="12" w:name="OLE_LINK4"/>
      <w:bookmarkStart w:id="13" w:name="OLE_LINK3"/>
      <w:r>
        <w:rPr>
          <w:rFonts w:hint="eastAsia" w:ascii="宋体" w:hAnsi="宋体" w:eastAsia="宋体" w:cs="Arial"/>
          <w:b/>
          <w:sz w:val="24"/>
          <w:szCs w:val="24"/>
        </w:rPr>
        <w:t>四、共享单车日常考核评分标准</w:t>
      </w:r>
    </w:p>
    <w:p w14:paraId="03490DE7">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本考核标准满分为100分，采购人有权根据实际情况对考核细则进行修订、补充并组织考核。</w:t>
      </w:r>
    </w:p>
    <w:p w14:paraId="131276B2">
      <w:pPr>
        <w:spacing w:line="360" w:lineRule="auto"/>
        <w:ind w:firstLine="482" w:firstLineChars="200"/>
        <w:rPr>
          <w:rFonts w:ascii="宋体" w:hAnsi="宋体" w:eastAsia="宋体" w:cs="仿宋"/>
          <w:b/>
          <w:sz w:val="24"/>
          <w:szCs w:val="24"/>
        </w:rPr>
      </w:pPr>
      <w:r>
        <w:rPr>
          <w:rFonts w:hint="eastAsia" w:ascii="宋体" w:hAnsi="宋体" w:eastAsia="宋体" w:cs="仿宋"/>
          <w:b/>
          <w:sz w:val="24"/>
          <w:szCs w:val="24"/>
        </w:rPr>
        <w:t>（一）安徽医科大学杏林路校区</w:t>
      </w:r>
      <w:r>
        <w:rPr>
          <w:rFonts w:hint="eastAsia" w:ascii="宋体" w:hAnsi="宋体" w:eastAsia="宋体" w:cs="仿宋"/>
          <w:b/>
          <w:color w:val="000000"/>
          <w:sz w:val="24"/>
          <w:szCs w:val="24"/>
        </w:rPr>
        <w:t>共享单车服务考核办法</w:t>
      </w:r>
    </w:p>
    <w:tbl>
      <w:tblPr>
        <w:tblStyle w:val="6"/>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64"/>
        <w:gridCol w:w="588"/>
        <w:gridCol w:w="156"/>
        <w:gridCol w:w="690"/>
        <w:gridCol w:w="2704"/>
        <w:gridCol w:w="818"/>
        <w:gridCol w:w="1241"/>
        <w:gridCol w:w="1236"/>
        <w:gridCol w:w="624"/>
      </w:tblGrid>
      <w:tr w14:paraId="3996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425" w:type="dxa"/>
            <w:gridSpan w:val="5"/>
            <w:noWrap w:val="0"/>
            <w:vAlign w:val="center"/>
          </w:tcPr>
          <w:p w14:paraId="0F6A720D">
            <w:pPr>
              <w:spacing w:line="360" w:lineRule="auto"/>
              <w:jc w:val="center"/>
              <w:rPr>
                <w:rFonts w:ascii="宋体" w:hAnsi="宋体" w:eastAsia="宋体" w:cs="仿宋"/>
                <w:color w:val="000000"/>
                <w:sz w:val="24"/>
                <w:szCs w:val="24"/>
              </w:rPr>
            </w:pPr>
            <w:r>
              <w:rPr>
                <w:rFonts w:hint="eastAsia" w:ascii="宋体" w:hAnsi="宋体" w:eastAsia="宋体" w:cs="仿宋"/>
                <w:color w:val="000000"/>
                <w:kern w:val="0"/>
                <w:sz w:val="24"/>
                <w:szCs w:val="24"/>
                <w:lang w:bidi="ar"/>
              </w:rPr>
              <w:t>服务企业名称(乙方)</w:t>
            </w:r>
          </w:p>
        </w:tc>
        <w:tc>
          <w:tcPr>
            <w:tcW w:w="3522" w:type="dxa"/>
            <w:gridSpan w:val="2"/>
            <w:noWrap w:val="0"/>
            <w:vAlign w:val="center"/>
          </w:tcPr>
          <w:p w14:paraId="7FCE1F01">
            <w:pPr>
              <w:spacing w:line="360" w:lineRule="auto"/>
              <w:jc w:val="center"/>
              <w:rPr>
                <w:rFonts w:ascii="宋体" w:hAnsi="宋体" w:eastAsia="宋体" w:cs="仿宋"/>
                <w:color w:val="000000"/>
                <w:kern w:val="0"/>
                <w:sz w:val="24"/>
                <w:szCs w:val="24"/>
                <w:lang w:bidi="ar"/>
              </w:rPr>
            </w:pPr>
          </w:p>
        </w:tc>
        <w:tc>
          <w:tcPr>
            <w:tcW w:w="1241" w:type="dxa"/>
            <w:noWrap w:val="0"/>
            <w:vAlign w:val="center"/>
          </w:tcPr>
          <w:p w14:paraId="2B8436C1">
            <w:pPr>
              <w:spacing w:line="360" w:lineRule="auto"/>
              <w:jc w:val="center"/>
              <w:rPr>
                <w:rFonts w:ascii="宋体" w:hAnsi="宋体" w:eastAsia="宋体" w:cs="仿宋"/>
                <w:color w:val="000000"/>
                <w:kern w:val="0"/>
                <w:sz w:val="24"/>
                <w:szCs w:val="24"/>
                <w:lang w:bidi="ar"/>
              </w:rPr>
            </w:pPr>
            <w:r>
              <w:rPr>
                <w:rFonts w:hint="eastAsia" w:ascii="宋体" w:hAnsi="宋体" w:eastAsia="宋体" w:cs="仿宋"/>
                <w:color w:val="000000"/>
                <w:kern w:val="0"/>
                <w:sz w:val="24"/>
                <w:szCs w:val="24"/>
                <w:lang w:bidi="ar"/>
              </w:rPr>
              <w:t>考评时间</w:t>
            </w:r>
          </w:p>
        </w:tc>
        <w:tc>
          <w:tcPr>
            <w:tcW w:w="1860" w:type="dxa"/>
            <w:gridSpan w:val="2"/>
            <w:noWrap w:val="0"/>
            <w:vAlign w:val="center"/>
          </w:tcPr>
          <w:p w14:paraId="305CEEC8">
            <w:pPr>
              <w:spacing w:line="360" w:lineRule="auto"/>
              <w:jc w:val="center"/>
              <w:rPr>
                <w:rFonts w:ascii="宋体" w:hAnsi="宋体" w:eastAsia="宋体" w:cs="仿宋"/>
                <w:color w:val="000000"/>
                <w:kern w:val="0"/>
                <w:sz w:val="24"/>
                <w:szCs w:val="24"/>
                <w:lang w:bidi="ar"/>
              </w:rPr>
            </w:pPr>
          </w:p>
        </w:tc>
      </w:tr>
      <w:tr w14:paraId="043D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7" w:type="dxa"/>
            <w:noWrap w:val="0"/>
            <w:vAlign w:val="center"/>
          </w:tcPr>
          <w:p w14:paraId="2730CADF">
            <w:pPr>
              <w:widowControl/>
              <w:spacing w:line="360" w:lineRule="auto"/>
              <w:jc w:val="center"/>
              <w:textAlignment w:val="center"/>
              <w:rPr>
                <w:rFonts w:ascii="宋体" w:hAnsi="宋体" w:eastAsia="宋体" w:cs="仿宋"/>
                <w:b/>
                <w:bCs/>
                <w:color w:val="333333"/>
                <w:kern w:val="0"/>
                <w:sz w:val="24"/>
                <w:szCs w:val="24"/>
                <w:lang w:bidi="ar"/>
              </w:rPr>
            </w:pPr>
          </w:p>
        </w:tc>
        <w:tc>
          <w:tcPr>
            <w:tcW w:w="564" w:type="dxa"/>
            <w:noWrap w:val="0"/>
            <w:vAlign w:val="center"/>
          </w:tcPr>
          <w:p w14:paraId="37A211B2">
            <w:pPr>
              <w:widowControl/>
              <w:spacing w:line="360" w:lineRule="auto"/>
              <w:jc w:val="center"/>
              <w:textAlignment w:val="center"/>
              <w:rPr>
                <w:rFonts w:ascii="宋体" w:hAnsi="宋体" w:eastAsia="宋体" w:cs="仿宋"/>
                <w:b/>
                <w:bCs/>
                <w:color w:val="333333"/>
                <w:kern w:val="0"/>
                <w:sz w:val="24"/>
                <w:szCs w:val="24"/>
                <w:lang w:bidi="ar"/>
              </w:rPr>
            </w:pPr>
            <w:r>
              <w:rPr>
                <w:rFonts w:hint="eastAsia" w:ascii="宋体" w:hAnsi="宋体" w:eastAsia="宋体" w:cs="仿宋"/>
                <w:b/>
                <w:bCs/>
                <w:color w:val="333333"/>
                <w:kern w:val="0"/>
                <w:sz w:val="24"/>
                <w:szCs w:val="24"/>
                <w:lang w:bidi="ar"/>
              </w:rPr>
              <w:t>序号</w:t>
            </w:r>
          </w:p>
        </w:tc>
        <w:tc>
          <w:tcPr>
            <w:tcW w:w="744" w:type="dxa"/>
            <w:gridSpan w:val="2"/>
            <w:noWrap w:val="0"/>
            <w:vAlign w:val="center"/>
          </w:tcPr>
          <w:p w14:paraId="7A891E80">
            <w:pPr>
              <w:widowControl/>
              <w:spacing w:line="360" w:lineRule="auto"/>
              <w:jc w:val="center"/>
              <w:textAlignment w:val="center"/>
              <w:rPr>
                <w:rFonts w:ascii="宋体" w:hAnsi="宋体" w:eastAsia="宋体" w:cs="仿宋"/>
                <w:b/>
                <w:bCs/>
                <w:color w:val="333333"/>
                <w:kern w:val="0"/>
                <w:sz w:val="24"/>
                <w:szCs w:val="24"/>
                <w:lang w:bidi="ar"/>
              </w:rPr>
            </w:pPr>
            <w:r>
              <w:rPr>
                <w:rFonts w:hint="eastAsia" w:ascii="宋体" w:hAnsi="宋体" w:eastAsia="宋体" w:cs="仿宋"/>
                <w:b/>
                <w:bCs/>
                <w:color w:val="333333"/>
                <w:kern w:val="0"/>
                <w:sz w:val="24"/>
                <w:szCs w:val="24"/>
                <w:lang w:bidi="ar"/>
              </w:rPr>
              <w:t>指标</w:t>
            </w:r>
          </w:p>
        </w:tc>
        <w:tc>
          <w:tcPr>
            <w:tcW w:w="3394" w:type="dxa"/>
            <w:gridSpan w:val="2"/>
            <w:noWrap w:val="0"/>
            <w:vAlign w:val="center"/>
          </w:tcPr>
          <w:p w14:paraId="411DDE27">
            <w:pPr>
              <w:widowControl/>
              <w:spacing w:line="360" w:lineRule="auto"/>
              <w:jc w:val="center"/>
              <w:textAlignment w:val="center"/>
              <w:rPr>
                <w:rFonts w:ascii="宋体" w:hAnsi="宋体" w:eastAsia="宋体" w:cs="仿宋"/>
                <w:b/>
                <w:bCs/>
                <w:color w:val="333333"/>
                <w:kern w:val="0"/>
                <w:sz w:val="24"/>
                <w:szCs w:val="24"/>
                <w:lang w:bidi="ar"/>
              </w:rPr>
            </w:pPr>
            <w:r>
              <w:rPr>
                <w:rFonts w:hint="eastAsia" w:ascii="宋体" w:hAnsi="宋体" w:eastAsia="宋体" w:cs="仿宋"/>
                <w:b/>
                <w:bCs/>
                <w:color w:val="333333"/>
                <w:kern w:val="0"/>
                <w:sz w:val="24"/>
                <w:szCs w:val="24"/>
                <w:lang w:bidi="ar"/>
              </w:rPr>
              <w:t>考评内容</w:t>
            </w:r>
          </w:p>
        </w:tc>
        <w:tc>
          <w:tcPr>
            <w:tcW w:w="3295" w:type="dxa"/>
            <w:gridSpan w:val="3"/>
            <w:noWrap w:val="0"/>
            <w:vAlign w:val="center"/>
          </w:tcPr>
          <w:p w14:paraId="2A84667E">
            <w:pPr>
              <w:widowControl/>
              <w:spacing w:line="360" w:lineRule="auto"/>
              <w:jc w:val="center"/>
              <w:textAlignment w:val="center"/>
              <w:rPr>
                <w:rFonts w:ascii="宋体" w:hAnsi="宋体" w:eastAsia="宋体" w:cs="仿宋"/>
                <w:b/>
                <w:bCs/>
                <w:color w:val="333333"/>
                <w:kern w:val="0"/>
                <w:sz w:val="24"/>
                <w:szCs w:val="24"/>
                <w:lang w:bidi="ar"/>
              </w:rPr>
            </w:pPr>
            <w:r>
              <w:rPr>
                <w:rFonts w:hint="eastAsia" w:ascii="宋体" w:hAnsi="宋体" w:eastAsia="宋体" w:cs="仿宋"/>
                <w:b/>
                <w:bCs/>
                <w:color w:val="333333"/>
                <w:kern w:val="0"/>
                <w:sz w:val="24"/>
                <w:szCs w:val="24"/>
                <w:lang w:bidi="ar"/>
              </w:rPr>
              <w:t>评分标准</w:t>
            </w:r>
          </w:p>
        </w:tc>
        <w:tc>
          <w:tcPr>
            <w:tcW w:w="624" w:type="dxa"/>
            <w:noWrap w:val="0"/>
            <w:vAlign w:val="center"/>
          </w:tcPr>
          <w:p w14:paraId="5E9DD56C">
            <w:pPr>
              <w:widowControl/>
              <w:spacing w:line="360" w:lineRule="auto"/>
              <w:jc w:val="center"/>
              <w:textAlignment w:val="center"/>
              <w:rPr>
                <w:rFonts w:ascii="宋体" w:hAnsi="宋体" w:eastAsia="宋体" w:cs="仿宋"/>
                <w:b/>
                <w:bCs/>
                <w:color w:val="333333"/>
                <w:kern w:val="0"/>
                <w:sz w:val="24"/>
                <w:szCs w:val="24"/>
                <w:lang w:bidi="ar"/>
              </w:rPr>
            </w:pPr>
            <w:r>
              <w:rPr>
                <w:rFonts w:hint="eastAsia" w:ascii="宋体" w:hAnsi="宋体" w:eastAsia="宋体" w:cs="仿宋"/>
                <w:b/>
                <w:bCs/>
                <w:color w:val="333333"/>
                <w:kern w:val="0"/>
                <w:sz w:val="24"/>
                <w:szCs w:val="24"/>
                <w:lang w:bidi="ar"/>
              </w:rPr>
              <w:t>分数</w:t>
            </w:r>
          </w:p>
        </w:tc>
      </w:tr>
      <w:tr w14:paraId="6379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7" w:type="dxa"/>
            <w:vMerge w:val="restart"/>
            <w:noWrap w:val="0"/>
            <w:vAlign w:val="center"/>
          </w:tcPr>
          <w:p w14:paraId="2F4B860F">
            <w:pPr>
              <w:widowControl/>
              <w:spacing w:line="360" w:lineRule="auto"/>
              <w:jc w:val="center"/>
              <w:textAlignment w:val="center"/>
              <w:rPr>
                <w:rFonts w:ascii="宋体" w:hAnsi="宋体" w:eastAsia="宋体" w:cs="仿宋"/>
                <w:color w:val="000000"/>
                <w:kern w:val="0"/>
                <w:sz w:val="24"/>
                <w:szCs w:val="24"/>
                <w:lang w:bidi="ar"/>
              </w:rPr>
            </w:pPr>
            <w:r>
              <w:rPr>
                <w:rFonts w:hint="eastAsia" w:ascii="宋体" w:hAnsi="宋体" w:eastAsia="宋体" w:cs="仿宋"/>
                <w:color w:val="000000"/>
                <w:kern w:val="0"/>
                <w:sz w:val="24"/>
                <w:szCs w:val="24"/>
                <w:lang w:bidi="ar"/>
              </w:rPr>
              <w:t>扣分项</w:t>
            </w:r>
          </w:p>
        </w:tc>
        <w:tc>
          <w:tcPr>
            <w:tcW w:w="564" w:type="dxa"/>
            <w:noWrap w:val="0"/>
            <w:vAlign w:val="center"/>
          </w:tcPr>
          <w:p w14:paraId="22CC0AB2">
            <w:pPr>
              <w:widowControl/>
              <w:spacing w:line="360" w:lineRule="auto"/>
              <w:jc w:val="center"/>
              <w:textAlignment w:val="center"/>
              <w:rPr>
                <w:rFonts w:ascii="宋体" w:hAnsi="宋体" w:eastAsia="宋体" w:cs="仿宋"/>
                <w:color w:val="000000"/>
                <w:kern w:val="0"/>
                <w:sz w:val="24"/>
                <w:szCs w:val="24"/>
                <w:lang w:bidi="ar"/>
              </w:rPr>
            </w:pPr>
            <w:r>
              <w:rPr>
                <w:rFonts w:hint="eastAsia" w:ascii="宋体" w:hAnsi="宋体" w:eastAsia="宋体" w:cs="仿宋"/>
                <w:color w:val="000000"/>
                <w:kern w:val="0"/>
                <w:sz w:val="24"/>
                <w:szCs w:val="24"/>
                <w:lang w:bidi="ar"/>
              </w:rPr>
              <w:t>1</w:t>
            </w:r>
          </w:p>
        </w:tc>
        <w:tc>
          <w:tcPr>
            <w:tcW w:w="744" w:type="dxa"/>
            <w:gridSpan w:val="2"/>
            <w:vMerge w:val="restart"/>
            <w:noWrap w:val="0"/>
            <w:vAlign w:val="center"/>
          </w:tcPr>
          <w:p w14:paraId="3846B253">
            <w:pPr>
              <w:widowControl/>
              <w:spacing w:line="360" w:lineRule="auto"/>
              <w:jc w:val="center"/>
              <w:textAlignment w:val="center"/>
              <w:rPr>
                <w:rFonts w:ascii="宋体" w:hAnsi="宋体" w:eastAsia="宋体" w:cs="仿宋"/>
                <w:color w:val="000000"/>
                <w:kern w:val="0"/>
                <w:sz w:val="24"/>
                <w:szCs w:val="24"/>
                <w:lang w:bidi="ar"/>
              </w:rPr>
            </w:pPr>
            <w:r>
              <w:rPr>
                <w:rFonts w:hint="eastAsia" w:ascii="宋体" w:hAnsi="宋体" w:eastAsia="宋体" w:cs="仿宋"/>
                <w:color w:val="333333"/>
                <w:kern w:val="0"/>
                <w:sz w:val="24"/>
                <w:szCs w:val="24"/>
                <w:lang w:bidi="ar"/>
              </w:rPr>
              <w:t>运营企业经营条件20分</w:t>
            </w:r>
          </w:p>
        </w:tc>
        <w:tc>
          <w:tcPr>
            <w:tcW w:w="3394" w:type="dxa"/>
            <w:gridSpan w:val="2"/>
            <w:noWrap w:val="0"/>
            <w:vAlign w:val="center"/>
          </w:tcPr>
          <w:p w14:paraId="1BB1641A">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乙方首次投放的单车须为合格产品，技术性能应符合现行国家和行业标准。（1</w:t>
            </w:r>
            <w:r>
              <w:rPr>
                <w:rFonts w:ascii="宋体" w:hAnsi="宋体" w:eastAsia="宋体" w:cs="仿宋"/>
                <w:color w:val="333333"/>
                <w:kern w:val="0"/>
                <w:sz w:val="24"/>
                <w:szCs w:val="24"/>
                <w:lang w:bidi="ar"/>
              </w:rPr>
              <w:t>0</w:t>
            </w:r>
            <w:r>
              <w:rPr>
                <w:rFonts w:hint="eastAsia" w:ascii="宋体" w:hAnsi="宋体" w:eastAsia="宋体" w:cs="仿宋"/>
                <w:color w:val="333333"/>
                <w:kern w:val="0"/>
                <w:sz w:val="24"/>
                <w:szCs w:val="24"/>
                <w:lang w:bidi="ar"/>
              </w:rPr>
              <w:t>分）</w:t>
            </w:r>
          </w:p>
        </w:tc>
        <w:tc>
          <w:tcPr>
            <w:tcW w:w="3295" w:type="dxa"/>
            <w:gridSpan w:val="3"/>
            <w:noWrap w:val="0"/>
            <w:vAlign w:val="center"/>
          </w:tcPr>
          <w:p w14:paraId="65E7515E">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发现残旧、破损、未符合国家安全技术规范和行业标准车辆的，每发现一次扣除</w:t>
            </w:r>
            <w:r>
              <w:rPr>
                <w:rFonts w:ascii="宋体" w:hAnsi="宋体" w:eastAsia="宋体" w:cs="仿宋"/>
                <w:color w:val="333333"/>
                <w:kern w:val="0"/>
                <w:sz w:val="24"/>
                <w:szCs w:val="24"/>
                <w:lang w:bidi="ar"/>
              </w:rPr>
              <w:t>5</w:t>
            </w:r>
            <w:r>
              <w:rPr>
                <w:rFonts w:hint="eastAsia" w:ascii="宋体" w:hAnsi="宋体" w:eastAsia="宋体" w:cs="仿宋"/>
                <w:color w:val="333333"/>
                <w:kern w:val="0"/>
                <w:sz w:val="24"/>
                <w:szCs w:val="24"/>
                <w:lang w:bidi="ar"/>
              </w:rPr>
              <w:t>分，扣完本项分值为止。</w:t>
            </w:r>
          </w:p>
        </w:tc>
        <w:tc>
          <w:tcPr>
            <w:tcW w:w="624" w:type="dxa"/>
            <w:noWrap w:val="0"/>
            <w:vAlign w:val="center"/>
          </w:tcPr>
          <w:p w14:paraId="0E476A2B">
            <w:pPr>
              <w:widowControl/>
              <w:spacing w:line="360" w:lineRule="auto"/>
              <w:jc w:val="center"/>
              <w:textAlignment w:val="center"/>
              <w:rPr>
                <w:rFonts w:ascii="宋体" w:hAnsi="宋体" w:eastAsia="宋体" w:cs="仿宋"/>
                <w:color w:val="000000"/>
                <w:kern w:val="0"/>
                <w:sz w:val="24"/>
                <w:szCs w:val="24"/>
                <w:lang w:bidi="ar"/>
              </w:rPr>
            </w:pPr>
          </w:p>
        </w:tc>
      </w:tr>
      <w:tr w14:paraId="5F53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27" w:type="dxa"/>
            <w:vMerge w:val="continue"/>
            <w:noWrap w:val="0"/>
            <w:vAlign w:val="center"/>
          </w:tcPr>
          <w:p w14:paraId="594D6B5A">
            <w:pPr>
              <w:widowControl/>
              <w:spacing w:line="360" w:lineRule="auto"/>
              <w:jc w:val="center"/>
              <w:textAlignment w:val="center"/>
              <w:rPr>
                <w:rFonts w:ascii="宋体" w:hAnsi="宋体" w:eastAsia="宋体" w:cs="仿宋"/>
                <w:color w:val="000000"/>
                <w:kern w:val="0"/>
                <w:sz w:val="24"/>
                <w:szCs w:val="24"/>
                <w:lang w:bidi="ar"/>
              </w:rPr>
            </w:pPr>
          </w:p>
        </w:tc>
        <w:tc>
          <w:tcPr>
            <w:tcW w:w="564" w:type="dxa"/>
            <w:noWrap w:val="0"/>
            <w:vAlign w:val="center"/>
          </w:tcPr>
          <w:p w14:paraId="6C4549A6">
            <w:pPr>
              <w:widowControl/>
              <w:spacing w:line="360" w:lineRule="auto"/>
              <w:jc w:val="center"/>
              <w:textAlignment w:val="center"/>
              <w:rPr>
                <w:rFonts w:ascii="宋体" w:hAnsi="宋体" w:eastAsia="宋体" w:cs="仿宋"/>
                <w:color w:val="000000"/>
                <w:kern w:val="0"/>
                <w:sz w:val="24"/>
                <w:szCs w:val="24"/>
                <w:lang w:bidi="ar"/>
              </w:rPr>
            </w:pPr>
            <w:r>
              <w:rPr>
                <w:rFonts w:ascii="宋体" w:hAnsi="宋体" w:eastAsia="宋体" w:cs="仿宋"/>
                <w:color w:val="000000"/>
                <w:kern w:val="0"/>
                <w:sz w:val="24"/>
                <w:szCs w:val="24"/>
                <w:lang w:bidi="ar"/>
              </w:rPr>
              <w:t>2</w:t>
            </w:r>
          </w:p>
        </w:tc>
        <w:tc>
          <w:tcPr>
            <w:tcW w:w="744" w:type="dxa"/>
            <w:gridSpan w:val="2"/>
            <w:vMerge w:val="continue"/>
            <w:noWrap w:val="0"/>
            <w:vAlign w:val="center"/>
          </w:tcPr>
          <w:p w14:paraId="5F054B29">
            <w:pPr>
              <w:widowControl/>
              <w:spacing w:line="360" w:lineRule="auto"/>
              <w:jc w:val="center"/>
              <w:textAlignment w:val="center"/>
              <w:rPr>
                <w:rFonts w:ascii="宋体" w:hAnsi="宋体" w:eastAsia="宋体" w:cs="仿宋"/>
                <w:color w:val="000000"/>
                <w:kern w:val="0"/>
                <w:sz w:val="24"/>
                <w:szCs w:val="24"/>
                <w:lang w:bidi="ar"/>
              </w:rPr>
            </w:pPr>
          </w:p>
        </w:tc>
        <w:tc>
          <w:tcPr>
            <w:tcW w:w="3394" w:type="dxa"/>
            <w:gridSpan w:val="2"/>
            <w:noWrap w:val="0"/>
            <w:vAlign w:val="center"/>
          </w:tcPr>
          <w:p w14:paraId="4F3F44D5">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乙方须配备线下专职管理和运维人员，具备线上线下服务能力，并能及时完成调拨与调度。（1</w:t>
            </w:r>
            <w:r>
              <w:rPr>
                <w:rFonts w:ascii="宋体" w:hAnsi="宋体" w:eastAsia="宋体" w:cs="仿宋"/>
                <w:color w:val="333333"/>
                <w:kern w:val="0"/>
                <w:sz w:val="24"/>
                <w:szCs w:val="24"/>
                <w:lang w:bidi="ar"/>
              </w:rPr>
              <w:t>0</w:t>
            </w:r>
            <w:r>
              <w:rPr>
                <w:rFonts w:hint="eastAsia" w:ascii="宋体" w:hAnsi="宋体" w:eastAsia="宋体" w:cs="仿宋"/>
                <w:color w:val="333333"/>
                <w:kern w:val="0"/>
                <w:sz w:val="24"/>
                <w:szCs w:val="24"/>
                <w:lang w:bidi="ar"/>
              </w:rPr>
              <w:t>分）</w:t>
            </w:r>
          </w:p>
        </w:tc>
        <w:tc>
          <w:tcPr>
            <w:tcW w:w="3295" w:type="dxa"/>
            <w:gridSpan w:val="3"/>
            <w:noWrap w:val="0"/>
            <w:vAlign w:val="center"/>
          </w:tcPr>
          <w:p w14:paraId="50A8E5E4">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未提供相关证明材料或不达标的，每项扣5分。</w:t>
            </w:r>
          </w:p>
        </w:tc>
        <w:tc>
          <w:tcPr>
            <w:tcW w:w="624" w:type="dxa"/>
            <w:noWrap w:val="0"/>
            <w:vAlign w:val="center"/>
          </w:tcPr>
          <w:p w14:paraId="59901883">
            <w:pPr>
              <w:widowControl/>
              <w:spacing w:line="360" w:lineRule="auto"/>
              <w:jc w:val="center"/>
              <w:textAlignment w:val="center"/>
              <w:rPr>
                <w:rFonts w:ascii="宋体" w:hAnsi="宋体" w:eastAsia="宋体" w:cs="仿宋"/>
                <w:color w:val="000000"/>
                <w:kern w:val="0"/>
                <w:sz w:val="24"/>
                <w:szCs w:val="24"/>
                <w:lang w:bidi="ar"/>
              </w:rPr>
            </w:pPr>
          </w:p>
        </w:tc>
      </w:tr>
      <w:tr w14:paraId="780A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427" w:type="dxa"/>
            <w:vMerge w:val="continue"/>
            <w:noWrap w:val="0"/>
            <w:vAlign w:val="center"/>
          </w:tcPr>
          <w:p w14:paraId="66A504DC">
            <w:pPr>
              <w:widowControl/>
              <w:spacing w:line="360" w:lineRule="auto"/>
              <w:jc w:val="center"/>
              <w:textAlignment w:val="center"/>
              <w:rPr>
                <w:rFonts w:ascii="宋体" w:hAnsi="宋体" w:eastAsia="宋体" w:cs="仿宋"/>
                <w:color w:val="000000"/>
                <w:kern w:val="0"/>
                <w:sz w:val="24"/>
                <w:szCs w:val="24"/>
                <w:lang w:bidi="ar"/>
              </w:rPr>
            </w:pPr>
          </w:p>
        </w:tc>
        <w:tc>
          <w:tcPr>
            <w:tcW w:w="564" w:type="dxa"/>
            <w:noWrap w:val="0"/>
            <w:vAlign w:val="center"/>
          </w:tcPr>
          <w:p w14:paraId="0B78814D">
            <w:pPr>
              <w:widowControl/>
              <w:spacing w:line="360" w:lineRule="auto"/>
              <w:jc w:val="center"/>
              <w:textAlignment w:val="center"/>
              <w:rPr>
                <w:rFonts w:ascii="宋体" w:hAnsi="宋体" w:eastAsia="宋体" w:cs="仿宋"/>
                <w:color w:val="000000"/>
                <w:kern w:val="0"/>
                <w:sz w:val="24"/>
                <w:szCs w:val="24"/>
                <w:lang w:bidi="ar"/>
              </w:rPr>
            </w:pPr>
            <w:r>
              <w:rPr>
                <w:rFonts w:ascii="宋体" w:hAnsi="宋体" w:eastAsia="宋体" w:cs="仿宋"/>
                <w:color w:val="000000"/>
                <w:kern w:val="0"/>
                <w:sz w:val="24"/>
                <w:szCs w:val="24"/>
                <w:lang w:bidi="ar"/>
              </w:rPr>
              <w:t>3</w:t>
            </w:r>
          </w:p>
        </w:tc>
        <w:tc>
          <w:tcPr>
            <w:tcW w:w="744" w:type="dxa"/>
            <w:gridSpan w:val="2"/>
            <w:vMerge w:val="restart"/>
            <w:noWrap w:val="0"/>
            <w:vAlign w:val="center"/>
          </w:tcPr>
          <w:p w14:paraId="0B38F45C">
            <w:pPr>
              <w:widowControl/>
              <w:spacing w:line="360" w:lineRule="auto"/>
              <w:jc w:val="center"/>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管理服务制度50分</w:t>
            </w:r>
          </w:p>
        </w:tc>
        <w:tc>
          <w:tcPr>
            <w:tcW w:w="3394" w:type="dxa"/>
            <w:gridSpan w:val="2"/>
            <w:noWrap w:val="0"/>
            <w:vAlign w:val="center"/>
          </w:tcPr>
          <w:p w14:paraId="1B81AA72">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建立并落实服务质量保障制度、车辆运行维护制度、停放秩序管理制度、故障车辆回收管理制度、安全措施与紧急情况处置制度、服务纠纷及投诉处理制度。（1</w:t>
            </w:r>
            <w:r>
              <w:rPr>
                <w:rFonts w:ascii="宋体" w:hAnsi="宋体" w:eastAsia="宋体" w:cs="仿宋"/>
                <w:color w:val="333333"/>
                <w:kern w:val="0"/>
                <w:sz w:val="24"/>
                <w:szCs w:val="24"/>
                <w:lang w:bidi="ar"/>
              </w:rPr>
              <w:t>0</w:t>
            </w:r>
            <w:r>
              <w:rPr>
                <w:rFonts w:hint="eastAsia" w:ascii="宋体" w:hAnsi="宋体" w:eastAsia="宋体" w:cs="仿宋"/>
                <w:color w:val="333333"/>
                <w:kern w:val="0"/>
                <w:sz w:val="24"/>
                <w:szCs w:val="24"/>
                <w:lang w:bidi="ar"/>
              </w:rPr>
              <w:t>分）</w:t>
            </w:r>
          </w:p>
        </w:tc>
        <w:tc>
          <w:tcPr>
            <w:tcW w:w="3295" w:type="dxa"/>
            <w:gridSpan w:val="3"/>
            <w:noWrap w:val="0"/>
            <w:vAlign w:val="center"/>
          </w:tcPr>
          <w:p w14:paraId="356370F5">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未提供相关制度资料或制度落实不达标的，每项扣5分，扣完本项分值为止。</w:t>
            </w:r>
          </w:p>
        </w:tc>
        <w:tc>
          <w:tcPr>
            <w:tcW w:w="624" w:type="dxa"/>
            <w:noWrap w:val="0"/>
            <w:vAlign w:val="center"/>
          </w:tcPr>
          <w:p w14:paraId="74F92663">
            <w:pPr>
              <w:widowControl/>
              <w:spacing w:line="360" w:lineRule="auto"/>
              <w:jc w:val="center"/>
              <w:textAlignment w:val="center"/>
              <w:rPr>
                <w:rFonts w:ascii="宋体" w:hAnsi="宋体" w:eastAsia="宋体" w:cs="仿宋"/>
                <w:color w:val="000000"/>
                <w:kern w:val="0"/>
                <w:sz w:val="24"/>
                <w:szCs w:val="24"/>
                <w:lang w:bidi="ar"/>
              </w:rPr>
            </w:pPr>
          </w:p>
        </w:tc>
      </w:tr>
      <w:tr w14:paraId="5A9B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427" w:type="dxa"/>
            <w:vMerge w:val="continue"/>
            <w:noWrap w:val="0"/>
            <w:vAlign w:val="center"/>
          </w:tcPr>
          <w:p w14:paraId="576416E4">
            <w:pPr>
              <w:widowControl/>
              <w:spacing w:line="360" w:lineRule="auto"/>
              <w:jc w:val="center"/>
              <w:textAlignment w:val="center"/>
              <w:rPr>
                <w:rFonts w:ascii="宋体" w:hAnsi="宋体" w:eastAsia="宋体" w:cs="仿宋"/>
                <w:color w:val="000000"/>
                <w:kern w:val="0"/>
                <w:sz w:val="24"/>
                <w:szCs w:val="24"/>
                <w:lang w:bidi="ar"/>
              </w:rPr>
            </w:pPr>
          </w:p>
        </w:tc>
        <w:tc>
          <w:tcPr>
            <w:tcW w:w="564" w:type="dxa"/>
            <w:noWrap w:val="0"/>
            <w:vAlign w:val="center"/>
          </w:tcPr>
          <w:p w14:paraId="17FEA132">
            <w:pPr>
              <w:widowControl/>
              <w:spacing w:line="360" w:lineRule="auto"/>
              <w:jc w:val="center"/>
              <w:textAlignment w:val="center"/>
              <w:rPr>
                <w:rFonts w:ascii="宋体" w:hAnsi="宋体" w:eastAsia="宋体" w:cs="仿宋"/>
                <w:color w:val="000000"/>
                <w:kern w:val="0"/>
                <w:sz w:val="24"/>
                <w:szCs w:val="24"/>
                <w:lang w:bidi="ar"/>
              </w:rPr>
            </w:pPr>
            <w:r>
              <w:rPr>
                <w:rFonts w:ascii="宋体" w:hAnsi="宋体" w:eastAsia="宋体" w:cs="仿宋"/>
                <w:color w:val="000000"/>
                <w:kern w:val="0"/>
                <w:sz w:val="24"/>
                <w:szCs w:val="24"/>
                <w:lang w:bidi="ar"/>
              </w:rPr>
              <w:t>4</w:t>
            </w:r>
          </w:p>
        </w:tc>
        <w:tc>
          <w:tcPr>
            <w:tcW w:w="744" w:type="dxa"/>
            <w:gridSpan w:val="2"/>
            <w:vMerge w:val="continue"/>
            <w:noWrap w:val="0"/>
            <w:vAlign w:val="center"/>
          </w:tcPr>
          <w:p w14:paraId="2EBEA319">
            <w:pPr>
              <w:widowControl/>
              <w:spacing w:line="360" w:lineRule="auto"/>
              <w:jc w:val="center"/>
              <w:textAlignment w:val="center"/>
              <w:rPr>
                <w:rFonts w:ascii="宋体" w:hAnsi="宋体" w:eastAsia="宋体" w:cs="仿宋"/>
                <w:color w:val="000000"/>
                <w:kern w:val="0"/>
                <w:sz w:val="24"/>
                <w:szCs w:val="24"/>
                <w:lang w:bidi="ar"/>
              </w:rPr>
            </w:pPr>
          </w:p>
        </w:tc>
        <w:tc>
          <w:tcPr>
            <w:tcW w:w="3394" w:type="dxa"/>
            <w:gridSpan w:val="2"/>
            <w:noWrap w:val="0"/>
            <w:vAlign w:val="center"/>
          </w:tcPr>
          <w:p w14:paraId="79D31846">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配置运营管理、信息系统维护、车辆调运、日常检查、维修保养、安全管理、服务热线及服务质量投诉受理等人员，并提供人员信息名单、劳务派遣合同等相关证明材料。（1</w:t>
            </w:r>
            <w:r>
              <w:rPr>
                <w:rFonts w:ascii="宋体" w:hAnsi="宋体" w:eastAsia="宋体" w:cs="仿宋"/>
                <w:color w:val="333333"/>
                <w:kern w:val="0"/>
                <w:sz w:val="24"/>
                <w:szCs w:val="24"/>
                <w:lang w:bidi="ar"/>
              </w:rPr>
              <w:t>0</w:t>
            </w:r>
            <w:r>
              <w:rPr>
                <w:rFonts w:hint="eastAsia" w:ascii="宋体" w:hAnsi="宋体" w:eastAsia="宋体" w:cs="仿宋"/>
                <w:color w:val="333333"/>
                <w:kern w:val="0"/>
                <w:sz w:val="24"/>
                <w:szCs w:val="24"/>
                <w:lang w:bidi="ar"/>
              </w:rPr>
              <w:t>分）</w:t>
            </w:r>
          </w:p>
        </w:tc>
        <w:tc>
          <w:tcPr>
            <w:tcW w:w="3295" w:type="dxa"/>
            <w:gridSpan w:val="3"/>
            <w:noWrap w:val="0"/>
            <w:vAlign w:val="center"/>
          </w:tcPr>
          <w:p w14:paraId="5D9AF51B">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未提供材料或人员信息与实际不符的，每项扣5分，</w:t>
            </w:r>
            <w:bookmarkStart w:id="14" w:name="OLE_LINK9"/>
            <w:bookmarkStart w:id="15" w:name="OLE_LINK10"/>
            <w:r>
              <w:rPr>
                <w:rFonts w:hint="eastAsia" w:ascii="宋体" w:hAnsi="宋体" w:eastAsia="宋体" w:cs="仿宋"/>
                <w:color w:val="333333"/>
                <w:kern w:val="0"/>
                <w:sz w:val="24"/>
                <w:szCs w:val="24"/>
                <w:lang w:bidi="ar"/>
              </w:rPr>
              <w:t>扣完本项分值为止。</w:t>
            </w:r>
            <w:bookmarkEnd w:id="14"/>
            <w:bookmarkEnd w:id="15"/>
          </w:p>
        </w:tc>
        <w:tc>
          <w:tcPr>
            <w:tcW w:w="624" w:type="dxa"/>
            <w:noWrap w:val="0"/>
            <w:vAlign w:val="center"/>
          </w:tcPr>
          <w:p w14:paraId="5FE8D2FF">
            <w:pPr>
              <w:widowControl/>
              <w:spacing w:line="360" w:lineRule="auto"/>
              <w:jc w:val="center"/>
              <w:textAlignment w:val="center"/>
              <w:rPr>
                <w:rFonts w:ascii="宋体" w:hAnsi="宋体" w:eastAsia="宋体" w:cs="仿宋"/>
                <w:color w:val="000000"/>
                <w:kern w:val="0"/>
                <w:sz w:val="24"/>
                <w:szCs w:val="24"/>
                <w:lang w:bidi="ar"/>
              </w:rPr>
            </w:pPr>
          </w:p>
        </w:tc>
      </w:tr>
      <w:tr w14:paraId="2C4A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27" w:type="dxa"/>
            <w:vMerge w:val="continue"/>
            <w:noWrap w:val="0"/>
            <w:vAlign w:val="center"/>
          </w:tcPr>
          <w:p w14:paraId="4764E525">
            <w:pPr>
              <w:widowControl/>
              <w:spacing w:line="360" w:lineRule="auto"/>
              <w:jc w:val="center"/>
              <w:textAlignment w:val="center"/>
              <w:rPr>
                <w:rFonts w:ascii="宋体" w:hAnsi="宋体" w:eastAsia="宋体" w:cs="仿宋"/>
                <w:color w:val="000000"/>
                <w:kern w:val="0"/>
                <w:sz w:val="24"/>
                <w:szCs w:val="24"/>
                <w:lang w:bidi="ar"/>
              </w:rPr>
            </w:pPr>
          </w:p>
        </w:tc>
        <w:tc>
          <w:tcPr>
            <w:tcW w:w="564" w:type="dxa"/>
            <w:noWrap w:val="0"/>
            <w:vAlign w:val="center"/>
          </w:tcPr>
          <w:p w14:paraId="4052D3F8">
            <w:pPr>
              <w:widowControl/>
              <w:spacing w:line="360" w:lineRule="auto"/>
              <w:jc w:val="center"/>
              <w:textAlignment w:val="center"/>
              <w:rPr>
                <w:rFonts w:ascii="宋体" w:hAnsi="宋体" w:eastAsia="宋体" w:cs="仿宋"/>
                <w:color w:val="000000"/>
                <w:kern w:val="0"/>
                <w:sz w:val="24"/>
                <w:szCs w:val="24"/>
                <w:lang w:bidi="ar"/>
              </w:rPr>
            </w:pPr>
            <w:r>
              <w:rPr>
                <w:rFonts w:ascii="宋体" w:hAnsi="宋体" w:eastAsia="宋体" w:cs="仿宋"/>
                <w:color w:val="000000"/>
                <w:kern w:val="0"/>
                <w:sz w:val="24"/>
                <w:szCs w:val="24"/>
                <w:lang w:bidi="ar"/>
              </w:rPr>
              <w:t>5</w:t>
            </w:r>
          </w:p>
        </w:tc>
        <w:tc>
          <w:tcPr>
            <w:tcW w:w="744" w:type="dxa"/>
            <w:gridSpan w:val="2"/>
            <w:vMerge w:val="continue"/>
            <w:noWrap w:val="0"/>
            <w:vAlign w:val="center"/>
          </w:tcPr>
          <w:p w14:paraId="7A15FC90">
            <w:pPr>
              <w:widowControl/>
              <w:spacing w:line="360" w:lineRule="auto"/>
              <w:jc w:val="left"/>
              <w:textAlignment w:val="center"/>
              <w:rPr>
                <w:rFonts w:ascii="宋体" w:hAnsi="宋体" w:eastAsia="宋体" w:cs="仿宋"/>
                <w:color w:val="333333"/>
                <w:sz w:val="24"/>
                <w:szCs w:val="24"/>
              </w:rPr>
            </w:pPr>
          </w:p>
        </w:tc>
        <w:tc>
          <w:tcPr>
            <w:tcW w:w="3394" w:type="dxa"/>
            <w:gridSpan w:val="2"/>
            <w:noWrap w:val="0"/>
            <w:vAlign w:val="center"/>
          </w:tcPr>
          <w:p w14:paraId="56283ED6">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乙方负责共享单车停放秩序管理，定时开展车辆调度、规范摆放，确保车辆安全、完好、整洁。接到通知后须</w:t>
            </w:r>
            <w:r>
              <w:rPr>
                <w:rFonts w:ascii="宋体" w:hAnsi="宋体" w:eastAsia="宋体" w:cs="仿宋"/>
                <w:color w:val="333333"/>
                <w:kern w:val="0"/>
                <w:sz w:val="24"/>
                <w:szCs w:val="24"/>
                <w:lang w:bidi="ar"/>
              </w:rPr>
              <w:t>5</w:t>
            </w:r>
            <w:r>
              <w:rPr>
                <w:rFonts w:hint="eastAsia" w:ascii="宋体" w:hAnsi="宋体" w:eastAsia="宋体" w:cs="仿宋"/>
                <w:color w:val="333333"/>
                <w:kern w:val="0"/>
                <w:sz w:val="24"/>
                <w:szCs w:val="24"/>
                <w:lang w:bidi="ar"/>
              </w:rPr>
              <w:t>分钟内响应、30分钟内整治到位。（1</w:t>
            </w:r>
            <w:r>
              <w:rPr>
                <w:rFonts w:ascii="宋体" w:hAnsi="宋体" w:eastAsia="宋体" w:cs="仿宋"/>
                <w:color w:val="333333"/>
                <w:kern w:val="0"/>
                <w:sz w:val="24"/>
                <w:szCs w:val="24"/>
                <w:lang w:bidi="ar"/>
              </w:rPr>
              <w:t>0</w:t>
            </w:r>
            <w:r>
              <w:rPr>
                <w:rFonts w:hint="eastAsia" w:ascii="宋体" w:hAnsi="宋体" w:eastAsia="宋体" w:cs="仿宋"/>
                <w:color w:val="333333"/>
                <w:kern w:val="0"/>
                <w:sz w:val="24"/>
                <w:szCs w:val="24"/>
                <w:lang w:bidi="ar"/>
              </w:rPr>
              <w:t>分）</w:t>
            </w:r>
          </w:p>
        </w:tc>
        <w:tc>
          <w:tcPr>
            <w:tcW w:w="3295" w:type="dxa"/>
            <w:gridSpan w:val="3"/>
            <w:noWrap w:val="0"/>
            <w:vAlign w:val="center"/>
          </w:tcPr>
          <w:p w14:paraId="743111B1">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未按要求整改或未规定时间内未整治到位的，每发现一次扣3分，扣完本项分值为止。</w:t>
            </w:r>
          </w:p>
        </w:tc>
        <w:tc>
          <w:tcPr>
            <w:tcW w:w="624" w:type="dxa"/>
            <w:noWrap w:val="0"/>
            <w:vAlign w:val="center"/>
          </w:tcPr>
          <w:p w14:paraId="3C2F0BEC">
            <w:pPr>
              <w:widowControl/>
              <w:spacing w:line="360" w:lineRule="auto"/>
              <w:jc w:val="center"/>
              <w:textAlignment w:val="center"/>
              <w:rPr>
                <w:rFonts w:ascii="宋体" w:hAnsi="宋体" w:eastAsia="宋体" w:cs="仿宋"/>
                <w:color w:val="000000"/>
                <w:kern w:val="0"/>
                <w:sz w:val="24"/>
                <w:szCs w:val="24"/>
                <w:lang w:bidi="ar"/>
              </w:rPr>
            </w:pPr>
          </w:p>
        </w:tc>
      </w:tr>
      <w:tr w14:paraId="6C56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27" w:type="dxa"/>
            <w:vMerge w:val="continue"/>
            <w:noWrap w:val="0"/>
            <w:vAlign w:val="center"/>
          </w:tcPr>
          <w:p w14:paraId="493047EE">
            <w:pPr>
              <w:widowControl/>
              <w:spacing w:line="360" w:lineRule="auto"/>
              <w:jc w:val="center"/>
              <w:textAlignment w:val="center"/>
              <w:rPr>
                <w:rFonts w:ascii="宋体" w:hAnsi="宋体" w:eastAsia="宋体" w:cs="仿宋"/>
                <w:color w:val="000000"/>
                <w:kern w:val="0"/>
                <w:sz w:val="24"/>
                <w:szCs w:val="24"/>
                <w:lang w:bidi="ar"/>
              </w:rPr>
            </w:pPr>
          </w:p>
        </w:tc>
        <w:tc>
          <w:tcPr>
            <w:tcW w:w="564" w:type="dxa"/>
            <w:noWrap w:val="0"/>
            <w:vAlign w:val="center"/>
          </w:tcPr>
          <w:p w14:paraId="6BEE5C00">
            <w:pPr>
              <w:widowControl/>
              <w:spacing w:line="360" w:lineRule="auto"/>
              <w:jc w:val="center"/>
              <w:textAlignment w:val="center"/>
              <w:rPr>
                <w:rFonts w:ascii="宋体" w:hAnsi="宋体" w:eastAsia="宋体" w:cs="仿宋"/>
                <w:color w:val="000000"/>
                <w:kern w:val="0"/>
                <w:sz w:val="24"/>
                <w:szCs w:val="24"/>
                <w:lang w:bidi="ar"/>
              </w:rPr>
            </w:pPr>
            <w:r>
              <w:rPr>
                <w:rFonts w:ascii="宋体" w:hAnsi="宋体" w:eastAsia="宋体" w:cs="仿宋"/>
                <w:color w:val="000000"/>
                <w:kern w:val="0"/>
                <w:sz w:val="24"/>
                <w:szCs w:val="24"/>
                <w:lang w:bidi="ar"/>
              </w:rPr>
              <w:t>6</w:t>
            </w:r>
          </w:p>
        </w:tc>
        <w:tc>
          <w:tcPr>
            <w:tcW w:w="744" w:type="dxa"/>
            <w:gridSpan w:val="2"/>
            <w:vMerge w:val="continue"/>
            <w:noWrap w:val="0"/>
            <w:vAlign w:val="center"/>
          </w:tcPr>
          <w:p w14:paraId="3F249D57">
            <w:pPr>
              <w:widowControl/>
              <w:spacing w:line="360" w:lineRule="auto"/>
              <w:jc w:val="left"/>
              <w:textAlignment w:val="center"/>
              <w:rPr>
                <w:rFonts w:ascii="宋体" w:hAnsi="宋体" w:eastAsia="宋体" w:cs="仿宋"/>
                <w:color w:val="333333"/>
                <w:sz w:val="24"/>
                <w:szCs w:val="24"/>
              </w:rPr>
            </w:pPr>
          </w:p>
        </w:tc>
        <w:tc>
          <w:tcPr>
            <w:tcW w:w="3394" w:type="dxa"/>
            <w:gridSpan w:val="2"/>
            <w:noWrap w:val="0"/>
            <w:vAlign w:val="center"/>
          </w:tcPr>
          <w:p w14:paraId="0BD5E7F7">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乙方不得以任何形式对在校师生收取车辆押金或服务保证金，资金结算须通过具备合法资质的第三方平台进行。</w:t>
            </w:r>
            <w:bookmarkStart w:id="16" w:name="OLE_LINK12"/>
            <w:bookmarkStart w:id="17" w:name="OLE_LINK11"/>
            <w:r>
              <w:rPr>
                <w:rFonts w:hint="eastAsia" w:ascii="宋体" w:hAnsi="宋体" w:eastAsia="宋体" w:cs="仿宋"/>
                <w:color w:val="333333"/>
                <w:kern w:val="0"/>
                <w:sz w:val="24"/>
                <w:szCs w:val="24"/>
                <w:lang w:bidi="ar"/>
              </w:rPr>
              <w:t>（1</w:t>
            </w:r>
            <w:r>
              <w:rPr>
                <w:rFonts w:ascii="宋体" w:hAnsi="宋体" w:eastAsia="宋体" w:cs="仿宋"/>
                <w:color w:val="333333"/>
                <w:kern w:val="0"/>
                <w:sz w:val="24"/>
                <w:szCs w:val="24"/>
                <w:lang w:bidi="ar"/>
              </w:rPr>
              <w:t>0</w:t>
            </w:r>
            <w:r>
              <w:rPr>
                <w:rFonts w:hint="eastAsia" w:ascii="宋体" w:hAnsi="宋体" w:eastAsia="宋体" w:cs="仿宋"/>
                <w:color w:val="333333"/>
                <w:kern w:val="0"/>
                <w:sz w:val="24"/>
                <w:szCs w:val="24"/>
                <w:lang w:bidi="ar"/>
              </w:rPr>
              <w:t>分）</w:t>
            </w:r>
            <w:bookmarkEnd w:id="16"/>
            <w:bookmarkEnd w:id="17"/>
          </w:p>
        </w:tc>
        <w:tc>
          <w:tcPr>
            <w:tcW w:w="3295" w:type="dxa"/>
            <w:gridSpan w:val="3"/>
            <w:noWrap w:val="0"/>
            <w:vAlign w:val="center"/>
          </w:tcPr>
          <w:p w14:paraId="557E7824">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发现违规收取车辆押金或服务保证金的，每发现一次扣10分，扣完本项分值为止。</w:t>
            </w:r>
          </w:p>
        </w:tc>
        <w:tc>
          <w:tcPr>
            <w:tcW w:w="624" w:type="dxa"/>
            <w:noWrap w:val="0"/>
            <w:vAlign w:val="center"/>
          </w:tcPr>
          <w:p w14:paraId="340B8BED">
            <w:pPr>
              <w:widowControl/>
              <w:spacing w:line="360" w:lineRule="auto"/>
              <w:jc w:val="center"/>
              <w:textAlignment w:val="center"/>
              <w:rPr>
                <w:rFonts w:ascii="宋体" w:hAnsi="宋体" w:eastAsia="宋体" w:cs="仿宋"/>
                <w:color w:val="000000"/>
                <w:kern w:val="0"/>
                <w:sz w:val="24"/>
                <w:szCs w:val="24"/>
                <w:lang w:bidi="ar"/>
              </w:rPr>
            </w:pPr>
          </w:p>
        </w:tc>
      </w:tr>
      <w:tr w14:paraId="4D8F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27" w:type="dxa"/>
            <w:vMerge w:val="continue"/>
            <w:noWrap w:val="0"/>
            <w:vAlign w:val="center"/>
          </w:tcPr>
          <w:p w14:paraId="36B0CC16">
            <w:pPr>
              <w:widowControl/>
              <w:spacing w:line="360" w:lineRule="auto"/>
              <w:jc w:val="center"/>
              <w:textAlignment w:val="center"/>
              <w:rPr>
                <w:rFonts w:ascii="宋体" w:hAnsi="宋体" w:eastAsia="宋体" w:cs="仿宋"/>
                <w:color w:val="000000"/>
                <w:kern w:val="0"/>
                <w:sz w:val="24"/>
                <w:szCs w:val="24"/>
                <w:lang w:bidi="ar"/>
              </w:rPr>
            </w:pPr>
          </w:p>
        </w:tc>
        <w:tc>
          <w:tcPr>
            <w:tcW w:w="564" w:type="dxa"/>
            <w:noWrap w:val="0"/>
            <w:vAlign w:val="center"/>
          </w:tcPr>
          <w:p w14:paraId="407EA16A">
            <w:pPr>
              <w:widowControl/>
              <w:spacing w:line="360" w:lineRule="auto"/>
              <w:jc w:val="center"/>
              <w:textAlignment w:val="center"/>
              <w:rPr>
                <w:rFonts w:ascii="宋体" w:hAnsi="宋体" w:eastAsia="宋体" w:cs="仿宋"/>
                <w:color w:val="000000"/>
                <w:kern w:val="0"/>
                <w:sz w:val="24"/>
                <w:szCs w:val="24"/>
                <w:lang w:bidi="ar"/>
              </w:rPr>
            </w:pPr>
            <w:r>
              <w:rPr>
                <w:rFonts w:ascii="宋体" w:hAnsi="宋体" w:eastAsia="宋体" w:cs="仿宋"/>
                <w:color w:val="000000"/>
                <w:kern w:val="0"/>
                <w:sz w:val="24"/>
                <w:szCs w:val="24"/>
                <w:lang w:bidi="ar"/>
              </w:rPr>
              <w:t>7</w:t>
            </w:r>
          </w:p>
        </w:tc>
        <w:tc>
          <w:tcPr>
            <w:tcW w:w="744" w:type="dxa"/>
            <w:gridSpan w:val="2"/>
            <w:vMerge w:val="continue"/>
            <w:noWrap w:val="0"/>
            <w:vAlign w:val="center"/>
          </w:tcPr>
          <w:p w14:paraId="5E7D4CB9">
            <w:pPr>
              <w:widowControl/>
              <w:spacing w:line="360" w:lineRule="auto"/>
              <w:jc w:val="left"/>
              <w:textAlignment w:val="center"/>
              <w:rPr>
                <w:rFonts w:ascii="宋体" w:hAnsi="宋体" w:eastAsia="宋体" w:cs="仿宋"/>
                <w:color w:val="333333"/>
                <w:sz w:val="24"/>
                <w:szCs w:val="24"/>
              </w:rPr>
            </w:pPr>
          </w:p>
        </w:tc>
        <w:tc>
          <w:tcPr>
            <w:tcW w:w="3394" w:type="dxa"/>
            <w:gridSpan w:val="2"/>
            <w:noWrap w:val="0"/>
            <w:vAlign w:val="center"/>
          </w:tcPr>
          <w:p w14:paraId="7848A15A">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为用户提供信息安全保障，严格保护用户的个人隐私及信息安全。</w:t>
            </w:r>
            <w:bookmarkStart w:id="18" w:name="OLE_LINK14"/>
            <w:bookmarkStart w:id="19" w:name="OLE_LINK13"/>
            <w:r>
              <w:rPr>
                <w:rFonts w:hint="eastAsia" w:ascii="宋体" w:hAnsi="宋体" w:eastAsia="宋体" w:cs="仿宋"/>
                <w:color w:val="333333"/>
                <w:kern w:val="0"/>
                <w:sz w:val="24"/>
                <w:szCs w:val="24"/>
                <w:lang w:bidi="ar"/>
              </w:rPr>
              <w:t>（1</w:t>
            </w:r>
            <w:r>
              <w:rPr>
                <w:rFonts w:ascii="宋体" w:hAnsi="宋体" w:eastAsia="宋体" w:cs="仿宋"/>
                <w:color w:val="333333"/>
                <w:kern w:val="0"/>
                <w:sz w:val="24"/>
                <w:szCs w:val="24"/>
                <w:lang w:bidi="ar"/>
              </w:rPr>
              <w:t>0</w:t>
            </w:r>
            <w:r>
              <w:rPr>
                <w:rFonts w:hint="eastAsia" w:ascii="宋体" w:hAnsi="宋体" w:eastAsia="宋体" w:cs="仿宋"/>
                <w:color w:val="333333"/>
                <w:kern w:val="0"/>
                <w:sz w:val="24"/>
                <w:szCs w:val="24"/>
                <w:lang w:bidi="ar"/>
              </w:rPr>
              <w:t>分）</w:t>
            </w:r>
            <w:bookmarkEnd w:id="18"/>
            <w:bookmarkEnd w:id="19"/>
          </w:p>
        </w:tc>
        <w:tc>
          <w:tcPr>
            <w:tcW w:w="3295" w:type="dxa"/>
            <w:gridSpan w:val="3"/>
            <w:noWrap w:val="0"/>
            <w:vAlign w:val="center"/>
          </w:tcPr>
          <w:p w14:paraId="78A539C0">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发生用户信息泄露的，每次扣10分，扣完本项分值为止。</w:t>
            </w:r>
          </w:p>
        </w:tc>
        <w:tc>
          <w:tcPr>
            <w:tcW w:w="624" w:type="dxa"/>
            <w:noWrap w:val="0"/>
            <w:vAlign w:val="center"/>
          </w:tcPr>
          <w:p w14:paraId="0BE0AFC3">
            <w:pPr>
              <w:widowControl/>
              <w:spacing w:line="360" w:lineRule="auto"/>
              <w:jc w:val="center"/>
              <w:textAlignment w:val="center"/>
              <w:rPr>
                <w:rFonts w:ascii="宋体" w:hAnsi="宋体" w:eastAsia="宋体" w:cs="仿宋"/>
                <w:color w:val="000000"/>
                <w:kern w:val="0"/>
                <w:sz w:val="24"/>
                <w:szCs w:val="24"/>
                <w:lang w:bidi="ar"/>
              </w:rPr>
            </w:pPr>
          </w:p>
        </w:tc>
      </w:tr>
      <w:tr w14:paraId="0527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27" w:type="dxa"/>
            <w:vMerge w:val="continue"/>
            <w:noWrap w:val="0"/>
            <w:vAlign w:val="center"/>
          </w:tcPr>
          <w:p w14:paraId="2BF34807">
            <w:pPr>
              <w:widowControl/>
              <w:spacing w:line="360" w:lineRule="auto"/>
              <w:jc w:val="center"/>
              <w:textAlignment w:val="center"/>
              <w:rPr>
                <w:rFonts w:ascii="宋体" w:hAnsi="宋体" w:eastAsia="宋体" w:cs="仿宋"/>
                <w:color w:val="000000"/>
                <w:kern w:val="0"/>
                <w:sz w:val="24"/>
                <w:szCs w:val="24"/>
                <w:lang w:bidi="ar"/>
              </w:rPr>
            </w:pPr>
          </w:p>
        </w:tc>
        <w:tc>
          <w:tcPr>
            <w:tcW w:w="564" w:type="dxa"/>
            <w:noWrap w:val="0"/>
            <w:vAlign w:val="center"/>
          </w:tcPr>
          <w:p w14:paraId="67A02DC5">
            <w:pPr>
              <w:widowControl/>
              <w:spacing w:line="360" w:lineRule="auto"/>
              <w:jc w:val="center"/>
              <w:textAlignment w:val="center"/>
              <w:rPr>
                <w:rFonts w:ascii="宋体" w:hAnsi="宋体" w:eastAsia="宋体" w:cs="仿宋"/>
                <w:color w:val="000000"/>
                <w:kern w:val="0"/>
                <w:sz w:val="24"/>
                <w:szCs w:val="24"/>
                <w:lang w:bidi="ar"/>
              </w:rPr>
            </w:pPr>
            <w:r>
              <w:rPr>
                <w:rFonts w:ascii="宋体" w:hAnsi="宋体" w:eastAsia="宋体" w:cs="仿宋"/>
                <w:color w:val="000000"/>
                <w:kern w:val="0"/>
                <w:sz w:val="24"/>
                <w:szCs w:val="24"/>
                <w:lang w:bidi="ar"/>
              </w:rPr>
              <w:t>8</w:t>
            </w:r>
          </w:p>
        </w:tc>
        <w:tc>
          <w:tcPr>
            <w:tcW w:w="744" w:type="dxa"/>
            <w:gridSpan w:val="2"/>
            <w:vMerge w:val="restart"/>
            <w:noWrap w:val="0"/>
            <w:vAlign w:val="center"/>
          </w:tcPr>
          <w:p w14:paraId="11D3115D">
            <w:pPr>
              <w:widowControl/>
              <w:spacing w:line="360" w:lineRule="auto"/>
              <w:jc w:val="center"/>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服务热线受理处理质量</w:t>
            </w:r>
          </w:p>
          <w:p w14:paraId="43D74CCE">
            <w:pPr>
              <w:widowControl/>
              <w:spacing w:line="360" w:lineRule="auto"/>
              <w:jc w:val="center"/>
              <w:textAlignment w:val="center"/>
              <w:rPr>
                <w:rFonts w:ascii="宋体" w:hAnsi="宋体" w:eastAsia="宋体" w:cs="仿宋"/>
                <w:color w:val="333333"/>
                <w:sz w:val="24"/>
                <w:szCs w:val="24"/>
              </w:rPr>
            </w:pPr>
            <w:r>
              <w:rPr>
                <w:rFonts w:hint="eastAsia" w:ascii="宋体" w:hAnsi="宋体" w:eastAsia="宋体" w:cs="仿宋"/>
                <w:color w:val="333333"/>
                <w:kern w:val="0"/>
                <w:sz w:val="24"/>
                <w:szCs w:val="24"/>
                <w:lang w:bidi="ar"/>
              </w:rPr>
              <w:t>30分</w:t>
            </w:r>
          </w:p>
        </w:tc>
        <w:tc>
          <w:tcPr>
            <w:tcW w:w="3394" w:type="dxa"/>
            <w:gridSpan w:val="2"/>
            <w:noWrap w:val="0"/>
            <w:vAlign w:val="center"/>
          </w:tcPr>
          <w:p w14:paraId="048620A3">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服务热线实行24小时值守，并做好值班记录。（</w:t>
            </w:r>
            <w:r>
              <w:rPr>
                <w:rFonts w:ascii="宋体" w:hAnsi="宋体" w:eastAsia="宋体" w:cs="仿宋"/>
                <w:color w:val="333333"/>
                <w:kern w:val="0"/>
                <w:sz w:val="24"/>
                <w:szCs w:val="24"/>
                <w:lang w:bidi="ar"/>
              </w:rPr>
              <w:t>10</w:t>
            </w:r>
            <w:r>
              <w:rPr>
                <w:rFonts w:hint="eastAsia" w:ascii="宋体" w:hAnsi="宋体" w:eastAsia="宋体" w:cs="仿宋"/>
                <w:color w:val="333333"/>
                <w:kern w:val="0"/>
                <w:sz w:val="24"/>
                <w:szCs w:val="24"/>
                <w:lang w:bidi="ar"/>
              </w:rPr>
              <w:t>分）</w:t>
            </w:r>
          </w:p>
        </w:tc>
        <w:tc>
          <w:tcPr>
            <w:tcW w:w="3295" w:type="dxa"/>
            <w:gridSpan w:val="3"/>
            <w:noWrap w:val="0"/>
            <w:vAlign w:val="center"/>
          </w:tcPr>
          <w:p w14:paraId="6F882A1A">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抽查发现服务热线无人值守，值班记录不全、内容不完整或的，每次扣10分，扣完本项分值为止。</w:t>
            </w:r>
          </w:p>
        </w:tc>
        <w:tc>
          <w:tcPr>
            <w:tcW w:w="624" w:type="dxa"/>
            <w:noWrap w:val="0"/>
            <w:vAlign w:val="center"/>
          </w:tcPr>
          <w:p w14:paraId="2C93CEEC">
            <w:pPr>
              <w:widowControl/>
              <w:spacing w:line="360" w:lineRule="auto"/>
              <w:jc w:val="center"/>
              <w:textAlignment w:val="center"/>
              <w:rPr>
                <w:rFonts w:ascii="宋体" w:hAnsi="宋体" w:eastAsia="宋体" w:cs="仿宋"/>
                <w:color w:val="000000"/>
                <w:kern w:val="0"/>
                <w:sz w:val="24"/>
                <w:szCs w:val="24"/>
                <w:lang w:bidi="ar"/>
              </w:rPr>
            </w:pPr>
          </w:p>
        </w:tc>
      </w:tr>
      <w:tr w14:paraId="4CD6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27" w:type="dxa"/>
            <w:vMerge w:val="continue"/>
            <w:noWrap w:val="0"/>
            <w:vAlign w:val="center"/>
          </w:tcPr>
          <w:p w14:paraId="5EF1CC03">
            <w:pPr>
              <w:widowControl/>
              <w:spacing w:line="360" w:lineRule="auto"/>
              <w:jc w:val="center"/>
              <w:textAlignment w:val="center"/>
              <w:rPr>
                <w:rFonts w:ascii="宋体" w:hAnsi="宋体" w:eastAsia="宋体" w:cs="仿宋"/>
                <w:color w:val="000000"/>
                <w:kern w:val="0"/>
                <w:sz w:val="24"/>
                <w:szCs w:val="24"/>
                <w:lang w:bidi="ar"/>
              </w:rPr>
            </w:pPr>
          </w:p>
        </w:tc>
        <w:tc>
          <w:tcPr>
            <w:tcW w:w="564" w:type="dxa"/>
            <w:noWrap w:val="0"/>
            <w:vAlign w:val="center"/>
          </w:tcPr>
          <w:p w14:paraId="11C4FD62">
            <w:pPr>
              <w:widowControl/>
              <w:spacing w:line="360" w:lineRule="auto"/>
              <w:jc w:val="center"/>
              <w:textAlignment w:val="center"/>
              <w:rPr>
                <w:rFonts w:ascii="宋体" w:hAnsi="宋体" w:eastAsia="宋体" w:cs="仿宋"/>
                <w:color w:val="000000"/>
                <w:kern w:val="0"/>
                <w:sz w:val="24"/>
                <w:szCs w:val="24"/>
                <w:lang w:bidi="ar"/>
              </w:rPr>
            </w:pPr>
            <w:r>
              <w:rPr>
                <w:rFonts w:ascii="宋体" w:hAnsi="宋体" w:eastAsia="宋体" w:cs="仿宋"/>
                <w:color w:val="000000"/>
                <w:kern w:val="0"/>
                <w:sz w:val="24"/>
                <w:szCs w:val="24"/>
                <w:lang w:bidi="ar"/>
              </w:rPr>
              <w:t>9</w:t>
            </w:r>
          </w:p>
        </w:tc>
        <w:tc>
          <w:tcPr>
            <w:tcW w:w="744" w:type="dxa"/>
            <w:gridSpan w:val="2"/>
            <w:vMerge w:val="continue"/>
            <w:noWrap w:val="0"/>
            <w:vAlign w:val="center"/>
          </w:tcPr>
          <w:p w14:paraId="443D445A">
            <w:pPr>
              <w:widowControl/>
              <w:spacing w:line="360" w:lineRule="auto"/>
              <w:jc w:val="center"/>
              <w:textAlignment w:val="center"/>
              <w:rPr>
                <w:rFonts w:ascii="宋体" w:hAnsi="宋体" w:eastAsia="宋体" w:cs="仿宋"/>
                <w:color w:val="333333"/>
                <w:kern w:val="0"/>
                <w:sz w:val="24"/>
                <w:szCs w:val="24"/>
                <w:lang w:bidi="ar"/>
              </w:rPr>
            </w:pPr>
          </w:p>
        </w:tc>
        <w:tc>
          <w:tcPr>
            <w:tcW w:w="3394" w:type="dxa"/>
            <w:gridSpan w:val="2"/>
            <w:noWrap w:val="0"/>
            <w:vAlign w:val="center"/>
          </w:tcPr>
          <w:p w14:paraId="4C6F0A95">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乙方须建立投诉处理台账，及时受理、按规定时限处理并回复投诉。（</w:t>
            </w:r>
            <w:r>
              <w:rPr>
                <w:rFonts w:ascii="宋体" w:hAnsi="宋体" w:eastAsia="宋体" w:cs="仿宋"/>
                <w:color w:val="333333"/>
                <w:kern w:val="0"/>
                <w:sz w:val="24"/>
                <w:szCs w:val="24"/>
                <w:lang w:bidi="ar"/>
              </w:rPr>
              <w:t>20</w:t>
            </w:r>
            <w:r>
              <w:rPr>
                <w:rFonts w:hint="eastAsia" w:ascii="宋体" w:hAnsi="宋体" w:eastAsia="宋体" w:cs="仿宋"/>
                <w:color w:val="333333"/>
                <w:kern w:val="0"/>
                <w:sz w:val="24"/>
                <w:szCs w:val="24"/>
                <w:lang w:bidi="ar"/>
              </w:rPr>
              <w:t>分）</w:t>
            </w:r>
          </w:p>
        </w:tc>
        <w:tc>
          <w:tcPr>
            <w:tcW w:w="3295" w:type="dxa"/>
            <w:gridSpan w:val="3"/>
            <w:noWrap w:val="0"/>
            <w:vAlign w:val="center"/>
          </w:tcPr>
          <w:p w14:paraId="64B1F0B7">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无完整投诉受理、处理、回复资料的扣20分，有记录但不完善的扣5分，扣完本项分值为止。</w:t>
            </w:r>
          </w:p>
        </w:tc>
        <w:tc>
          <w:tcPr>
            <w:tcW w:w="624" w:type="dxa"/>
            <w:noWrap w:val="0"/>
            <w:vAlign w:val="center"/>
          </w:tcPr>
          <w:p w14:paraId="54DF55EA">
            <w:pPr>
              <w:widowControl/>
              <w:spacing w:line="360" w:lineRule="auto"/>
              <w:jc w:val="center"/>
              <w:textAlignment w:val="center"/>
              <w:rPr>
                <w:rFonts w:ascii="宋体" w:hAnsi="宋体" w:eastAsia="宋体" w:cs="仿宋"/>
                <w:color w:val="000000"/>
                <w:kern w:val="0"/>
                <w:sz w:val="24"/>
                <w:szCs w:val="24"/>
                <w:lang w:bidi="ar"/>
              </w:rPr>
            </w:pPr>
          </w:p>
        </w:tc>
      </w:tr>
      <w:tr w14:paraId="4101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48" w:type="dxa"/>
            <w:gridSpan w:val="10"/>
            <w:noWrap w:val="0"/>
            <w:vAlign w:val="center"/>
          </w:tcPr>
          <w:p w14:paraId="3D4B6961">
            <w:pPr>
              <w:widowControl/>
              <w:spacing w:line="360" w:lineRule="auto"/>
              <w:jc w:val="center"/>
              <w:textAlignment w:val="center"/>
              <w:rPr>
                <w:rFonts w:ascii="宋体" w:hAnsi="宋体" w:eastAsia="宋体" w:cs="仿宋"/>
                <w:b/>
                <w:color w:val="000000"/>
                <w:kern w:val="0"/>
                <w:sz w:val="24"/>
                <w:szCs w:val="24"/>
                <w:lang w:bidi="ar"/>
              </w:rPr>
            </w:pPr>
            <w:r>
              <w:rPr>
                <w:rFonts w:hint="eastAsia" w:ascii="宋体" w:hAnsi="宋体" w:eastAsia="宋体" w:cs="仿宋"/>
                <w:b/>
                <w:color w:val="000000"/>
                <w:kern w:val="0"/>
                <w:sz w:val="24"/>
                <w:szCs w:val="24"/>
                <w:lang w:bidi="ar"/>
              </w:rPr>
              <w:t>加分项内容</w:t>
            </w:r>
          </w:p>
        </w:tc>
      </w:tr>
      <w:tr w14:paraId="40F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27" w:type="dxa"/>
            <w:vMerge w:val="restart"/>
            <w:noWrap w:val="0"/>
            <w:vAlign w:val="center"/>
          </w:tcPr>
          <w:p w14:paraId="71FF649B">
            <w:pPr>
              <w:pStyle w:val="4"/>
              <w:spacing w:line="360" w:lineRule="auto"/>
              <w:ind w:left="5250" w:firstLine="480"/>
              <w:jc w:val="center"/>
              <w:rPr>
                <w:rFonts w:hAnsi="宋体" w:cs="仿宋"/>
                <w:szCs w:val="24"/>
              </w:rPr>
            </w:pPr>
            <w:r>
              <w:rPr>
                <w:rFonts w:hint="eastAsia" w:hAnsi="宋体" w:cs="仿宋"/>
                <w:color w:val="000000"/>
                <w:szCs w:val="24"/>
                <w:lang w:bidi="ar"/>
              </w:rPr>
              <w:t>加分项</w:t>
            </w:r>
          </w:p>
        </w:tc>
        <w:tc>
          <w:tcPr>
            <w:tcW w:w="564" w:type="dxa"/>
            <w:noWrap w:val="0"/>
            <w:vAlign w:val="center"/>
          </w:tcPr>
          <w:p w14:paraId="34198868">
            <w:pPr>
              <w:widowControl/>
              <w:spacing w:line="360" w:lineRule="auto"/>
              <w:jc w:val="center"/>
              <w:textAlignment w:val="center"/>
              <w:rPr>
                <w:rFonts w:ascii="宋体" w:hAnsi="宋体" w:eastAsia="宋体" w:cs="仿宋"/>
                <w:color w:val="000000"/>
                <w:kern w:val="0"/>
                <w:sz w:val="24"/>
                <w:szCs w:val="24"/>
                <w:lang w:bidi="ar"/>
              </w:rPr>
            </w:pPr>
            <w:r>
              <w:rPr>
                <w:rFonts w:hint="eastAsia" w:ascii="宋体" w:hAnsi="宋体" w:eastAsia="宋体" w:cs="仿宋"/>
                <w:color w:val="000000"/>
                <w:kern w:val="0"/>
                <w:sz w:val="24"/>
                <w:szCs w:val="24"/>
                <w:lang w:bidi="ar"/>
              </w:rPr>
              <w:t>1</w:t>
            </w:r>
          </w:p>
        </w:tc>
        <w:tc>
          <w:tcPr>
            <w:tcW w:w="7433" w:type="dxa"/>
            <w:gridSpan w:val="7"/>
            <w:noWrap w:val="0"/>
            <w:vAlign w:val="center"/>
          </w:tcPr>
          <w:p w14:paraId="7B143AB0">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积极配合学校完成大型活动的筹备及保障工作，根据具体情况每次加</w:t>
            </w:r>
            <w:r>
              <w:rPr>
                <w:rFonts w:ascii="宋体" w:hAnsi="宋体" w:eastAsia="宋体" w:cs="仿宋"/>
                <w:color w:val="333333"/>
                <w:kern w:val="0"/>
                <w:sz w:val="24"/>
                <w:szCs w:val="24"/>
                <w:lang w:bidi="ar"/>
              </w:rPr>
              <w:t>3-5</w:t>
            </w:r>
            <w:r>
              <w:rPr>
                <w:rFonts w:hint="eastAsia" w:ascii="宋体" w:hAnsi="宋体" w:eastAsia="宋体" w:cs="仿宋"/>
                <w:color w:val="333333"/>
                <w:kern w:val="0"/>
                <w:sz w:val="24"/>
                <w:szCs w:val="24"/>
                <w:lang w:bidi="ar"/>
              </w:rPr>
              <w:t>分，上限2</w:t>
            </w:r>
            <w:r>
              <w:rPr>
                <w:rFonts w:ascii="宋体" w:hAnsi="宋体" w:eastAsia="宋体" w:cs="仿宋"/>
                <w:color w:val="333333"/>
                <w:kern w:val="0"/>
                <w:sz w:val="24"/>
                <w:szCs w:val="24"/>
                <w:lang w:bidi="ar"/>
              </w:rPr>
              <w:t>0</w:t>
            </w:r>
            <w:r>
              <w:rPr>
                <w:rFonts w:hint="eastAsia" w:ascii="宋体" w:hAnsi="宋体" w:eastAsia="宋体" w:cs="仿宋"/>
                <w:color w:val="333333"/>
                <w:kern w:val="0"/>
                <w:sz w:val="24"/>
                <w:szCs w:val="24"/>
                <w:lang w:bidi="ar"/>
              </w:rPr>
              <w:t>分。</w:t>
            </w:r>
          </w:p>
        </w:tc>
        <w:tc>
          <w:tcPr>
            <w:tcW w:w="624" w:type="dxa"/>
            <w:noWrap w:val="0"/>
            <w:vAlign w:val="center"/>
          </w:tcPr>
          <w:p w14:paraId="66079F6F">
            <w:pPr>
              <w:widowControl/>
              <w:spacing w:line="360" w:lineRule="auto"/>
              <w:jc w:val="center"/>
              <w:textAlignment w:val="center"/>
              <w:rPr>
                <w:rFonts w:ascii="宋体" w:hAnsi="宋体" w:eastAsia="宋体" w:cs="仿宋"/>
                <w:color w:val="000000"/>
                <w:kern w:val="0"/>
                <w:sz w:val="24"/>
                <w:szCs w:val="24"/>
                <w:lang w:bidi="ar"/>
              </w:rPr>
            </w:pPr>
          </w:p>
        </w:tc>
      </w:tr>
      <w:tr w14:paraId="0FE5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7" w:type="dxa"/>
            <w:vMerge w:val="continue"/>
            <w:noWrap w:val="0"/>
            <w:vAlign w:val="center"/>
          </w:tcPr>
          <w:p w14:paraId="098644CA">
            <w:pPr>
              <w:pStyle w:val="4"/>
              <w:spacing w:line="360" w:lineRule="auto"/>
              <w:ind w:left="5250" w:firstLine="480"/>
              <w:rPr>
                <w:rFonts w:hAnsi="宋体" w:cs="仿宋"/>
                <w:szCs w:val="24"/>
              </w:rPr>
            </w:pPr>
          </w:p>
        </w:tc>
        <w:tc>
          <w:tcPr>
            <w:tcW w:w="564" w:type="dxa"/>
            <w:noWrap w:val="0"/>
            <w:vAlign w:val="center"/>
          </w:tcPr>
          <w:p w14:paraId="088C33EA">
            <w:pPr>
              <w:widowControl/>
              <w:spacing w:line="360" w:lineRule="auto"/>
              <w:jc w:val="center"/>
              <w:textAlignment w:val="center"/>
              <w:rPr>
                <w:rFonts w:ascii="宋体" w:hAnsi="宋体" w:eastAsia="宋体" w:cs="仿宋"/>
                <w:color w:val="000000"/>
                <w:kern w:val="0"/>
                <w:sz w:val="24"/>
                <w:szCs w:val="24"/>
                <w:lang w:bidi="ar"/>
              </w:rPr>
            </w:pPr>
            <w:r>
              <w:rPr>
                <w:rFonts w:hint="eastAsia" w:ascii="宋体" w:hAnsi="宋体" w:eastAsia="宋体" w:cs="仿宋"/>
                <w:color w:val="000000"/>
                <w:kern w:val="0"/>
                <w:sz w:val="24"/>
                <w:szCs w:val="24"/>
                <w:lang w:bidi="ar"/>
              </w:rPr>
              <w:t>2</w:t>
            </w:r>
          </w:p>
        </w:tc>
        <w:tc>
          <w:tcPr>
            <w:tcW w:w="7433" w:type="dxa"/>
            <w:gridSpan w:val="7"/>
            <w:noWrap w:val="0"/>
            <w:vAlign w:val="center"/>
          </w:tcPr>
          <w:p w14:paraId="327495D5">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kern w:val="0"/>
                <w:sz w:val="24"/>
                <w:szCs w:val="24"/>
              </w:rPr>
              <w:t>全年无重大安全运营事故，一次性加</w:t>
            </w:r>
            <w:r>
              <w:rPr>
                <w:rFonts w:hint="eastAsia" w:ascii="宋体" w:hAnsi="宋体" w:eastAsia="宋体" w:cs="仿宋"/>
                <w:color w:val="333333"/>
                <w:kern w:val="0"/>
                <w:sz w:val="24"/>
                <w:szCs w:val="24"/>
                <w:lang w:bidi="ar"/>
              </w:rPr>
              <w:t>1-10分</w:t>
            </w:r>
          </w:p>
        </w:tc>
        <w:tc>
          <w:tcPr>
            <w:tcW w:w="624" w:type="dxa"/>
            <w:noWrap w:val="0"/>
            <w:vAlign w:val="center"/>
          </w:tcPr>
          <w:p w14:paraId="692B2B05">
            <w:pPr>
              <w:widowControl/>
              <w:spacing w:line="360" w:lineRule="auto"/>
              <w:jc w:val="center"/>
              <w:textAlignment w:val="center"/>
              <w:rPr>
                <w:rFonts w:ascii="宋体" w:hAnsi="宋体" w:eastAsia="宋体" w:cs="仿宋"/>
                <w:color w:val="000000"/>
                <w:kern w:val="0"/>
                <w:sz w:val="24"/>
                <w:szCs w:val="24"/>
                <w:lang w:bidi="ar"/>
              </w:rPr>
            </w:pPr>
          </w:p>
        </w:tc>
      </w:tr>
      <w:tr w14:paraId="6C99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7" w:type="dxa"/>
            <w:vMerge w:val="continue"/>
            <w:noWrap w:val="0"/>
            <w:vAlign w:val="center"/>
          </w:tcPr>
          <w:p w14:paraId="6081FFAA">
            <w:pPr>
              <w:widowControl/>
              <w:spacing w:line="360" w:lineRule="auto"/>
              <w:jc w:val="center"/>
              <w:textAlignment w:val="center"/>
              <w:rPr>
                <w:rFonts w:ascii="宋体" w:hAnsi="宋体" w:eastAsia="宋体" w:cs="仿宋"/>
                <w:color w:val="000000"/>
                <w:kern w:val="0"/>
                <w:sz w:val="24"/>
                <w:szCs w:val="24"/>
                <w:lang w:bidi="ar"/>
              </w:rPr>
            </w:pPr>
          </w:p>
        </w:tc>
        <w:tc>
          <w:tcPr>
            <w:tcW w:w="564" w:type="dxa"/>
            <w:noWrap w:val="0"/>
            <w:vAlign w:val="center"/>
          </w:tcPr>
          <w:p w14:paraId="69050998">
            <w:pPr>
              <w:widowControl/>
              <w:spacing w:line="360" w:lineRule="auto"/>
              <w:jc w:val="center"/>
              <w:textAlignment w:val="center"/>
              <w:rPr>
                <w:rFonts w:ascii="宋体" w:hAnsi="宋体" w:eastAsia="宋体" w:cs="仿宋"/>
                <w:color w:val="000000"/>
                <w:kern w:val="0"/>
                <w:sz w:val="24"/>
                <w:szCs w:val="24"/>
                <w:lang w:bidi="ar"/>
              </w:rPr>
            </w:pPr>
            <w:r>
              <w:rPr>
                <w:rFonts w:hint="eastAsia" w:ascii="宋体" w:hAnsi="宋体" w:eastAsia="宋体" w:cs="仿宋"/>
                <w:color w:val="000000"/>
                <w:kern w:val="0"/>
                <w:sz w:val="24"/>
                <w:szCs w:val="24"/>
                <w:lang w:bidi="ar"/>
              </w:rPr>
              <w:t>3</w:t>
            </w:r>
          </w:p>
        </w:tc>
        <w:tc>
          <w:tcPr>
            <w:tcW w:w="7433" w:type="dxa"/>
            <w:gridSpan w:val="7"/>
            <w:noWrap w:val="0"/>
            <w:vAlign w:val="center"/>
          </w:tcPr>
          <w:p w14:paraId="113865C0">
            <w:pPr>
              <w:widowControl/>
              <w:spacing w:line="360" w:lineRule="auto"/>
              <w:jc w:val="left"/>
              <w:textAlignment w:val="center"/>
              <w:rPr>
                <w:rFonts w:ascii="宋体" w:hAnsi="宋体" w:eastAsia="宋体" w:cs="仿宋"/>
                <w:color w:val="333333"/>
                <w:kern w:val="0"/>
                <w:sz w:val="24"/>
                <w:szCs w:val="24"/>
                <w:lang w:bidi="ar"/>
              </w:rPr>
            </w:pPr>
            <w:r>
              <w:rPr>
                <w:rFonts w:hint="eastAsia" w:ascii="宋体" w:hAnsi="宋体" w:eastAsia="宋体" w:cs="仿宋"/>
                <w:color w:val="333333"/>
                <w:kern w:val="0"/>
                <w:sz w:val="24"/>
                <w:szCs w:val="24"/>
                <w:lang w:bidi="ar"/>
              </w:rPr>
              <w:t>出现拾金不昧等好人好事的，每件加</w:t>
            </w:r>
            <w:r>
              <w:rPr>
                <w:rFonts w:ascii="宋体" w:hAnsi="宋体" w:eastAsia="宋体" w:cs="仿宋"/>
                <w:color w:val="333333"/>
                <w:kern w:val="0"/>
                <w:sz w:val="24"/>
                <w:szCs w:val="24"/>
                <w:lang w:bidi="ar"/>
              </w:rPr>
              <w:t>3</w:t>
            </w:r>
            <w:r>
              <w:rPr>
                <w:rFonts w:hint="eastAsia" w:ascii="宋体" w:hAnsi="宋体" w:eastAsia="宋体" w:cs="仿宋"/>
                <w:color w:val="333333"/>
                <w:kern w:val="0"/>
                <w:sz w:val="24"/>
                <w:szCs w:val="24"/>
                <w:lang w:bidi="ar"/>
              </w:rPr>
              <w:t>-5分，上限2</w:t>
            </w:r>
            <w:r>
              <w:rPr>
                <w:rFonts w:ascii="宋体" w:hAnsi="宋体" w:eastAsia="宋体" w:cs="仿宋"/>
                <w:color w:val="333333"/>
                <w:kern w:val="0"/>
                <w:sz w:val="24"/>
                <w:szCs w:val="24"/>
                <w:lang w:bidi="ar"/>
              </w:rPr>
              <w:t>0</w:t>
            </w:r>
            <w:r>
              <w:rPr>
                <w:rFonts w:hint="eastAsia" w:ascii="宋体" w:hAnsi="宋体" w:eastAsia="宋体" w:cs="仿宋"/>
                <w:color w:val="333333"/>
                <w:kern w:val="0"/>
                <w:sz w:val="24"/>
                <w:szCs w:val="24"/>
                <w:lang w:bidi="ar"/>
              </w:rPr>
              <w:t>分。</w:t>
            </w:r>
          </w:p>
        </w:tc>
        <w:tc>
          <w:tcPr>
            <w:tcW w:w="624" w:type="dxa"/>
            <w:noWrap w:val="0"/>
            <w:vAlign w:val="center"/>
          </w:tcPr>
          <w:p w14:paraId="0816026F">
            <w:pPr>
              <w:widowControl/>
              <w:spacing w:line="360" w:lineRule="auto"/>
              <w:jc w:val="center"/>
              <w:textAlignment w:val="center"/>
              <w:rPr>
                <w:rFonts w:ascii="宋体" w:hAnsi="宋体" w:eastAsia="宋体" w:cs="仿宋"/>
                <w:color w:val="000000"/>
                <w:kern w:val="0"/>
                <w:sz w:val="24"/>
                <w:szCs w:val="24"/>
                <w:lang w:bidi="ar"/>
              </w:rPr>
            </w:pPr>
          </w:p>
        </w:tc>
      </w:tr>
      <w:tr w14:paraId="052F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79" w:type="dxa"/>
            <w:gridSpan w:val="3"/>
            <w:noWrap w:val="0"/>
            <w:vAlign w:val="center"/>
          </w:tcPr>
          <w:p w14:paraId="51480453">
            <w:pPr>
              <w:widowControl/>
              <w:tabs>
                <w:tab w:val="left" w:pos="1050"/>
              </w:tabs>
              <w:spacing w:line="360" w:lineRule="auto"/>
              <w:jc w:val="center"/>
              <w:textAlignment w:val="center"/>
              <w:rPr>
                <w:rFonts w:ascii="宋体" w:hAnsi="宋体" w:eastAsia="宋体" w:cs="仿宋"/>
                <w:color w:val="000000"/>
                <w:kern w:val="0"/>
                <w:sz w:val="24"/>
                <w:szCs w:val="24"/>
                <w:lang w:bidi="ar"/>
              </w:rPr>
            </w:pPr>
            <w:r>
              <w:rPr>
                <w:rFonts w:hint="eastAsia" w:ascii="宋体" w:hAnsi="宋体" w:eastAsia="宋体" w:cs="仿宋"/>
                <w:color w:val="000000"/>
                <w:kern w:val="0"/>
                <w:sz w:val="24"/>
                <w:szCs w:val="24"/>
                <w:lang w:bidi="ar"/>
              </w:rPr>
              <w:t>总分</w:t>
            </w:r>
          </w:p>
        </w:tc>
        <w:tc>
          <w:tcPr>
            <w:tcW w:w="7469" w:type="dxa"/>
            <w:gridSpan w:val="7"/>
            <w:noWrap w:val="0"/>
            <w:vAlign w:val="center"/>
          </w:tcPr>
          <w:p w14:paraId="18C734F4">
            <w:pPr>
              <w:widowControl/>
              <w:spacing w:line="360" w:lineRule="auto"/>
              <w:jc w:val="center"/>
              <w:textAlignment w:val="center"/>
              <w:rPr>
                <w:rFonts w:ascii="宋体" w:hAnsi="宋体" w:eastAsia="宋体" w:cs="仿宋"/>
                <w:color w:val="000000"/>
                <w:kern w:val="0"/>
                <w:sz w:val="24"/>
                <w:szCs w:val="24"/>
                <w:lang w:bidi="ar"/>
              </w:rPr>
            </w:pPr>
          </w:p>
        </w:tc>
      </w:tr>
      <w:bookmarkEnd w:id="12"/>
      <w:bookmarkEnd w:id="13"/>
    </w:tbl>
    <w:p w14:paraId="56CF3827">
      <w:pPr>
        <w:spacing w:line="360" w:lineRule="auto"/>
        <w:ind w:firstLine="482" w:firstLineChars="200"/>
        <w:rPr>
          <w:rFonts w:ascii="宋体" w:hAnsi="宋体" w:eastAsia="宋体" w:cs="仿宋"/>
          <w:b/>
          <w:bCs/>
          <w:sz w:val="24"/>
          <w:szCs w:val="24"/>
        </w:rPr>
      </w:pPr>
      <w:bookmarkStart w:id="20" w:name="OLE_LINK16"/>
      <w:bookmarkStart w:id="21" w:name="OLE_LINK15"/>
      <w:r>
        <w:rPr>
          <w:rFonts w:hint="eastAsia" w:ascii="宋体" w:hAnsi="宋体" w:eastAsia="宋体" w:cs="仿宋"/>
          <w:b/>
          <w:bCs/>
          <w:sz w:val="24"/>
          <w:szCs w:val="24"/>
        </w:rPr>
        <w:t>（二）退出机制</w:t>
      </w:r>
    </w:p>
    <w:p w14:paraId="16CEB838">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采购人对中标人实行考核淘汰与退出机制。</w:t>
      </w:r>
    </w:p>
    <w:p w14:paraId="568F899D">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1.正常退出</w:t>
      </w:r>
    </w:p>
    <w:p w14:paraId="7331BCEE">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合同期满后，中标人应按照合同约定的服务期限，组织人员和车辆按时退场。中标人按约定退场后，招标人按约定退还履约保证金剩余部分。</w:t>
      </w:r>
    </w:p>
    <w:p w14:paraId="26AC87AA">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2.提前退出</w:t>
      </w:r>
    </w:p>
    <w:p w14:paraId="148C3F11">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(1)因不可抗拒因素，</w:t>
      </w:r>
      <w:bookmarkStart w:id="22" w:name="OLE_LINK20"/>
      <w:bookmarkStart w:id="23" w:name="OLE_LINK19"/>
      <w:r>
        <w:rPr>
          <w:rFonts w:hint="eastAsia" w:ascii="宋体" w:hAnsi="宋体" w:eastAsia="宋体" w:cs="仿宋"/>
          <w:bCs/>
          <w:sz w:val="24"/>
          <w:szCs w:val="24"/>
        </w:rPr>
        <w:t>中标人</w:t>
      </w:r>
      <w:bookmarkEnd w:id="22"/>
      <w:bookmarkEnd w:id="23"/>
      <w:r>
        <w:rPr>
          <w:rFonts w:hint="eastAsia" w:ascii="宋体" w:hAnsi="宋体" w:eastAsia="宋体" w:cs="仿宋"/>
          <w:bCs/>
          <w:sz w:val="24"/>
          <w:szCs w:val="24"/>
        </w:rPr>
        <w:t>可申请提前退出，未尽事宜由双方协商解决。</w:t>
      </w:r>
    </w:p>
    <w:p w14:paraId="25667A63">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(2)因自身特殊原因无法继续经营的，中标人可提前两个月向招标人提交书面退出申请，经校方研究批准后，办理相关移交手续，终止合同，履约保证金不予退还。</w:t>
      </w:r>
    </w:p>
    <w:p w14:paraId="478CCBA0">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3.强制退出</w:t>
      </w:r>
    </w:p>
    <w:p w14:paraId="104A5768">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中标人在合同期间内出现下列情况之一的，招标人有权取消其校园运营资格，责令立即退场。</w:t>
      </w:r>
    </w:p>
    <w:p w14:paraId="2FA71FFE">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(1)经营期间违反学校相关规定制度，不服从校方管理，师生投诉率高，影响校园安全、扰乱校园秩序的；</w:t>
      </w:r>
    </w:p>
    <w:p w14:paraId="4C2D99F3">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(2)经营期间发生安全责任事故，给校方或师生造成较大财产损失或不良影响的；</w:t>
      </w:r>
    </w:p>
    <w:p w14:paraId="71D839FE">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(3)在经营期间违反国家法律法规，受到司法部门或行业主管部门处理的</w:t>
      </w:r>
      <w:bookmarkStart w:id="24" w:name="OLE_LINK21"/>
      <w:bookmarkStart w:id="25" w:name="OLE_LINK22"/>
      <w:r>
        <w:rPr>
          <w:rFonts w:hint="eastAsia" w:ascii="宋体" w:hAnsi="宋体" w:eastAsia="宋体" w:cs="仿宋"/>
          <w:bCs/>
          <w:sz w:val="24"/>
          <w:szCs w:val="24"/>
        </w:rPr>
        <w:t>；</w:t>
      </w:r>
      <w:bookmarkEnd w:id="24"/>
      <w:bookmarkEnd w:id="25"/>
    </w:p>
    <w:p w14:paraId="038BFA15">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(4)经营期间从事非法活动，损害公共利益的；</w:t>
      </w:r>
    </w:p>
    <w:p w14:paraId="705B2724">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(5)服务期间，擅自提高服务价格或将运营服务转包、分包给第三方的；</w:t>
      </w:r>
    </w:p>
    <w:p w14:paraId="45936CE1">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(6)由保卫处牵头，联合工会、团委、本科生工作部、研究生工作部、国有资产管理处及学生代表组成考核小组，对中标人服务工作进行年度考核。考核主要依据《安徽医科大学杏林路校区共享单车服务考核办法》执行，若考核低于80分，甲方有权提前单方面终止合同；</w:t>
      </w:r>
    </w:p>
    <w:p w14:paraId="73B3485D">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(7)招标人认定中标人不具备继续履约能力的其他情形。</w:t>
      </w:r>
    </w:p>
    <w:p w14:paraId="4EAA9ABE">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 xml:space="preserve">强制退出的条件包括但不限于上述条款。中标人在接到招标人强行退出通知后，须在3日内完成全部人员与车辆退场，并承担由此产生的一切经济损失及法律责任，履约保证金不予退还。在运营期间，中标人无论因何种原因退出经营，均须对已收取但未到期的月卡、学期卡等剩余费用，向用户无条件退还。 </w:t>
      </w:r>
    </w:p>
    <w:bookmarkEnd w:id="20"/>
    <w:bookmarkEnd w:id="21"/>
    <w:p w14:paraId="565B9E20">
      <w:pPr>
        <w:widowControl/>
        <w:autoSpaceDE w:val="0"/>
        <w:spacing w:line="360" w:lineRule="auto"/>
        <w:ind w:firstLine="480"/>
        <w:rPr>
          <w:rFonts w:ascii="宋体" w:hAnsi="宋体" w:eastAsia="宋体" w:cs="Arial"/>
          <w:b/>
          <w:sz w:val="24"/>
          <w:szCs w:val="24"/>
        </w:rPr>
      </w:pPr>
      <w:r>
        <w:rPr>
          <w:rFonts w:hint="eastAsia" w:ascii="宋体" w:hAnsi="宋体" w:eastAsia="宋体" w:cs="Arial"/>
          <w:b/>
          <w:sz w:val="24"/>
          <w:szCs w:val="24"/>
        </w:rPr>
        <w:t xml:space="preserve">五、其他要求 </w:t>
      </w:r>
    </w:p>
    <w:p w14:paraId="16B91423">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1.校园内投放的共享单车实行免押金骑行收费模式。</w:t>
      </w:r>
    </w:p>
    <w:p w14:paraId="1A0B899C">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2.按照低于市场价格标准，提供按月、按学期等多种付费选择。</w:t>
      </w:r>
    </w:p>
    <w:p w14:paraId="51872FD4">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3.投标人须根据上述服务要求，报按月、按学期骑行报价。报价包括车辆购置费、运营费、人工费、管理费、后期维护费、保险费、税金、利润、采购代理服务费等完成本项目的全部费用。报价若有缺漏项，视为优惠让利，已包含在总价范围内。</w:t>
      </w:r>
    </w:p>
    <w:p w14:paraId="79654403">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4.以低于市场价格提供包月、包学期（不限次数）骑行服务；月卡、学期卡有效期内，师生可在校外使用中标人投放的社会车辆，无需额外付费。</w:t>
      </w:r>
    </w:p>
    <w:p w14:paraId="45D6A5D8">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rPr>
        <w:t>5.校内共享车辆不得收取押金，不得通过变相优惠等方式收取其他费用，并不定期开展师生专属优惠骑行活动。</w:t>
      </w:r>
    </w:p>
    <w:p w14:paraId="0ADA2F0C">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lang w:val="en-US" w:eastAsia="zh-CN"/>
        </w:rPr>
        <w:t>6</w:t>
      </w:r>
      <w:r>
        <w:rPr>
          <w:rFonts w:hint="eastAsia" w:ascii="宋体" w:hAnsi="宋体" w:eastAsia="宋体" w:cs="仿宋"/>
          <w:bCs/>
          <w:sz w:val="24"/>
          <w:szCs w:val="24"/>
        </w:rPr>
        <w:t>.合同履行期限为三年，实行一年一签，每年考核合格后方可续签下一年度合同（具体起止时间以合同签订日期为准）。</w:t>
      </w:r>
    </w:p>
    <w:p w14:paraId="0B9A559A">
      <w:pPr>
        <w:spacing w:line="360" w:lineRule="auto"/>
        <w:ind w:firstLine="437"/>
        <w:rPr>
          <w:rFonts w:hint="eastAsia" w:ascii="宋体" w:hAnsi="宋体" w:eastAsia="宋体" w:cs="仿宋"/>
          <w:bCs/>
          <w:sz w:val="24"/>
          <w:szCs w:val="24"/>
        </w:rPr>
      </w:pPr>
      <w:r>
        <w:rPr>
          <w:rFonts w:hint="eastAsia" w:ascii="宋体" w:hAnsi="宋体" w:eastAsia="宋体" w:cs="仿宋"/>
          <w:bCs/>
          <w:sz w:val="24"/>
          <w:szCs w:val="24"/>
          <w:lang w:val="en-US" w:eastAsia="zh-CN"/>
        </w:rPr>
        <w:t>7</w:t>
      </w:r>
      <w:r>
        <w:rPr>
          <w:rFonts w:hint="eastAsia" w:ascii="宋体" w:hAnsi="宋体" w:eastAsia="宋体" w:cs="仿宋"/>
          <w:bCs/>
          <w:sz w:val="24"/>
          <w:szCs w:val="24"/>
        </w:rPr>
        <w:t>.服务地点为安徽医科大学杏林路校区指定区域。</w:t>
      </w:r>
    </w:p>
    <w:p w14:paraId="191DABC4">
      <w:pPr>
        <w:spacing w:line="360" w:lineRule="auto"/>
        <w:ind w:firstLine="437"/>
      </w:pPr>
      <w:bookmarkStart w:id="26" w:name="_GoBack"/>
      <w:bookmarkEnd w:id="26"/>
      <w:r>
        <w:rPr>
          <w:rFonts w:hint="eastAsia" w:ascii="宋体" w:hAnsi="宋体" w:eastAsia="宋体" w:cs="仿宋"/>
          <w:b/>
          <w:bCs/>
          <w:kern w:val="0"/>
          <w:sz w:val="24"/>
          <w:szCs w:val="24"/>
          <w:lang w:val="en-US" w:eastAsia="zh-CN" w:bidi="ar"/>
        </w:rPr>
        <w:t>8</w:t>
      </w:r>
      <w:r>
        <w:rPr>
          <w:rFonts w:ascii="宋体" w:hAnsi="宋体" w:eastAsia="宋体" w:cs="仿宋"/>
          <w:b/>
          <w:bCs/>
          <w:kern w:val="0"/>
          <w:sz w:val="24"/>
          <w:szCs w:val="24"/>
          <w:lang w:bidi="ar"/>
        </w:rPr>
        <w:t>.中标</w:t>
      </w:r>
      <w:r>
        <w:rPr>
          <w:rFonts w:hint="eastAsia" w:ascii="宋体" w:hAnsi="宋体" w:eastAsia="宋体" w:cs="仿宋"/>
          <w:b/>
          <w:bCs/>
          <w:kern w:val="0"/>
          <w:sz w:val="24"/>
          <w:szCs w:val="24"/>
          <w:lang w:bidi="ar"/>
        </w:rPr>
        <w:t>人</w:t>
      </w:r>
      <w:r>
        <w:rPr>
          <w:rFonts w:ascii="宋体" w:hAnsi="宋体" w:eastAsia="宋体" w:cs="仿宋"/>
          <w:b/>
          <w:bCs/>
          <w:kern w:val="0"/>
          <w:sz w:val="24"/>
          <w:szCs w:val="24"/>
          <w:lang w:bidi="ar"/>
        </w:rPr>
        <w:t>在合同签订并接到学校通知后，30日内完成全部车辆投放工作</w:t>
      </w:r>
      <w:r>
        <w:rPr>
          <w:rFonts w:hint="eastAsia" w:ascii="宋体" w:hAnsi="宋体" w:eastAsia="宋体" w:cs="仿宋"/>
          <w:b/>
          <w:bCs/>
          <w:kern w:val="0"/>
          <w:sz w:val="24"/>
          <w:szCs w:val="24"/>
          <w:lang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908AB"/>
    <w:rsid w:val="6B69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微软简标宋" w:hAnsi="@微软简标宋" w:eastAsia="@微软简标宋" w:cs="@微软简标宋"/>
      <w:szCs w:val="24"/>
      <w:lang w:val="zh-CN"/>
    </w:rPr>
  </w:style>
  <w:style w:type="paragraph" w:styleId="4">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 w:type="paragraph" w:customStyle="1" w:styleId="10">
    <w:name w:val="索引 41"/>
    <w:basedOn w:val="1"/>
    <w:qFormat/>
    <w:uiPriority w:val="0"/>
    <w:pPr>
      <w:ind w:left="600" w:leftChars="6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2026-04-23T05:33:00Z</dcterms:created>
  <dc:creator>森</dc:creator>
  <cp:lastModifiedBy>森</cp:lastModifiedBy>
  <dcterms:modified xsi:type="dcterms:W3CDTF">2026-04-23T05:35:04Z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03D08C25C7E340BB8830B0C3CDCDBE9D_11</vt:lpwstr>
  </property>
  <property fmtid="{D5CDD505-2E9C-101B-9397-08002B2CF9AE}" pid="4" name="KSOTemplateDocerSaveRecord">
    <vt:lpwstr>eyJoZGlkIjoiOTc3M2Y5NzIzMDFlZjAyY2Q4Njk5ODkyYjFjNzBiNTQiLCJ1c2VySWQiOiI0MzAwMTYzNzkifQ==</vt:lpwstr>
  </property>
</Properties>
</file>