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F9FFFE">
      <w:pPr>
        <w:wordWrap w:val="0"/>
        <w:spacing w:line="360" w:lineRule="auto"/>
        <w:jc w:val="center"/>
        <w:outlineLvl w:val="1"/>
        <w:rPr>
          <w:rFonts w:ascii="华文中宋" w:hAnsi="华文中宋" w:eastAsia="华文中宋" w:cs="Times New Roman"/>
          <w:b/>
          <w:bCs/>
          <w:color w:val="auto"/>
          <w:kern w:val="44"/>
          <w:sz w:val="44"/>
          <w:szCs w:val="44"/>
        </w:rPr>
      </w:pPr>
      <w:r>
        <w:rPr>
          <w:rFonts w:hint="eastAsia" w:ascii="华文中宋" w:hAnsi="华文中宋" w:eastAsia="华文中宋" w:cs="Times New Roman"/>
          <w:b/>
          <w:bCs/>
          <w:color w:val="auto"/>
          <w:kern w:val="44"/>
          <w:sz w:val="44"/>
          <w:szCs w:val="44"/>
        </w:rPr>
        <w:t>第三章  采购需求</w:t>
      </w:r>
    </w:p>
    <w:p w14:paraId="7681EE6C">
      <w:pPr>
        <w:wordWrap w:val="0"/>
        <w:spacing w:line="440" w:lineRule="exact"/>
        <w:jc w:val="left"/>
        <w:rPr>
          <w:rFonts w:ascii="宋体" w:hAnsi="宋体" w:eastAsia="宋体"/>
          <w:b/>
          <w:color w:val="auto"/>
          <w:sz w:val="24"/>
        </w:rPr>
      </w:pPr>
      <w:r>
        <w:rPr>
          <w:rFonts w:hint="eastAsia" w:ascii="宋体" w:hAnsi="宋体" w:eastAsia="宋体"/>
          <w:b/>
          <w:color w:val="auto"/>
          <w:sz w:val="24"/>
        </w:rPr>
        <w:t>前注：</w:t>
      </w:r>
    </w:p>
    <w:p w14:paraId="37C02698">
      <w:pPr>
        <w:wordWrap w:val="0"/>
        <w:spacing w:line="440" w:lineRule="exact"/>
        <w:ind w:firstLine="437"/>
        <w:jc w:val="left"/>
        <w:rPr>
          <w:rFonts w:ascii="宋体" w:hAnsi="宋体" w:eastAsia="宋体"/>
          <w:color w:val="auto"/>
          <w:sz w:val="24"/>
        </w:rPr>
      </w:pPr>
      <w:r>
        <w:rPr>
          <w:rFonts w:hint="eastAsia" w:ascii="宋体" w:hAnsi="宋体" w:eastAsia="宋体"/>
          <w:color w:val="auto"/>
          <w:sz w:val="24"/>
        </w:rPr>
        <w:t>1.</w:t>
      </w:r>
      <w:r>
        <w:rPr>
          <w:rFonts w:ascii="宋体" w:hAnsi="宋体" w:eastAsia="宋体"/>
          <w:color w:val="auto"/>
          <w:sz w:val="24"/>
        </w:rPr>
        <w:t>本说明中提出的</w:t>
      </w:r>
      <w:r>
        <w:rPr>
          <w:rFonts w:hint="eastAsia" w:ascii="宋体" w:hAnsi="宋体" w:eastAsia="宋体"/>
          <w:color w:val="auto"/>
          <w:sz w:val="24"/>
        </w:rPr>
        <w:t>服务</w:t>
      </w:r>
      <w:r>
        <w:rPr>
          <w:rFonts w:ascii="宋体" w:hAnsi="宋体" w:eastAsia="宋体"/>
          <w:color w:val="auto"/>
          <w:sz w:val="24"/>
        </w:rPr>
        <w:t>方案仅为参考，如无明确限制，供应商可以进行优化，提供满足用户实际需要的更优（或者性能实质上不低于的）</w:t>
      </w:r>
      <w:r>
        <w:rPr>
          <w:rFonts w:hint="eastAsia" w:ascii="宋体" w:hAnsi="宋体" w:eastAsia="宋体"/>
          <w:color w:val="auto"/>
          <w:sz w:val="24"/>
        </w:rPr>
        <w:t>服务</w:t>
      </w:r>
      <w:r>
        <w:rPr>
          <w:rFonts w:ascii="宋体" w:hAnsi="宋体" w:eastAsia="宋体"/>
          <w:color w:val="auto"/>
          <w:sz w:val="24"/>
        </w:rPr>
        <w:t>方案，且此方案须经磋商小组评审认可</w:t>
      </w:r>
      <w:r>
        <w:rPr>
          <w:rFonts w:hint="eastAsia" w:ascii="宋体" w:hAnsi="宋体" w:eastAsia="宋体"/>
          <w:color w:val="auto"/>
          <w:sz w:val="24"/>
        </w:rPr>
        <w:t>。</w:t>
      </w:r>
    </w:p>
    <w:p w14:paraId="61445A63">
      <w:pPr>
        <w:wordWrap w:val="0"/>
        <w:spacing w:line="440" w:lineRule="exact"/>
        <w:ind w:firstLine="437"/>
        <w:jc w:val="left"/>
        <w:rPr>
          <w:rFonts w:ascii="宋体" w:hAnsi="宋体" w:eastAsia="宋体" w:cs="宋体"/>
          <w:b/>
          <w:color w:val="auto"/>
          <w:sz w:val="28"/>
          <w:szCs w:val="28"/>
        </w:rPr>
      </w:pPr>
      <w:r>
        <w:rPr>
          <w:rFonts w:hint="eastAsia" w:ascii="宋体" w:hAnsi="宋体" w:eastAsia="宋体" w:cs="宋体"/>
          <w:b/>
          <w:color w:val="auto"/>
          <w:sz w:val="28"/>
          <w:szCs w:val="28"/>
        </w:rPr>
        <w:t>一、采购需求前附表</w:t>
      </w:r>
    </w:p>
    <w:tbl>
      <w:tblPr>
        <w:tblStyle w:val="4"/>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56445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2" w:hRule="atLeast"/>
          <w:jc w:val="center"/>
        </w:trPr>
        <w:tc>
          <w:tcPr>
            <w:tcW w:w="1004" w:type="dxa"/>
            <w:noWrap w:val="0"/>
            <w:vAlign w:val="center"/>
          </w:tcPr>
          <w:p w14:paraId="30EB91DB">
            <w:pPr>
              <w:pStyle w:val="6"/>
              <w:rPr>
                <w:color w:val="auto"/>
              </w:rPr>
            </w:pPr>
            <w:r>
              <w:rPr>
                <w:rFonts w:hint="eastAsia"/>
                <w:color w:val="auto"/>
              </w:rPr>
              <w:t>序号</w:t>
            </w:r>
          </w:p>
        </w:tc>
        <w:tc>
          <w:tcPr>
            <w:tcW w:w="2025" w:type="dxa"/>
            <w:noWrap w:val="0"/>
            <w:vAlign w:val="center"/>
          </w:tcPr>
          <w:p w14:paraId="35E7E2A2">
            <w:pPr>
              <w:pStyle w:val="7"/>
              <w:widowControl w:val="0"/>
              <w:wordWrap w:val="0"/>
              <w:spacing w:before="0" w:beforeAutospacing="0" w:after="0" w:afterAutospacing="0"/>
              <w:rPr>
                <w:rFonts w:ascii="宋体" w:hAnsi="宋体" w:eastAsia="宋体"/>
                <w:bCs w:val="0"/>
                <w:color w:val="auto"/>
                <w:sz w:val="24"/>
              </w:rPr>
            </w:pPr>
            <w:r>
              <w:rPr>
                <w:rFonts w:hint="eastAsia" w:ascii="宋体" w:hAnsi="宋体" w:eastAsia="宋体"/>
                <w:bCs w:val="0"/>
                <w:color w:val="auto"/>
                <w:sz w:val="24"/>
              </w:rPr>
              <w:t>内容</w:t>
            </w:r>
          </w:p>
        </w:tc>
        <w:tc>
          <w:tcPr>
            <w:tcW w:w="5466" w:type="dxa"/>
            <w:noWrap w:val="0"/>
            <w:vAlign w:val="center"/>
          </w:tcPr>
          <w:p w14:paraId="592AE553">
            <w:pPr>
              <w:pStyle w:val="7"/>
              <w:widowControl w:val="0"/>
              <w:wordWrap w:val="0"/>
              <w:spacing w:before="0" w:beforeAutospacing="0" w:after="0" w:afterAutospacing="0"/>
              <w:rPr>
                <w:rFonts w:ascii="宋体" w:hAnsi="宋体" w:eastAsia="宋体"/>
                <w:bCs w:val="0"/>
                <w:color w:val="auto"/>
                <w:sz w:val="24"/>
              </w:rPr>
            </w:pPr>
            <w:r>
              <w:rPr>
                <w:rFonts w:hint="eastAsia" w:ascii="宋体" w:hAnsi="宋体" w:eastAsia="宋体"/>
                <w:bCs w:val="0"/>
                <w:color w:val="auto"/>
                <w:sz w:val="24"/>
              </w:rPr>
              <w:t>说明与要求</w:t>
            </w:r>
          </w:p>
        </w:tc>
      </w:tr>
      <w:tr w14:paraId="71E1C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4DE36C8F">
            <w:pPr>
              <w:pStyle w:val="6"/>
              <w:wordWrap/>
              <w:snapToGrid w:val="0"/>
              <w:spacing w:line="240" w:lineRule="exact"/>
              <w:rPr>
                <w:color w:val="auto"/>
              </w:rPr>
            </w:pPr>
            <w:r>
              <w:rPr>
                <w:rFonts w:hint="eastAsia"/>
                <w:color w:val="auto"/>
              </w:rPr>
              <w:t>1</w:t>
            </w:r>
          </w:p>
        </w:tc>
        <w:tc>
          <w:tcPr>
            <w:tcW w:w="2025" w:type="dxa"/>
            <w:noWrap w:val="0"/>
            <w:vAlign w:val="center"/>
          </w:tcPr>
          <w:p w14:paraId="6940CF04">
            <w:pPr>
              <w:pStyle w:val="7"/>
              <w:widowControl w:val="0"/>
              <w:snapToGrid w:val="0"/>
              <w:spacing w:before="0" w:beforeAutospacing="0" w:after="0" w:afterAutospacing="0" w:line="240" w:lineRule="exact"/>
              <w:rPr>
                <w:rFonts w:ascii="宋体" w:hAnsi="宋体" w:eastAsia="宋体"/>
                <w:b w:val="0"/>
                <w:color w:val="auto"/>
                <w:sz w:val="24"/>
              </w:rPr>
            </w:pPr>
            <w:r>
              <w:rPr>
                <w:rFonts w:hint="eastAsia" w:ascii="宋体" w:hAnsi="宋体" w:eastAsia="宋体"/>
                <w:b w:val="0"/>
                <w:color w:val="auto"/>
                <w:sz w:val="24"/>
              </w:rPr>
              <w:t>付款方式</w:t>
            </w:r>
          </w:p>
        </w:tc>
        <w:tc>
          <w:tcPr>
            <w:tcW w:w="5466" w:type="dxa"/>
            <w:noWrap w:val="0"/>
            <w:vAlign w:val="center"/>
          </w:tcPr>
          <w:p w14:paraId="34E63D9A">
            <w:pPr>
              <w:pStyle w:val="2"/>
              <w:snapToGrid w:val="0"/>
              <w:spacing w:line="240" w:lineRule="exact"/>
              <w:jc w:val="both"/>
              <w:rPr>
                <w:rFonts w:hint="eastAsia" w:cs="宋体"/>
                <w:color w:val="auto"/>
                <w:kern w:val="0"/>
                <w:sz w:val="24"/>
                <w:szCs w:val="24"/>
              </w:rPr>
            </w:pPr>
            <w:r>
              <w:rPr>
                <w:rFonts w:hint="eastAsia" w:cs="宋体"/>
                <w:color w:val="auto"/>
                <w:kern w:val="0"/>
                <w:sz w:val="24"/>
                <w:szCs w:val="24"/>
              </w:rPr>
              <w:t>项目完成，验收合格，一次性支付成交金额1</w:t>
            </w:r>
            <w:r>
              <w:rPr>
                <w:rFonts w:cs="宋体"/>
                <w:color w:val="auto"/>
                <w:kern w:val="0"/>
                <w:sz w:val="24"/>
                <w:szCs w:val="24"/>
              </w:rPr>
              <w:t>00%</w:t>
            </w:r>
          </w:p>
        </w:tc>
      </w:tr>
      <w:tr w14:paraId="7CDC4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3AF76019">
            <w:pPr>
              <w:pStyle w:val="6"/>
              <w:wordWrap/>
              <w:snapToGrid w:val="0"/>
              <w:spacing w:line="240" w:lineRule="exact"/>
              <w:rPr>
                <w:color w:val="auto"/>
              </w:rPr>
            </w:pPr>
            <w:r>
              <w:rPr>
                <w:rFonts w:hint="eastAsia"/>
                <w:color w:val="auto"/>
              </w:rPr>
              <w:t>2</w:t>
            </w:r>
          </w:p>
        </w:tc>
        <w:tc>
          <w:tcPr>
            <w:tcW w:w="2025" w:type="dxa"/>
            <w:noWrap w:val="0"/>
            <w:vAlign w:val="center"/>
          </w:tcPr>
          <w:p w14:paraId="724F52C7">
            <w:pPr>
              <w:pStyle w:val="7"/>
              <w:widowControl w:val="0"/>
              <w:snapToGrid w:val="0"/>
              <w:spacing w:before="0" w:beforeAutospacing="0" w:after="0" w:afterAutospacing="0" w:line="240" w:lineRule="exact"/>
              <w:rPr>
                <w:rFonts w:ascii="宋体" w:hAnsi="宋体" w:eastAsia="宋体"/>
                <w:b w:val="0"/>
                <w:color w:val="auto"/>
                <w:sz w:val="24"/>
              </w:rPr>
            </w:pPr>
            <w:r>
              <w:rPr>
                <w:rFonts w:hint="eastAsia" w:ascii="宋体" w:hAnsi="宋体" w:eastAsia="宋体"/>
                <w:b w:val="0"/>
                <w:color w:val="auto"/>
                <w:sz w:val="24"/>
              </w:rPr>
              <w:t>服务地点</w:t>
            </w:r>
          </w:p>
        </w:tc>
        <w:tc>
          <w:tcPr>
            <w:tcW w:w="5466" w:type="dxa"/>
            <w:noWrap w:val="0"/>
            <w:vAlign w:val="center"/>
          </w:tcPr>
          <w:p w14:paraId="562196EE">
            <w:pPr>
              <w:pStyle w:val="2"/>
              <w:snapToGrid w:val="0"/>
              <w:spacing w:line="240" w:lineRule="exact"/>
              <w:jc w:val="both"/>
              <w:rPr>
                <w:rFonts w:hint="eastAsia" w:cs="宋体"/>
                <w:color w:val="auto"/>
                <w:kern w:val="0"/>
                <w:sz w:val="24"/>
                <w:szCs w:val="24"/>
              </w:rPr>
            </w:pPr>
            <w:r>
              <w:rPr>
                <w:rFonts w:hint="eastAsia" w:cs="宋体"/>
                <w:color w:val="auto"/>
                <w:kern w:val="0"/>
                <w:sz w:val="24"/>
                <w:szCs w:val="24"/>
              </w:rPr>
              <w:t>安徽理工大学或采购人指定地点。</w:t>
            </w:r>
          </w:p>
        </w:tc>
      </w:tr>
      <w:tr w14:paraId="47120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004" w:type="dxa"/>
            <w:noWrap w:val="0"/>
            <w:vAlign w:val="center"/>
          </w:tcPr>
          <w:p w14:paraId="60EB8DE4">
            <w:pPr>
              <w:pStyle w:val="6"/>
              <w:wordWrap/>
              <w:snapToGrid w:val="0"/>
              <w:spacing w:line="240" w:lineRule="exact"/>
              <w:rPr>
                <w:color w:val="auto"/>
              </w:rPr>
            </w:pPr>
            <w:r>
              <w:rPr>
                <w:rFonts w:hint="eastAsia"/>
                <w:color w:val="auto"/>
              </w:rPr>
              <w:t>3</w:t>
            </w:r>
          </w:p>
        </w:tc>
        <w:tc>
          <w:tcPr>
            <w:tcW w:w="2025" w:type="dxa"/>
            <w:noWrap w:val="0"/>
            <w:vAlign w:val="center"/>
          </w:tcPr>
          <w:p w14:paraId="7CB660AA">
            <w:pPr>
              <w:pStyle w:val="7"/>
              <w:widowControl w:val="0"/>
              <w:snapToGrid w:val="0"/>
              <w:spacing w:before="0" w:beforeAutospacing="0" w:after="0" w:afterAutospacing="0" w:line="240" w:lineRule="exact"/>
              <w:rPr>
                <w:rFonts w:ascii="宋体" w:hAnsi="宋体" w:eastAsia="宋体"/>
                <w:b w:val="0"/>
                <w:color w:val="auto"/>
                <w:sz w:val="24"/>
              </w:rPr>
            </w:pPr>
            <w:r>
              <w:rPr>
                <w:rFonts w:hint="eastAsia" w:ascii="宋体" w:hAnsi="宋体" w:eastAsia="宋体"/>
                <w:b w:val="0"/>
                <w:color w:val="auto"/>
                <w:sz w:val="24"/>
              </w:rPr>
              <w:t>服务期限</w:t>
            </w:r>
          </w:p>
        </w:tc>
        <w:tc>
          <w:tcPr>
            <w:tcW w:w="5466" w:type="dxa"/>
            <w:noWrap w:val="0"/>
            <w:vAlign w:val="center"/>
          </w:tcPr>
          <w:p w14:paraId="5AAD5258">
            <w:pPr>
              <w:pStyle w:val="2"/>
              <w:snapToGrid w:val="0"/>
              <w:spacing w:line="240" w:lineRule="exact"/>
              <w:jc w:val="both"/>
              <w:rPr>
                <w:rFonts w:hint="eastAsia" w:cs="宋体"/>
                <w:color w:val="auto"/>
                <w:kern w:val="0"/>
                <w:sz w:val="24"/>
                <w:szCs w:val="24"/>
              </w:rPr>
            </w:pPr>
            <w:r>
              <w:rPr>
                <w:rFonts w:hint="eastAsia" w:cs="宋体"/>
                <w:color w:val="auto"/>
                <w:kern w:val="0"/>
                <w:sz w:val="24"/>
                <w:szCs w:val="24"/>
              </w:rPr>
              <w:t>招生录取管理系统本地化部署，合同签订后7天内完成；智能问答平台期使用1年</w:t>
            </w:r>
          </w:p>
        </w:tc>
      </w:tr>
    </w:tbl>
    <w:p w14:paraId="1463BE1F">
      <w:pPr>
        <w:wordWrap w:val="0"/>
        <w:spacing w:line="440" w:lineRule="exact"/>
        <w:ind w:firstLine="437"/>
        <w:jc w:val="left"/>
        <w:rPr>
          <w:rFonts w:ascii="宋体" w:hAnsi="宋体" w:eastAsia="宋体"/>
          <w:color w:val="auto"/>
          <w:sz w:val="24"/>
        </w:rPr>
      </w:pPr>
      <w:r>
        <w:rPr>
          <w:rFonts w:hint="eastAsia" w:ascii="宋体" w:hAnsi="宋体" w:eastAsia="宋体"/>
          <w:b/>
          <w:color w:val="auto"/>
          <w:sz w:val="28"/>
          <w:szCs w:val="28"/>
        </w:rPr>
        <w:t>二、服务需求</w:t>
      </w:r>
    </w:p>
    <w:p w14:paraId="5D87B860">
      <w:pPr>
        <w:wordWrap w:val="0"/>
        <w:spacing w:line="440" w:lineRule="exact"/>
        <w:ind w:firstLine="437"/>
        <w:rPr>
          <w:rFonts w:hint="eastAsia" w:ascii="宋体" w:hAnsi="宋体" w:eastAsia="宋体"/>
          <w:bCs/>
          <w:color w:val="auto"/>
          <w:sz w:val="24"/>
          <w:szCs w:val="24"/>
        </w:rPr>
      </w:pPr>
      <w:r>
        <w:rPr>
          <w:rFonts w:hint="eastAsia" w:ascii="宋体" w:hAnsi="宋体" w:eastAsia="宋体"/>
          <w:b/>
          <w:color w:val="auto"/>
          <w:sz w:val="24"/>
          <w:szCs w:val="24"/>
        </w:rPr>
        <w:t>（一）智能问答系统</w:t>
      </w:r>
    </w:p>
    <w:p w14:paraId="06C0F6A1">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为我校开通智能答疑系统，系统需接入deepseek大模型，提供全天候7*24小时咨询服务，提升招考咨询的答疑精准度，缓解人工在线答疑和电话接听压力。系统应能自动识别并回复考生问题，提供文档解析、上下文语义理解、多轮对话、大模型兜底回复等能力，支持在线咨询、在线留言、语音提问等功能，同时可在百度、搜狗、360搜索、学习强国、夸克、支付宝等主流平台提供考生咨询入口，后台支持多维度数据总结分析。</w:t>
      </w:r>
    </w:p>
    <w:p w14:paraId="5060F82B">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（二）招生录取数据管理系统</w:t>
      </w:r>
    </w:p>
    <w:p w14:paraId="1F1AF4C6">
      <w:pPr>
        <w:wordWrap w:val="0"/>
        <w:spacing w:line="440" w:lineRule="exact"/>
        <w:ind w:firstLine="437"/>
        <w:rPr>
          <w:rFonts w:hint="eastAsia" w:ascii="宋体" w:hAnsi="宋体" w:eastAsia="宋体"/>
          <w:bCs/>
          <w:color w:val="auto"/>
          <w:sz w:val="24"/>
          <w:szCs w:val="24"/>
        </w:rPr>
      </w:pPr>
      <w:r>
        <w:rPr>
          <w:rFonts w:hint="eastAsia" w:ascii="宋体" w:hAnsi="宋体" w:eastAsia="宋体"/>
          <w:b/>
          <w:color w:val="auto"/>
          <w:sz w:val="24"/>
          <w:szCs w:val="24"/>
        </w:rPr>
        <w:t>1.核心总览与配置</w:t>
      </w:r>
    </w:p>
    <w:p w14:paraId="1ABA0855">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综合数据总览：需在一个界面内集成展示近三年录取趋势、各省计划与报到情况、生源结构、专业志愿率等关键指标，实现招生全貌的多维度可视化监测。</w:t>
      </w:r>
    </w:p>
    <w:p w14:paraId="745C15B4">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统计规则自定义：支持基于全库字段，通过图形化界面自由组合维度与指标，创建个性化统计视图与可复用模板，实现高度自主的数据分析。</w:t>
      </w:r>
    </w:p>
    <w:p w14:paraId="08A4C395">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2.数据全流程管理</w:t>
      </w:r>
    </w:p>
    <w:p w14:paraId="05A90E57">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系统需具备完整的数据处理能力，涵盖招生录取、计划、报到、档案照片等各类数据的导入、标准化处理、查询导出与发布。同时，系统应提供计划编制、迎新分班、问卷及费用统计等辅助管理功能。</w:t>
      </w:r>
    </w:p>
    <w:p w14:paraId="62F3AE0A">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3.通知书全流程管理</w:t>
      </w:r>
    </w:p>
    <w:p w14:paraId="23030812">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需提供专业的通知书全流程管理功能。支持按规则自动生成唯一编号并查重；必须提供在线可视化模板编辑器，支持通过拖拽方式自主设计版面，灵活配置校徽、文字、字段等元素，并能为不同招生类型设置专属模板；同时支持与邮政、银行系统对接，实现批量打印、物流跟踪及关联信息同步。</w:t>
      </w:r>
    </w:p>
    <w:p w14:paraId="1E576E63">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4.关键数据处理能力</w:t>
      </w:r>
    </w:p>
    <w:p w14:paraId="78FBE562">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成绩项标准化管理：内置全国各省标准成绩项库，支持自定义成绩项创建与统一映射，确保多省份异构成绩数据的准确性与可比性。</w:t>
      </w:r>
    </w:p>
    <w:p w14:paraId="6D465839">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预科生专业分流：支持按预设规则自动完成预科生至当年专业的学籍转换与数据衔接。</w:t>
      </w:r>
    </w:p>
    <w:p w14:paraId="29129569">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5.高级分析与报告</w:t>
      </w:r>
    </w:p>
    <w:p w14:paraId="43181923">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自定义统计分析：支持通过可视化界面自主选择维度与指标，实时生成多维度交叉分析报表与图表。</w:t>
      </w:r>
    </w:p>
    <w:p w14:paraId="2762DE02">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院校数据对比分析：支持全国31个省份同层次院校的投档线及专业录取分数横向对比。</w:t>
      </w:r>
    </w:p>
    <w:p w14:paraId="1DA2B908">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精细化生源质量报告：基于三级模块结构，自动生成涵盖生源分布、质量指标与专业竞争力的Word版详情报告，支持在线调整与模板管理。</w:t>
      </w:r>
    </w:p>
    <w:p w14:paraId="42478D18">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6</w:t>
      </w:r>
      <w:r>
        <w:rPr>
          <w:rFonts w:ascii="宋体" w:hAnsi="宋体" w:eastAsia="宋体"/>
          <w:b/>
          <w:color w:val="auto"/>
          <w:sz w:val="24"/>
          <w:szCs w:val="24"/>
        </w:rPr>
        <w:t>.</w:t>
      </w:r>
      <w:r>
        <w:rPr>
          <w:rFonts w:hint="eastAsia" w:ascii="宋体" w:hAnsi="宋体" w:eastAsia="宋体"/>
          <w:b/>
          <w:color w:val="auto"/>
          <w:sz w:val="24"/>
          <w:szCs w:val="24"/>
        </w:rPr>
        <w:t>系统管理与集成</w:t>
      </w:r>
    </w:p>
    <w:p w14:paraId="633E13DD">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系统需具备完善的权限、用户与日志管理功能，并提供标准化接口以实现与校内其他系统的安全数据互通。</w:t>
      </w:r>
    </w:p>
    <w:p w14:paraId="6358638E">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7</w:t>
      </w:r>
      <w:r>
        <w:rPr>
          <w:rFonts w:ascii="宋体" w:hAnsi="宋体" w:eastAsia="宋体"/>
          <w:b/>
          <w:color w:val="auto"/>
          <w:sz w:val="24"/>
          <w:szCs w:val="24"/>
        </w:rPr>
        <w:t>.</w:t>
      </w:r>
      <w:r>
        <w:rPr>
          <w:rFonts w:hint="eastAsia" w:ascii="宋体" w:hAnsi="宋体" w:eastAsia="宋体"/>
          <w:b/>
          <w:color w:val="auto"/>
          <w:sz w:val="24"/>
          <w:szCs w:val="24"/>
        </w:rPr>
        <w:t>技术要求</w:t>
      </w:r>
    </w:p>
    <w:p w14:paraId="474C5F85">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系统部署与架构</w:t>
      </w:r>
    </w:p>
    <w:p w14:paraId="0AB9BD79">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系统须支持本地化部署于校内服务器，采用B/S架构。</w:t>
      </w:r>
    </w:p>
    <w:p w14:paraId="45A4205A">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须具备内网隔离运行能力，可切断外网访问，仅通过校园内网进行数据操作，保障物理与环境安全。</w:t>
      </w:r>
    </w:p>
    <w:p w14:paraId="1F2DE002">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数据存储与交换</w:t>
      </w:r>
    </w:p>
    <w:p w14:paraId="4CDC2A1B">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须支持10年以上全量招生数据（含结构化数据及照片、档案等非结构化文件）的存储，并配备自动化全量与增量备份机制。</w:t>
      </w:r>
    </w:p>
    <w:p w14:paraId="01E661E3">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须提供标准化API接口或数据中间件，支持与校内教务、学工等业务系统实现安全、规范的数据交换。</w:t>
      </w:r>
    </w:p>
    <w:p w14:paraId="1B9BDAA1">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权限审计与安全</w:t>
      </w:r>
    </w:p>
    <w:p w14:paraId="30DAB691">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系统须支持多角色、多部门的在线协同工作与精细化的权限控制。</w:t>
      </w:r>
    </w:p>
    <w:p w14:paraId="288BC58A">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须实现操作日志全记录、数据传输HTTPS加密、敏感数据落地加密等安全措施，确保操作可追溯、数据可审计。</w:t>
      </w:r>
    </w:p>
    <w:p w14:paraId="094DB2FF">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性能与集成</w:t>
      </w:r>
    </w:p>
    <w:p w14:paraId="4498B2DA">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系统须具备高并发处理能力，确保在招生季高峰期支持百人级用户同时在线操作。</w:t>
      </w:r>
    </w:p>
    <w:p w14:paraId="44929447">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须具备良好的扩展性与兼容性，支持与学校统一身份认证（OA）、门户等现有系统集成，避免信息孤岛。</w:t>
      </w:r>
    </w:p>
    <w:p w14:paraId="11502633">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（三）招生宣传管理系统</w:t>
      </w:r>
    </w:p>
    <w:p w14:paraId="55E7A694">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招生宣传管理系统旨在实现对于我校线下招生宣传工作的统一管理、审批反馈、对外发布、活动管理和可视化分析，通过集合前端填报、后端管理、数据资料存储、可视化分析等子系统，实现对于招生宣传工作线上一站式管理。系统主要分为招生宣传管理模块和返校活动管理模块两大模块。</w:t>
      </w:r>
    </w:p>
    <w:p w14:paraId="1FE30ACB">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招生宣传管理功能性需求</w:t>
      </w:r>
    </w:p>
    <w:p w14:paraId="1D166515">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招生宣传管理应包含管理端和手机端，集招生团队管理、活动管理、物料管理、生源管理、数据分析于一体，贯穿整个招生宣传活动。</w:t>
      </w:r>
    </w:p>
    <w:p w14:paraId="76F39E39">
      <w:pPr>
        <w:wordWrap w:val="0"/>
        <w:spacing w:line="440" w:lineRule="exact"/>
        <w:ind w:firstLine="437"/>
        <w:rPr>
          <w:rFonts w:hint="eastAsia" w:ascii="宋体" w:hAnsi="宋体" w:eastAsia="宋体"/>
          <w:b/>
          <w:color w:val="auto"/>
          <w:sz w:val="24"/>
          <w:szCs w:val="24"/>
        </w:rPr>
      </w:pPr>
      <w:r>
        <w:rPr>
          <w:rFonts w:ascii="宋体" w:hAnsi="宋体" w:eastAsia="宋体"/>
          <w:b/>
          <w:color w:val="auto"/>
          <w:sz w:val="24"/>
          <w:szCs w:val="24"/>
        </w:rPr>
        <w:t>1.</w:t>
      </w:r>
      <w:r>
        <w:rPr>
          <w:rFonts w:hint="eastAsia" w:ascii="宋体" w:hAnsi="宋体" w:eastAsia="宋体"/>
          <w:b/>
          <w:color w:val="auto"/>
          <w:sz w:val="24"/>
          <w:szCs w:val="24"/>
        </w:rPr>
        <w:t>管理端</w:t>
      </w:r>
    </w:p>
    <w:p w14:paraId="41B6BB52">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1.1招生团队管理</w:t>
      </w:r>
    </w:p>
    <w:p w14:paraId="1E9A7B82">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系统应支持对招生组信息进行管理，支持批量导入招生组、支持灵活创建、修改和删除招生组，支持编辑招生组基本信息、编辑招生组成员、组长。</w:t>
      </w:r>
    </w:p>
    <w:p w14:paraId="0A17AB05">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1</w:t>
      </w:r>
      <w:r>
        <w:rPr>
          <w:rFonts w:ascii="宋体" w:hAnsi="宋体" w:eastAsia="宋体"/>
          <w:b/>
          <w:color w:val="auto"/>
          <w:sz w:val="24"/>
          <w:szCs w:val="24"/>
        </w:rPr>
        <w:t>.</w:t>
      </w:r>
      <w:r>
        <w:rPr>
          <w:rFonts w:hint="eastAsia" w:ascii="宋体" w:hAnsi="宋体" w:eastAsia="宋体"/>
          <w:b/>
          <w:color w:val="auto"/>
          <w:sz w:val="24"/>
          <w:szCs w:val="24"/>
        </w:rPr>
        <w:t>2招生活动管理</w:t>
      </w:r>
    </w:p>
    <w:p w14:paraId="21783F1B">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系统应支持便捷创建、编辑及管理各类招生活动行程，涵盖活动名称、时间、地点、参与人员、活动类型、活动行程等关键信息的录入与调整，确保活动行程的完整性和准确性。</w:t>
      </w:r>
    </w:p>
    <w:p w14:paraId="4BE23F48">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系统应建立完善的行程信息提交与审核流程，招生团队成员可通过移动端灵活提交行程信息，管理人员能够及时进行审批，实现信息的快速流转和高效处理，避免因沟通不畅或审批延迟导致的活动安排不合理。</w:t>
      </w:r>
    </w:p>
    <w:p w14:paraId="00DD0423">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系统应支持行程变更的实时同步，当行程信息发生变化时，系统能够自动通知相关成员，确保每位成员都能及时获取最新的行程安排，避免因信息滞后导致的工作失误。</w:t>
      </w:r>
    </w:p>
    <w:p w14:paraId="2605F9ED">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1. 3宣传物料管理</w:t>
      </w:r>
    </w:p>
    <w:p w14:paraId="2A8CEEEB">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系统应支持搭建学校物料信息库，涵盖宣传彩页、笔记本、易拉宝等各类招生宣传物料的名称、规格、图片等详细信息，方便管理人员随时查询和管理物料的使用情况。</w:t>
      </w:r>
    </w:p>
    <w:p w14:paraId="55651DBB">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系统应支持招生团队成员快速申领行程必需物料的功能，通过物料申请流程，成员可自行填写邮寄信息，后台统一邮寄，全程手机端操作，减少线下繁琐审批环节，提高物料申领的便捷性和效率。</w:t>
      </w:r>
    </w:p>
    <w:p w14:paraId="5EFAC021">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系统应支持审批进度可视化，方便招生团队成员随时跟进物料申领的审批状态，确保及时获取所需物料，避免因物料不足影响招生宣传活动的开展。</w:t>
      </w:r>
    </w:p>
    <w:p w14:paraId="199812B8">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1. 4活动打卡风采管理</w:t>
      </w:r>
    </w:p>
    <w:p w14:paraId="03826281">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在行程进行中，系统应支持活动参与人可使用移动端实时打卡：系统自动获取当前地理位置，支持拍摄或从相册上传现场图片，并附文字描述记录现场情况。打卡内容可设置为同步至活动风采页面，便于集中展示活动实况。</w:t>
      </w:r>
    </w:p>
    <w:p w14:paraId="59406196">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系统支持活动参与人可独立发布活动风采，全面记录并宣传招生实况。</w:t>
      </w:r>
    </w:p>
    <w:p w14:paraId="22C3A79F">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1. 5意向生源管理</w:t>
      </w:r>
    </w:p>
    <w:p w14:paraId="0E03F066">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系统应支持建立生源信息库，对收集到的生源信息进行集中管理和存储，支持按照不同的条件进行筛选、查询和导出，方便招生人员对生源信息进行分类管理</w:t>
      </w:r>
    </w:p>
    <w:p w14:paraId="21811E65">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系统应支持提供生源信息的分析功能，通过对生源的来源渠道、地域分布、专业意向等信息进行分析，为招生决策提供数据支持，帮助学校优化招生策略，提高生源质量。</w:t>
      </w:r>
    </w:p>
    <w:p w14:paraId="6908EF82">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1. 6活动总结管理</w:t>
      </w:r>
    </w:p>
    <w:p w14:paraId="2022C43C">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系统应支持对活动结束后提交的总结进行筛选查看等功能。</w:t>
      </w:r>
    </w:p>
    <w:p w14:paraId="6878E5D4">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1. 7活动评优管理</w:t>
      </w:r>
    </w:p>
    <w:p w14:paraId="68ABD68A">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系统应支持对本年度招生工作进行评优，支持对活动数量进行统计分析、活动效果评比。</w:t>
      </w:r>
    </w:p>
    <w:p w14:paraId="6F6A43A3">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1. 8数据实时展示</w:t>
      </w:r>
    </w:p>
    <w:p w14:paraId="185DE8D5">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系统应支持可根据创建的活动行程，活动风采实时生成活动行程、活动风采、活动联系方式的链接，可支持挂在学校官网、公众号或小程序，方便学生家长查询。</w:t>
      </w:r>
    </w:p>
    <w:p w14:paraId="58C9ED7F">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1. 9消息通知</w:t>
      </w:r>
    </w:p>
    <w:p w14:paraId="4046AEBC">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系统应支持以站内信的形式进行相关消息的通知，可自定义发布信息，也可根据活动开始时间自动通知，可根据审批信息自动通知。</w:t>
      </w:r>
    </w:p>
    <w:p w14:paraId="63638D84">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2手机端</w:t>
      </w:r>
    </w:p>
    <w:p w14:paraId="31A1BA10">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2.1首页</w:t>
      </w:r>
    </w:p>
    <w:p w14:paraId="79F444C8">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该模块是系统整体功能的统一聚合，系统应支持老师点击各图标和数据可直接跳转至处理页面，实现快速操作。</w:t>
      </w:r>
    </w:p>
    <w:p w14:paraId="0CB16129">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2.</w:t>
      </w:r>
      <w:r>
        <w:rPr>
          <w:rFonts w:ascii="宋体" w:hAnsi="宋体" w:eastAsia="宋体"/>
          <w:b/>
          <w:color w:val="auto"/>
          <w:sz w:val="24"/>
          <w:szCs w:val="24"/>
        </w:rPr>
        <w:t>2</w:t>
      </w:r>
      <w:r>
        <w:rPr>
          <w:rFonts w:hint="eastAsia" w:ascii="宋体" w:hAnsi="宋体" w:eastAsia="宋体"/>
          <w:b/>
          <w:color w:val="auto"/>
          <w:sz w:val="24"/>
          <w:szCs w:val="24"/>
        </w:rPr>
        <w:t>我的活动</w:t>
      </w:r>
    </w:p>
    <w:p w14:paraId="180C49FE">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查看老师参与的活动、创建的活动，并通过活动状态进行区分，分类查看未结束和已结束两种状态下的活动。并可查看每个活动的详细信息，包含活动基本信息、活动行程、活动总结、活动风采等。系统应支持显示需要老师审核的所有活动及行程，老师可点击查看需审核的活动和行程信息，点击审核通过或驳回，并输入审批意见。</w:t>
      </w:r>
    </w:p>
    <w:p w14:paraId="51CA2A76">
      <w:pPr>
        <w:wordWrap w:val="0"/>
        <w:spacing w:line="440" w:lineRule="exact"/>
        <w:ind w:firstLine="437"/>
        <w:rPr>
          <w:rFonts w:hint="eastAsia" w:ascii="宋体" w:hAnsi="宋体" w:eastAsia="宋体"/>
          <w:b/>
          <w:color w:val="auto"/>
          <w:sz w:val="24"/>
          <w:szCs w:val="24"/>
        </w:rPr>
      </w:pPr>
      <w:r>
        <w:rPr>
          <w:rFonts w:ascii="宋体" w:hAnsi="宋体" w:eastAsia="宋体"/>
          <w:b/>
          <w:color w:val="auto"/>
          <w:sz w:val="24"/>
          <w:szCs w:val="24"/>
        </w:rPr>
        <w:t>2.3</w:t>
      </w:r>
      <w:r>
        <w:rPr>
          <w:rFonts w:hint="eastAsia" w:ascii="宋体" w:hAnsi="宋体" w:eastAsia="宋体"/>
          <w:b/>
          <w:color w:val="auto"/>
          <w:sz w:val="24"/>
          <w:szCs w:val="24"/>
        </w:rPr>
        <w:t>我的行程</w:t>
      </w:r>
    </w:p>
    <w:p w14:paraId="10500B4F">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查看老师参与的行程，并通过行程状态区分，分类查看未结束和已结束两种状态下的行程，点击行程卡片可进入行程详情页面，进行行程打卡、行程风采发布、生源信息录入等操作。系统应支持新增/更新活动行程，老师可对负责活动进行行程设置，或修改行程信息。</w:t>
      </w:r>
    </w:p>
    <w:p w14:paraId="5D5927E0">
      <w:pPr>
        <w:wordWrap w:val="0"/>
        <w:spacing w:line="440" w:lineRule="exact"/>
        <w:ind w:firstLine="437"/>
        <w:rPr>
          <w:rFonts w:hint="eastAsia" w:ascii="宋体" w:hAnsi="宋体" w:eastAsia="宋体"/>
          <w:b/>
          <w:color w:val="auto"/>
          <w:sz w:val="24"/>
          <w:szCs w:val="24"/>
        </w:rPr>
      </w:pPr>
      <w:r>
        <w:rPr>
          <w:rFonts w:ascii="宋体" w:hAnsi="宋体" w:eastAsia="宋体"/>
          <w:b/>
          <w:color w:val="auto"/>
          <w:sz w:val="24"/>
          <w:szCs w:val="24"/>
        </w:rPr>
        <w:t>2.4</w:t>
      </w:r>
      <w:r>
        <w:rPr>
          <w:rFonts w:hint="eastAsia" w:ascii="宋体" w:hAnsi="宋体" w:eastAsia="宋体"/>
          <w:b/>
          <w:color w:val="auto"/>
          <w:sz w:val="24"/>
          <w:szCs w:val="24"/>
        </w:rPr>
        <w:t>意向生源</w:t>
      </w:r>
    </w:p>
    <w:p w14:paraId="03043D98">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系统应支持显示老师收集的所有意向生源信息，并支持直接添加生源信息及生成个人专属二维码，学生可扫码登记信息。</w:t>
      </w:r>
    </w:p>
    <w:p w14:paraId="40915534">
      <w:pPr>
        <w:wordWrap w:val="0"/>
        <w:spacing w:line="440" w:lineRule="exact"/>
        <w:ind w:firstLine="437"/>
        <w:rPr>
          <w:rFonts w:hint="eastAsia" w:ascii="宋体" w:hAnsi="宋体" w:eastAsia="宋体"/>
          <w:b/>
          <w:color w:val="auto"/>
          <w:sz w:val="24"/>
          <w:szCs w:val="24"/>
        </w:rPr>
      </w:pPr>
      <w:r>
        <w:rPr>
          <w:rFonts w:ascii="宋体" w:hAnsi="宋体" w:eastAsia="宋体"/>
          <w:b/>
          <w:color w:val="auto"/>
          <w:sz w:val="24"/>
          <w:szCs w:val="24"/>
        </w:rPr>
        <w:t>2.5</w:t>
      </w:r>
      <w:r>
        <w:rPr>
          <w:rFonts w:hint="eastAsia" w:ascii="宋体" w:hAnsi="宋体" w:eastAsia="宋体"/>
          <w:b/>
          <w:color w:val="auto"/>
          <w:sz w:val="24"/>
          <w:szCs w:val="24"/>
        </w:rPr>
        <w:t>资料库</w:t>
      </w:r>
    </w:p>
    <w:p w14:paraId="51EDA2F8">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系统应支持在线查看宣传资料，管理员在后台设置各资料的查看权限，前台根据权限配置，老师只可查看自己权限范围内的资料，支持查看、下载、分享等。</w:t>
      </w:r>
    </w:p>
    <w:p w14:paraId="5188DB54">
      <w:pPr>
        <w:wordWrap w:val="0"/>
        <w:spacing w:line="440" w:lineRule="exact"/>
        <w:ind w:firstLine="437"/>
        <w:rPr>
          <w:rFonts w:hint="eastAsia" w:ascii="宋体" w:hAnsi="宋体" w:eastAsia="宋体"/>
          <w:b/>
          <w:color w:val="auto"/>
          <w:sz w:val="24"/>
          <w:szCs w:val="24"/>
        </w:rPr>
      </w:pPr>
      <w:r>
        <w:rPr>
          <w:rFonts w:ascii="宋体" w:hAnsi="宋体" w:eastAsia="宋体"/>
          <w:b/>
          <w:color w:val="auto"/>
          <w:sz w:val="24"/>
          <w:szCs w:val="24"/>
        </w:rPr>
        <w:t>2.6</w:t>
      </w:r>
      <w:r>
        <w:rPr>
          <w:rFonts w:hint="eastAsia" w:ascii="宋体" w:hAnsi="宋体" w:eastAsia="宋体"/>
          <w:b/>
          <w:color w:val="auto"/>
          <w:sz w:val="24"/>
          <w:szCs w:val="24"/>
        </w:rPr>
        <w:t>招生组</w:t>
      </w:r>
    </w:p>
    <w:p w14:paraId="224CD39F">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系统应支持老师查看本人所属的招生组信息，点击招生组名称可查看各招生组其他成员信息。</w:t>
      </w:r>
    </w:p>
    <w:p w14:paraId="0C106526">
      <w:pPr>
        <w:wordWrap w:val="0"/>
        <w:spacing w:line="440" w:lineRule="exact"/>
        <w:ind w:firstLine="437"/>
        <w:rPr>
          <w:rFonts w:hint="eastAsia" w:ascii="宋体" w:hAnsi="宋体" w:eastAsia="宋体"/>
          <w:b/>
          <w:color w:val="auto"/>
          <w:sz w:val="24"/>
          <w:szCs w:val="24"/>
        </w:rPr>
      </w:pPr>
      <w:r>
        <w:rPr>
          <w:rFonts w:ascii="宋体" w:hAnsi="宋体" w:eastAsia="宋体"/>
          <w:b/>
          <w:color w:val="auto"/>
          <w:sz w:val="24"/>
          <w:szCs w:val="24"/>
        </w:rPr>
        <w:t>2.7</w:t>
      </w:r>
      <w:r>
        <w:rPr>
          <w:rFonts w:hint="eastAsia" w:ascii="宋体" w:hAnsi="宋体" w:eastAsia="宋体"/>
          <w:b/>
          <w:color w:val="auto"/>
          <w:sz w:val="24"/>
          <w:szCs w:val="24"/>
        </w:rPr>
        <w:t>活动风采</w:t>
      </w:r>
    </w:p>
    <w:p w14:paraId="62535076">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系统应支持老师可直接上传活动现场图片、视频等信息，展示活动风采。管理员/招生组组长可对活动风采进行总结查看。</w:t>
      </w:r>
    </w:p>
    <w:p w14:paraId="7033156C">
      <w:pPr>
        <w:wordWrap w:val="0"/>
        <w:spacing w:line="440" w:lineRule="exact"/>
        <w:ind w:firstLine="437"/>
        <w:rPr>
          <w:rFonts w:hint="eastAsia" w:ascii="宋体" w:hAnsi="宋体" w:eastAsia="宋体"/>
          <w:b/>
          <w:color w:val="auto"/>
          <w:sz w:val="24"/>
          <w:szCs w:val="24"/>
        </w:rPr>
      </w:pPr>
      <w:r>
        <w:rPr>
          <w:rFonts w:ascii="宋体" w:hAnsi="宋体" w:eastAsia="宋体"/>
          <w:b/>
          <w:color w:val="auto"/>
          <w:sz w:val="24"/>
          <w:szCs w:val="24"/>
        </w:rPr>
        <w:t>2.8</w:t>
      </w:r>
      <w:r>
        <w:rPr>
          <w:rFonts w:hint="eastAsia" w:ascii="宋体" w:hAnsi="宋体" w:eastAsia="宋体"/>
          <w:b/>
          <w:color w:val="auto"/>
          <w:sz w:val="24"/>
          <w:szCs w:val="24"/>
        </w:rPr>
        <w:t>生源高中</w:t>
      </w:r>
    </w:p>
    <w:p w14:paraId="743AF2D9">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系统应支持查看本人招生组所在地区的高中信息，并支持编辑生源高中信息，包含生源高中联系人信息、是否生源高中、高中标签。</w:t>
      </w:r>
    </w:p>
    <w:p w14:paraId="49830590">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2.</w:t>
      </w:r>
      <w:r>
        <w:rPr>
          <w:rFonts w:ascii="宋体" w:hAnsi="宋体" w:eastAsia="宋体"/>
          <w:b/>
          <w:color w:val="auto"/>
          <w:sz w:val="24"/>
          <w:szCs w:val="24"/>
        </w:rPr>
        <w:t>9</w:t>
      </w:r>
      <w:r>
        <w:rPr>
          <w:rFonts w:hint="eastAsia" w:ascii="宋体" w:hAnsi="宋体" w:eastAsia="宋体"/>
          <w:b/>
          <w:color w:val="auto"/>
          <w:sz w:val="24"/>
          <w:szCs w:val="24"/>
        </w:rPr>
        <w:t>物料申请</w:t>
      </w:r>
    </w:p>
    <w:p w14:paraId="4891779F">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系统应支持老师可根据所负责的活动需求，申请纸质资料，填写各项纸质资料的数量、邮寄地址、申请用途。</w:t>
      </w:r>
    </w:p>
    <w:p w14:paraId="08CFAAFB">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支持老师查看本人所有物料申请记录，及当前邮寄状态和邮寄信息。</w:t>
      </w:r>
    </w:p>
    <w:p w14:paraId="39947BDD">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2.</w:t>
      </w:r>
      <w:r>
        <w:rPr>
          <w:rFonts w:ascii="宋体" w:hAnsi="宋体" w:eastAsia="宋体"/>
          <w:b/>
          <w:color w:val="auto"/>
          <w:sz w:val="24"/>
          <w:szCs w:val="24"/>
        </w:rPr>
        <w:t>10</w:t>
      </w:r>
      <w:r>
        <w:rPr>
          <w:rFonts w:hint="eastAsia" w:ascii="宋体" w:hAnsi="宋体" w:eastAsia="宋体"/>
          <w:b/>
          <w:color w:val="auto"/>
          <w:sz w:val="24"/>
          <w:szCs w:val="24"/>
        </w:rPr>
        <w:t>物料审发</w:t>
      </w:r>
    </w:p>
    <w:p w14:paraId="282515C9">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系统应支持显示需要老师审核的所有物料申请，老师可点击查看物料申请详情，点击审核通过或驳回，并输入审批意见。</w:t>
      </w:r>
    </w:p>
    <w:p w14:paraId="623AC00E">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2.</w:t>
      </w:r>
      <w:r>
        <w:rPr>
          <w:rFonts w:ascii="宋体" w:hAnsi="宋体" w:eastAsia="宋体"/>
          <w:b/>
          <w:color w:val="auto"/>
          <w:sz w:val="24"/>
          <w:szCs w:val="24"/>
        </w:rPr>
        <w:t>11</w:t>
      </w:r>
      <w:r>
        <w:rPr>
          <w:rFonts w:hint="eastAsia" w:ascii="宋体" w:hAnsi="宋体" w:eastAsia="宋体"/>
          <w:b/>
          <w:color w:val="auto"/>
          <w:sz w:val="24"/>
          <w:szCs w:val="24"/>
        </w:rPr>
        <w:t>活动审核</w:t>
      </w:r>
    </w:p>
    <w:p w14:paraId="308D8B2F">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系统应支持显示需要老师审核的所有活动及行程，老师可点击查看需审核的活动和行程信息，点击审核通过或驳回，并输入审批意见。</w:t>
      </w:r>
    </w:p>
    <w:p w14:paraId="1E316A8B">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2.</w:t>
      </w:r>
      <w:r>
        <w:rPr>
          <w:rFonts w:ascii="宋体" w:hAnsi="宋体" w:eastAsia="宋体"/>
          <w:b/>
          <w:color w:val="auto"/>
          <w:sz w:val="24"/>
          <w:szCs w:val="24"/>
        </w:rPr>
        <w:t>12</w:t>
      </w:r>
      <w:r>
        <w:rPr>
          <w:rFonts w:hint="eastAsia" w:ascii="宋体" w:hAnsi="宋体" w:eastAsia="宋体"/>
          <w:b/>
          <w:color w:val="auto"/>
          <w:sz w:val="24"/>
          <w:szCs w:val="24"/>
        </w:rPr>
        <w:t>消息</w:t>
      </w:r>
    </w:p>
    <w:p w14:paraId="6F9D5394">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系统应支持包含系统通知、审核通知、活动消息，通过消息推送提醒老师及时处理待办事项，确保老师能够及时响应并处理相关事务。</w:t>
      </w:r>
    </w:p>
    <w:p w14:paraId="5A1775DC">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2.</w:t>
      </w:r>
      <w:r>
        <w:rPr>
          <w:rFonts w:ascii="宋体" w:hAnsi="宋体" w:eastAsia="宋体"/>
          <w:b/>
          <w:color w:val="auto"/>
          <w:sz w:val="24"/>
          <w:szCs w:val="24"/>
        </w:rPr>
        <w:t>13</w:t>
      </w:r>
      <w:r>
        <w:rPr>
          <w:rFonts w:hint="eastAsia" w:ascii="宋体" w:hAnsi="宋体" w:eastAsia="宋体"/>
          <w:b/>
          <w:color w:val="auto"/>
          <w:sz w:val="24"/>
          <w:szCs w:val="24"/>
        </w:rPr>
        <w:t>我的</w:t>
      </w:r>
    </w:p>
    <w:p w14:paraId="496A8724">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该功能可对个人信息进行管理。系统应支持查看老师本人创建的活动、创建的行程、可实时查看活动及行程的审批状态，并进行相关操作，审核中的流程支持撤回，审批不通过的流程支持重新编辑或删除，审核通过的流程支持查看审批记录、取消活动、取消行程等操作。</w:t>
      </w:r>
    </w:p>
    <w:p w14:paraId="20805F14">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系统应支持查看老师本人收集的意向生源信息，支持查看老师发布的活动风采，并支持删除等操作。</w:t>
      </w:r>
    </w:p>
    <w:p w14:paraId="34D0C8B2">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系统应支持对个人账号信息进行查看，支持对个人资料进行编辑修改，如头像、用户名、性别、邮箱、学院、职务职称、招生组、微信、QQ、公众号关注状态等。</w:t>
      </w:r>
    </w:p>
    <w:p w14:paraId="67C7B4CD">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（二）返校活动管理</w:t>
      </w:r>
    </w:p>
    <w:p w14:paraId="69CE4E40">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1.管理端</w:t>
      </w:r>
    </w:p>
    <w:p w14:paraId="5EBD05D8">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1.1返校批次管理</w:t>
      </w:r>
    </w:p>
    <w:p w14:paraId="21C577FE">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系统应支持创建返校活动批次，设置批次名称与备注。</w:t>
      </w:r>
    </w:p>
    <w:p w14:paraId="03081994">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系统应支持为批次设置可回访的高中范围，可指定具体高中或按区域筛选，未设置则默认可全国回访。</w:t>
      </w:r>
    </w:p>
    <w:p w14:paraId="73BAAF4C">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1.2报名表单管理</w:t>
      </w:r>
    </w:p>
    <w:p w14:paraId="73447D87">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系统支持为每个批次创建报名表单，表单可自定义字段（文本、选项、上传附件等）。</w:t>
      </w:r>
    </w:p>
    <w:p w14:paraId="672A8557">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系统应支持设置字段是否必填、提示语、字数限制等属性。</w:t>
      </w:r>
    </w:p>
    <w:p w14:paraId="13E5BF94">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系统支持生成表单二维码与链接，便于学生扫码报名。</w:t>
      </w:r>
    </w:p>
    <w:p w14:paraId="30D23B43">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1.3团队与行程管理</w:t>
      </w:r>
    </w:p>
    <w:p w14:paraId="3A62BB77">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系统应支持学生通过扫码或链接访问报名表单，在填写时可选择“个人”或“团队”形式参与返校活动。若选择团队报名，创建者可自动成为队长，并可邀请其他已报名同学加入。</w:t>
      </w:r>
    </w:p>
    <w:p w14:paraId="5BE89649">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管理员在后台可查看所有报名记录，并对学生信息进行逐一审核或批量操作，审核时可查看其填报的个人、学业及回访高中等信息。审核通过后，系统将自动以团队为单位生成初始团队信息及一条默认行程。</w:t>
      </w:r>
    </w:p>
    <w:p w14:paraId="1D5C1525">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系统应支持管理员为团队新增、编辑或调整行程，包括设置具体回访高中、活动时间及行程说明。</w:t>
      </w:r>
    </w:p>
    <w:p w14:paraId="765A80A0">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系统应支持队长拥有解散团队或修改团队名称的权限。</w:t>
      </w:r>
    </w:p>
    <w:p w14:paraId="2A4ECE54">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1.4宣传资料管理</w:t>
      </w:r>
    </w:p>
    <w:p w14:paraId="1217FA7B">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系统应支持针对宣传的批次上传对应的宣传资料，系统应支持pdf、mp4等格式，上传后，学生可通过手机端进行下载使用。</w:t>
      </w:r>
    </w:p>
    <w:p w14:paraId="517825A9">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1.5意向生源管理</w:t>
      </w:r>
    </w:p>
    <w:p w14:paraId="402E8B23">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系统应支持建立生源信息库，对收集到的生源信息进行集中管理和存储，支持按照不同的条件进行筛选、查询和导出，方便招生人员对生源信息进行分类管理</w:t>
      </w:r>
    </w:p>
    <w:p w14:paraId="6EFCB1C4">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系统应支持提供生源信息的分析功能，通过对生源的来源渠道、地域分布、专业意向等信息进行分析，为招生决策提供数据支持，帮助学校优化招生策略，提高生源质量。</w:t>
      </w:r>
    </w:p>
    <w:p w14:paraId="7DC7223C">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1.6活动风采打卡管理</w:t>
      </w:r>
    </w:p>
    <w:p w14:paraId="44DB591F">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在返校活动进行中，系统应支持活动参与人可使用移动端实时打卡：系统自动获取当前地理位置，支持拍摄或从相册上传现场图片，并附文字描述记录现场情况。打卡内容可设置为同步至活动风采页面，便于集中展示活动实况。</w:t>
      </w:r>
    </w:p>
    <w:p w14:paraId="68B267F2">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系统支持活动参与人可独立发布活动风采，全面记录并宣传招生实况。</w:t>
      </w:r>
    </w:p>
    <w:p w14:paraId="1C97EBF1">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1.7活动总结管理</w:t>
      </w:r>
    </w:p>
    <w:p w14:paraId="19455AAF">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系统应支持对活动结束后提交的总结进行筛选查看等功能。</w:t>
      </w:r>
    </w:p>
    <w:p w14:paraId="70D67B26">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2.手机端</w:t>
      </w:r>
    </w:p>
    <w:p w14:paraId="60F813F2">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2.1我的行程</w:t>
      </w:r>
    </w:p>
    <w:p w14:paraId="58A17428">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系统应支持查看学生参与的行程、创建的行程，并支持行程打卡。</w:t>
      </w:r>
    </w:p>
    <w:p w14:paraId="12691DF9">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2.2活动风采</w:t>
      </w:r>
    </w:p>
    <w:p w14:paraId="5933CFA7">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系统应支持学生可直接上传活动现场图片、视频等信息，展示活动风采。队长可对活动风采进行总结查看。可根据后台上传模板进行上传风采。</w:t>
      </w:r>
    </w:p>
    <w:p w14:paraId="00B85578">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2.3生源信息</w:t>
      </w:r>
    </w:p>
    <w:p w14:paraId="310D86CF">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系统应支持显示学生收集的所有意向生源信息，并支持直接添加生源信息及生成个人专属二维码，学生可扫码登记信息。</w:t>
      </w:r>
    </w:p>
    <w:p w14:paraId="7C328619">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2.4共享资料</w:t>
      </w:r>
    </w:p>
    <w:p w14:paraId="4A59E9AD">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系统应支持在线查看宣传资料，支持查看、下载、分享等。</w:t>
      </w:r>
    </w:p>
    <w:p w14:paraId="24B145D7">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2.5我的团队</w:t>
      </w:r>
    </w:p>
    <w:p w14:paraId="70624D08">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系统应支持学生查看自己所在的团队列表，并可按高中母校筛选队伍及队友，方便校友联结。学生可主动申请加入其他队伍，或作为队长邀请同高中校友入队，实现灵活组队与团队管理。</w:t>
      </w:r>
    </w:p>
    <w:p w14:paraId="7A41AF93">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2.6活动总结</w:t>
      </w:r>
    </w:p>
    <w:p w14:paraId="2188A1A2">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系统应支持活动结束后，支持学生上传活动总结报告，包含活动总结文件活动照片等。可以根据后台设置的模版进行上传活动总结。</w:t>
      </w:r>
    </w:p>
    <w:p w14:paraId="51015591">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（三）数据统计与分析</w:t>
      </w:r>
    </w:p>
    <w:p w14:paraId="52DA0B21">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系统应支持提供数据统计功能，能够对招生宣传活动的各项数据进行全面统计和分析，包括活动参与人数、活动效果、生源获取数量、物料使用情况等，为招生工作的评估和总结提供有力支持。</w:t>
      </w:r>
    </w:p>
    <w:p w14:paraId="370E9BD6">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系统应支持提供多种数据统计报表和图表，以直观的方式呈现数据结果，方便管理人员快速了解招生宣传工作的整体情况和各项指标的完成情况，同时为招生工作的汇报和决策提供可视化依据。</w:t>
      </w:r>
    </w:p>
    <w:p w14:paraId="50FC1DD8">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基于系统大数据统计与分析，构建招生活动宣传的全景数据构建，实现活动效果的可视化呈现，通过对数据的深入挖掘和分析，为招生决策提供科学依据，帮助学校制定更加科学合理的招生策略和计划。</w:t>
      </w:r>
    </w:p>
    <w:p w14:paraId="12BB7656">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系统应支持按部门、按活动、按渠道等不同维度进行数据分析和对比，为各部门的工作绩效评估和招生渠道的优化提供参考依据，推动招生工作的整体提升。</w:t>
      </w:r>
    </w:p>
    <w:p w14:paraId="6B4D5CB0">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提供可视化的数据大屏，查看本校本年度的招宣数据概览，包含招生活动数、招生行程总数、意向生源数。可查看全国各省市的招生行程分布，活动排行等。</w:t>
      </w:r>
    </w:p>
    <w:p w14:paraId="14C45A03">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（四）生源高中管理</w:t>
      </w:r>
    </w:p>
    <w:p w14:paraId="498AFBE7">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系统应支持针对所有高中信息，支持编辑高中是否生源基地、编辑高中联系人、设置高中标签。</w:t>
      </w:r>
    </w:p>
    <w:p w14:paraId="2B24E3AA">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（五）学院专业管理</w:t>
      </w:r>
    </w:p>
    <w:p w14:paraId="79BBA35B">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系统应支持批量导入学院和专业信息，支持创建、修改、删除学院专业。</w:t>
      </w:r>
    </w:p>
    <w:p w14:paraId="23B7BB20">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（六）权限管理</w:t>
      </w:r>
    </w:p>
    <w:p w14:paraId="61A55638">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系统应支持权限配置功能，能够根据团队成员的角色和职责，分配不同的系统操作权限，确保数据的安全性和保密性，同时实现多级精细化权限管理。</w:t>
      </w:r>
    </w:p>
    <w:p w14:paraId="00D5BECF">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（七）审批流管理</w:t>
      </w:r>
    </w:p>
    <w:p w14:paraId="1F8738D3">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系统应支持灵活设置审批流程，根据不同业务设置不同的审批流，审批流程包含申请人、审批人员、审批步骤，通过合理的设置审批，可提高工作效率，同时确保必要的管控和监督。</w:t>
      </w:r>
    </w:p>
    <w:p w14:paraId="517E9C82">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可设置各业务是否需要审批，包含活动申请、行程更新、纸质资料申请等。</w:t>
      </w:r>
    </w:p>
    <w:p w14:paraId="209C5989">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（八）活动设置</w:t>
      </w:r>
    </w:p>
    <w:p w14:paraId="740AD728">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系统应支持对活动进行设置，可开启或关闭招生计划审核、纸质资料审核、更新活动行程审核、活动打卡开启或关闭、是否可允许同一个高中允许多个团队宣传，是否可允许一个团队添加多个行程。</w:t>
      </w:r>
    </w:p>
    <w:p w14:paraId="27600637">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三、非功能性需求</w:t>
      </w:r>
    </w:p>
    <w:p w14:paraId="3DD52D2D">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（一）总体技术要求</w:t>
      </w:r>
    </w:p>
    <w:p w14:paraId="4B23C4DE">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系统采用Linux以及Windows操作系统，存储支持MySQL数据库。系统采用B/S架构，页面使用流畅，服务器响应速度快，支持版本自动更新功能。保证对主流浏览器（如：Chrome、火狐、IE11+、360、猎豹等）的完美兼容。</w:t>
      </w:r>
    </w:p>
    <w:p w14:paraId="0F766088">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具有严格的安全机制，包括真正的三层结构（数据层、应用层、WEB层）、严格的身份授权机制（按角色、数据表、字段等授权）等，后台与前台采用权限管理、登录加密、登录签名等保障数据存储和传输安全。提供可靠的服务器架构方案，可实现服务器系统和数据库的优化、安全冗余、备份。系统设置安全管理人员对系统安全和数据安全负责的管理，定期对系统进行入侵检测、漏洞扫描和病毒防护，并提供系统运行检测报告，确保系统安全稳定运行。</w:t>
      </w:r>
    </w:p>
    <w:p w14:paraId="32E7761F">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设计支持同时在线用户数不少于800人，高峰时段不低于1000人，并发请求处理能力不低于2000次/秒。简单数据请求响应时间：≤1秒；复杂业务处理响应时间：≤5秒，并显示倒计时提示信息。采用缓存技术（如Redis）减少数据库直接访问压力，使用CDN加速静态资源加载，提高页面响应速度。</w:t>
      </w:r>
    </w:p>
    <w:p w14:paraId="769F12A9">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（二）前端开发技术指标</w:t>
      </w:r>
    </w:p>
    <w:p w14:paraId="135FB268">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前端采用react技术，并专注于HTML、CSS和JavaScript，使用HTML5与CSS3规范技术，采用精简式文件结构,每个html文件大小不超过15KB。</w:t>
      </w:r>
    </w:p>
    <w:p w14:paraId="57CE7F4A">
      <w:pPr>
        <w:wordWrap w:val="0"/>
        <w:spacing w:line="440" w:lineRule="exact"/>
        <w:ind w:firstLine="437"/>
        <w:rPr>
          <w:rFonts w:hint="eastAsia" w:ascii="宋体" w:hAnsi="宋体" w:eastAsia="宋体"/>
          <w:b/>
          <w:color w:val="auto"/>
          <w:sz w:val="24"/>
          <w:szCs w:val="24"/>
        </w:rPr>
      </w:pPr>
      <w:r>
        <w:rPr>
          <w:rFonts w:hint="eastAsia" w:ascii="宋体" w:hAnsi="宋体" w:eastAsia="宋体"/>
          <w:b/>
          <w:color w:val="auto"/>
          <w:sz w:val="24"/>
          <w:szCs w:val="24"/>
        </w:rPr>
        <w:t>（三）后台开发技术指标</w:t>
      </w:r>
    </w:p>
    <w:p w14:paraId="2E4C1BA2">
      <w:pPr>
        <w:wordWrap w:val="0"/>
        <w:spacing w:line="440" w:lineRule="exact"/>
        <w:ind w:firstLine="437"/>
        <w:rPr>
          <w:rFonts w:hint="eastAsia" w:ascii="宋体" w:hAnsi="宋体" w:eastAsia="宋体"/>
          <w:bCs/>
          <w:color w:val="auto"/>
          <w:sz w:val="24"/>
          <w:szCs w:val="24"/>
        </w:rPr>
      </w:pPr>
      <w:r>
        <w:rPr>
          <w:rFonts w:hint="eastAsia" w:ascii="宋体" w:hAnsi="宋体" w:eastAsia="宋体"/>
          <w:bCs/>
          <w:color w:val="auto"/>
          <w:sz w:val="24"/>
          <w:szCs w:val="24"/>
        </w:rPr>
        <w:t>系统需采用二层或以上体系架构，系统总体需能采用B/S架构、采用GO平台进行开发，系统程序支持跨平台部署，系统支持Linux等平台。系统采用模块化的开发方式，各模块之间相互独立，模块接口开放、明确，任何一个应用模块的损坏和更换均不能影响其它模块的使用。系统部署支持分布式计算、负载均衡和集群技术、提供良好的可扩展性和容错性。系统配置信息机制支持XMl格式。</w:t>
      </w:r>
    </w:p>
    <w:p w14:paraId="00A98F78">
      <w:pPr>
        <w:wordWrap w:val="0"/>
        <w:spacing w:line="440" w:lineRule="exact"/>
        <w:ind w:firstLine="437"/>
        <w:rPr>
          <w:rFonts w:hint="eastAsia" w:ascii="宋体" w:hAnsi="宋体" w:eastAsia="宋体"/>
          <w:b/>
          <w:color w:val="auto"/>
          <w:sz w:val="28"/>
          <w:szCs w:val="28"/>
        </w:rPr>
      </w:pPr>
      <w:r>
        <w:rPr>
          <w:rFonts w:hint="eastAsia" w:ascii="宋体" w:hAnsi="宋体" w:eastAsia="宋体"/>
          <w:b/>
          <w:color w:val="auto"/>
          <w:sz w:val="28"/>
          <w:szCs w:val="28"/>
        </w:rPr>
        <w:t>四、报价要求</w:t>
      </w:r>
    </w:p>
    <w:p w14:paraId="2E4982BC">
      <w:pPr>
        <w:wordWrap w:val="0"/>
        <w:spacing w:line="440" w:lineRule="exact"/>
        <w:ind w:firstLine="437"/>
        <w:jc w:val="left"/>
        <w:rPr>
          <w:rFonts w:hint="eastAsia" w:ascii="宋体" w:hAnsi="宋体" w:eastAsia="宋体"/>
          <w:color w:val="auto"/>
          <w:sz w:val="24"/>
        </w:rPr>
      </w:pPr>
      <w:r>
        <w:rPr>
          <w:rFonts w:hint="eastAsia" w:ascii="宋体" w:hAnsi="宋体" w:eastAsia="宋体"/>
          <w:bCs/>
          <w:color w:val="auto"/>
          <w:sz w:val="24"/>
        </w:rPr>
        <w:t>本项目报总价，报价包含完成本项目所需的全部费用，成交后采购人不再增加任何费用。</w:t>
      </w:r>
      <w:bookmarkStart w:id="0" w:name="_GoBack"/>
      <w:bookmarkEnd w:id="0"/>
    </w:p>
    <w:p w14:paraId="64D5144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D74310"/>
    <w:rsid w:val="2F887795"/>
    <w:rsid w:val="76D743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rPr>
      <w:rFonts w:ascii="宋体" w:hAnsi="宋体" w:eastAsia="宋体"/>
    </w:r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D&amp;L"/>
    <w:basedOn w:val="3"/>
    <w:qFormat/>
    <w:uiPriority w:val="0"/>
    <w:pPr>
      <w:pBdr>
        <w:bottom w:val="none" w:color="auto" w:sz="0" w:space="0"/>
      </w:pBdr>
      <w:wordWrap w:val="0"/>
      <w:snapToGrid/>
      <w:spacing w:line="360" w:lineRule="auto"/>
    </w:pPr>
    <w:rPr>
      <w:rFonts w:ascii="宋体" w:hAnsi="宋体" w:eastAsia="宋体"/>
      <w:bCs/>
      <w:sz w:val="24"/>
      <w:szCs w:val="20"/>
    </w:rPr>
  </w:style>
  <w:style w:type="paragraph" w:customStyle="1" w:styleId="7">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6512</Words>
  <Characters>6707</Characters>
  <Lines>0</Lines>
  <Paragraphs>0</Paragraphs>
  <TotalTime>0</TotalTime>
  <ScaleCrop>false</ScaleCrop>
  <LinksUpToDate>false</LinksUpToDate>
  <CharactersWithSpaces>6716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2026-04-14T03:37:00Z</dcterms:created>
  <dc:creator>森</dc:creator>
  <cp:lastModifiedBy>森</cp:lastModifiedBy>
  <dcterms:modified xsi:type="dcterms:W3CDTF">2026-04-14T06:20:40Z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1039D101807545D2A88CFF987A3D5B1C_11</vt:lpwstr>
  </property>
  <property fmtid="{D5CDD505-2E9C-101B-9397-08002B2CF9AE}" pid="4" name="KSOTemplateDocerSaveRecord">
    <vt:lpwstr>eyJoZGlkIjoiOTc3M2Y5NzIzMDFlZjAyY2Q4Njk5ODkyYjFjNzBiNTQiLCJ1c2VySWQiOiI0MzAwMTYzNzkifQ==</vt:lpwstr>
  </property>
</Properties>
</file>