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E87A7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28"/>
        </w:rPr>
      </w:pPr>
      <w:bookmarkStart w:id="0" w:name="_Toc18464"/>
      <w:r>
        <w:rPr>
          <w:rFonts w:hint="eastAsia" w:ascii="仿宋" w:hAnsi="仿宋" w:eastAsia="仿宋" w:cs="仿宋"/>
          <w:b/>
          <w:sz w:val="28"/>
        </w:rPr>
        <w:t>第三章  采购需求</w:t>
      </w:r>
      <w:bookmarkEnd w:id="0"/>
    </w:p>
    <w:p w14:paraId="03FF7E38">
      <w:pPr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前注：</w:t>
      </w:r>
    </w:p>
    <w:p w14:paraId="275CF9D0">
      <w:pPr>
        <w:spacing w:line="360" w:lineRule="auto"/>
        <w:ind w:firstLine="437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1.本说明中提出的技术方案仅为参考，如无明确限制，参选人可以进行优化，提供满足用户实际需要的更优（或者性能实质上不低于）技术方案，且此方案须经评审小组评审认可；</w:t>
      </w:r>
    </w:p>
    <w:p w14:paraId="31EBB61B">
      <w:pPr>
        <w:spacing w:line="360" w:lineRule="auto"/>
        <w:ind w:firstLine="437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为鼓励不同品牌的充分竞争，如某设备的某技术参数或要求属于个别品牌专有，则该技术参数及要求不具有限制性，参选人可对该参数或要求进行适当调整，并应当说明调整的理由，且此调整须经评审小组评审认可；</w:t>
      </w:r>
    </w:p>
    <w:p w14:paraId="1DFD6546">
      <w:pPr>
        <w:spacing w:line="360" w:lineRule="auto"/>
        <w:ind w:firstLine="437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为有助于参选人选择参选产品，项目说明中可能提供了推荐品牌（或型号）、参考品牌（或型号）等，这些品牌（或型号）仅供参考，并无限制性。参选人可以选择性能不低于推荐（或参考）的品牌（或型号）的其他品牌产品，但比选时应当提供有关技术证明资料，未提供的可能导致响应无效；</w:t>
      </w:r>
    </w:p>
    <w:p w14:paraId="7E44D926">
      <w:pPr>
        <w:spacing w:line="360" w:lineRule="auto"/>
        <w:ind w:firstLine="437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4.下列采购需求中标注进口产品的货物均已履行相关论证手续，经核准采购进口产品，但不限制满足参选文件要求的国内产品参与竞争。未标注进口产品的货物均为拒绝采购进口产品。</w:t>
      </w: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 一、采购需求前附表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34"/>
        <w:gridCol w:w="5776"/>
      </w:tblGrid>
      <w:tr w14:paraId="73D6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6311B59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34" w:type="dxa"/>
            <w:noWrap w:val="0"/>
            <w:vAlign w:val="center"/>
          </w:tcPr>
          <w:p w14:paraId="19B4BE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条款名称</w:t>
            </w:r>
          </w:p>
        </w:tc>
        <w:tc>
          <w:tcPr>
            <w:tcW w:w="5776" w:type="dxa"/>
            <w:noWrap w:val="0"/>
            <w:vAlign w:val="center"/>
          </w:tcPr>
          <w:p w14:paraId="0A407F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内容、说明与要求</w:t>
            </w:r>
          </w:p>
        </w:tc>
      </w:tr>
      <w:tr w14:paraId="2966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33E2FC7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 w14:paraId="5D7BC73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5776" w:type="dxa"/>
            <w:noWrap w:val="0"/>
            <w:vAlign w:val="center"/>
          </w:tcPr>
          <w:p w14:paraId="3C8628D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验收合格后一次性支付合同价款。</w:t>
            </w:r>
          </w:p>
        </w:tc>
      </w:tr>
      <w:tr w14:paraId="7D70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2F87ACC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034" w:type="dxa"/>
            <w:noWrap w:val="0"/>
            <w:vAlign w:val="center"/>
          </w:tcPr>
          <w:p w14:paraId="4F5342A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供货及安装地点</w:t>
            </w:r>
          </w:p>
        </w:tc>
        <w:tc>
          <w:tcPr>
            <w:tcW w:w="5776" w:type="dxa"/>
            <w:noWrap w:val="0"/>
            <w:vAlign w:val="center"/>
          </w:tcPr>
          <w:p w14:paraId="4546191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安徽省疾病预防控制中心或采购人指定地点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。</w:t>
            </w:r>
          </w:p>
        </w:tc>
      </w:tr>
      <w:tr w14:paraId="5059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78BDCEB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2034" w:type="dxa"/>
            <w:noWrap w:val="0"/>
            <w:vAlign w:val="center"/>
          </w:tcPr>
          <w:p w14:paraId="09AE712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供货及安装期限</w:t>
            </w:r>
          </w:p>
        </w:tc>
        <w:tc>
          <w:tcPr>
            <w:tcW w:w="5776" w:type="dxa"/>
            <w:noWrap w:val="0"/>
            <w:vAlign w:val="center"/>
          </w:tcPr>
          <w:p w14:paraId="165EA00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合同签订后30个日历日内完成供货及安装。</w:t>
            </w:r>
          </w:p>
        </w:tc>
      </w:tr>
      <w:tr w14:paraId="2147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3CE5A2C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2034" w:type="dxa"/>
            <w:noWrap w:val="0"/>
            <w:vAlign w:val="center"/>
          </w:tcPr>
          <w:p w14:paraId="2951F5C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免费质保期</w:t>
            </w:r>
          </w:p>
        </w:tc>
        <w:tc>
          <w:tcPr>
            <w:tcW w:w="5776" w:type="dxa"/>
            <w:noWrap w:val="0"/>
            <w:vAlign w:val="center"/>
          </w:tcPr>
          <w:p w14:paraId="47281CC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自验收合格之日起开始计算3年。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货物需求中另有要求的，以采购需求为准。</w:t>
            </w:r>
          </w:p>
        </w:tc>
      </w:tr>
    </w:tbl>
    <w:p w14:paraId="641E0D60">
      <w:pPr>
        <w:spacing w:line="360" w:lineRule="auto"/>
        <w:ind w:firstLine="437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二、货物需求</w:t>
      </w:r>
    </w:p>
    <w:p w14:paraId="711BCA4B">
      <w:pPr>
        <w:spacing w:line="360" w:lineRule="auto"/>
        <w:ind w:firstLine="437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（一）货物需求说明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5"/>
        <w:gridCol w:w="5692"/>
      </w:tblGrid>
      <w:tr w14:paraId="2CA2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2B41701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标识重要性</w:t>
            </w:r>
          </w:p>
        </w:tc>
        <w:tc>
          <w:tcPr>
            <w:tcW w:w="1365" w:type="dxa"/>
            <w:noWrap w:val="0"/>
            <w:vAlign w:val="center"/>
          </w:tcPr>
          <w:p w14:paraId="60D674A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标识符号</w:t>
            </w:r>
          </w:p>
        </w:tc>
        <w:tc>
          <w:tcPr>
            <w:tcW w:w="5692" w:type="dxa"/>
            <w:noWrap w:val="0"/>
            <w:vAlign w:val="center"/>
          </w:tcPr>
          <w:p w14:paraId="6D363D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代表意思</w:t>
            </w:r>
          </w:p>
        </w:tc>
      </w:tr>
      <w:tr w14:paraId="0AE1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562FD3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18"/>
              </w:rPr>
              <w:t>核心指标项</w:t>
            </w:r>
          </w:p>
        </w:tc>
        <w:tc>
          <w:tcPr>
            <w:tcW w:w="1365" w:type="dxa"/>
            <w:noWrap w:val="0"/>
            <w:vAlign w:val="center"/>
          </w:tcPr>
          <w:p w14:paraId="6318BB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18"/>
              </w:rPr>
              <w:t>★</w:t>
            </w:r>
          </w:p>
        </w:tc>
        <w:tc>
          <w:tcPr>
            <w:tcW w:w="5692" w:type="dxa"/>
            <w:noWrap w:val="0"/>
            <w:vAlign w:val="center"/>
          </w:tcPr>
          <w:p w14:paraId="5BBEFC0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作为评分项，详见“第四章 评标方法和标准”中评分细则。</w:t>
            </w:r>
          </w:p>
        </w:tc>
      </w:tr>
      <w:tr w14:paraId="0D5D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5BA2EF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18"/>
              </w:rPr>
              <w:t>无标识项</w:t>
            </w:r>
          </w:p>
        </w:tc>
        <w:tc>
          <w:tcPr>
            <w:tcW w:w="1365" w:type="dxa"/>
            <w:noWrap w:val="0"/>
            <w:vAlign w:val="center"/>
          </w:tcPr>
          <w:p w14:paraId="36F818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92" w:type="dxa"/>
            <w:noWrap w:val="0"/>
            <w:vAlign w:val="center"/>
          </w:tcPr>
          <w:p w14:paraId="450D903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无标识项为基础指标项，全部满足得4分，有1条未响应（或负偏离）的得2分，有2条未响应（或负偏离）的得1分，超过2条未响应（或负偏离）的不得分。</w:t>
            </w:r>
          </w:p>
        </w:tc>
      </w:tr>
      <w:tr w14:paraId="09A5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60318137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：</w:t>
            </w:r>
          </w:p>
          <w:p w14:paraId="097B4B1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（1）针对下表中标注★的指标项须按下列要求在参选文件中提供证明材料予以佐证。</w:t>
            </w:r>
          </w:p>
          <w:p w14:paraId="52AEC1F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1.采购需求中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zh-CN"/>
              </w:rPr>
              <w:t>明确要求提供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zh-CN"/>
              </w:rPr>
              <w:t>材料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zh-CN"/>
              </w:rPr>
              <w:t>按采购需求要求提供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对应证明材料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zh-CN"/>
              </w:rPr>
              <w:t>；</w:t>
            </w:r>
          </w:p>
          <w:p w14:paraId="149C76F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2.采购需求中未明确要求提供证明材料的，参选人须自行提供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证明材料，包括产品技术白皮书、产品技术说明书、产品彩页（产品功能截图）、厂家（制造商）官网截图、第三方机构出具的带有CMA或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CNAS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标识的检测报告，提供其中之一即可。未按以上要求提供证明材料的视为负偏离或未响应（为便于评审，建议参选人对证明材料中的关键参数进行标注）。</w:t>
            </w:r>
          </w:p>
          <w:p w14:paraId="7ED4B88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（2）如某项标识中包含多条技术参数或要求，则该项标识所含内容均需满足或优于比选文件要求，否则不予认可。</w:t>
            </w:r>
          </w:p>
        </w:tc>
      </w:tr>
    </w:tbl>
    <w:p w14:paraId="04B57BCD">
      <w:pPr>
        <w:spacing w:line="360" w:lineRule="auto"/>
        <w:ind w:firstLine="437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（二）货物需求表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47"/>
        <w:gridCol w:w="4800"/>
        <w:gridCol w:w="1117"/>
        <w:gridCol w:w="922"/>
      </w:tblGrid>
      <w:tr w14:paraId="2629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72" w:type="dxa"/>
            <w:noWrap w:val="0"/>
            <w:vAlign w:val="center"/>
          </w:tcPr>
          <w:p w14:paraId="44D205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6AA58F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4800" w:type="dxa"/>
            <w:noWrap w:val="0"/>
            <w:vAlign w:val="center"/>
          </w:tcPr>
          <w:p w14:paraId="034DC5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1117" w:type="dxa"/>
            <w:noWrap w:val="0"/>
            <w:vAlign w:val="center"/>
          </w:tcPr>
          <w:p w14:paraId="01E4C81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  <w:p w14:paraId="2CB4EAD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922" w:type="dxa"/>
            <w:noWrap w:val="0"/>
            <w:vAlign w:val="center"/>
          </w:tcPr>
          <w:p w14:paraId="664C43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备注（进口或强制节能）</w:t>
            </w:r>
          </w:p>
        </w:tc>
      </w:tr>
      <w:tr w14:paraId="4547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72" w:type="dxa"/>
            <w:noWrap w:val="0"/>
            <w:vAlign w:val="center"/>
          </w:tcPr>
          <w:p w14:paraId="5528DC35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bookmarkStart w:id="1" w:name="_Hlk194587125"/>
            <w:r>
              <w:rPr>
                <w:rFonts w:hint="eastAsia" w:ascii="仿宋" w:hAnsi="仿宋" w:eastAsia="仿宋" w:cs="仿宋"/>
                <w:szCs w:val="24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 w14:paraId="2A43BC1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▲高压灭菌锅</w:t>
            </w:r>
          </w:p>
        </w:tc>
        <w:tc>
          <w:tcPr>
            <w:tcW w:w="4800" w:type="dxa"/>
            <w:noWrap w:val="0"/>
            <w:vAlign w:val="center"/>
          </w:tcPr>
          <w:p w14:paraId="76DF64A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★1.产品为生物安全型高压灭菌锅，排气模式为全自动内排，排汽速度≥5级，内置双集气瓶。</w:t>
            </w:r>
          </w:p>
          <w:p w14:paraId="7F07284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2.腔内内径(直径*深度）：≥φ370*740mm；</w:t>
            </w:r>
          </w:p>
          <w:p w14:paraId="0D8CB93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3.罐体材质：厚度≥3mm耐腐蚀不锈钢，表面镜面处理。</w:t>
            </w:r>
          </w:p>
          <w:p w14:paraId="07A93CB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4.罐体盖部机构：手动上下开闭，安全上锁机构，自动锁定；弧形顶盖；铰链缸体焊接一体，外形无凸起。</w:t>
            </w:r>
          </w:p>
          <w:p w14:paraId="1C85108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5.有效容积：≥80L。 </w:t>
            </w:r>
          </w:p>
          <w:p w14:paraId="47E3EF0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6.漏电保护功能：发生漏电时自动切断电源。</w:t>
            </w:r>
          </w:p>
          <w:p w14:paraId="5C8160A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7.排气阀：电磁阀≥2个。</w:t>
            </w:r>
          </w:p>
          <w:p w14:paraId="778820C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8.安全阀：弹簧全启式安全阀，≥0.3MPa时自动运作。</w:t>
            </w:r>
          </w:p>
          <w:p w14:paraId="0F6B4FA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★9.冷却方式：双散热风扇；可选自然冷却和强制风扇冷却。</w:t>
            </w:r>
          </w:p>
          <w:p w14:paraId="521D3A1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10.压力表：0~0.4MPa，精度不低于1.6级，安装于前方。</w:t>
            </w:r>
          </w:p>
          <w:p w14:paraId="130918E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★11.最高灭菌温度：≥138℃。</w:t>
            </w:r>
          </w:p>
          <w:p w14:paraId="1D97275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12.操作控制面板：≥7英寸电容式触摸屏中文菜单，可戴手套操作，显示运转功能。</w:t>
            </w:r>
          </w:p>
          <w:p w14:paraId="4A492EC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★13.内置冷却水箱：≥5L水箱，无需取下，可直接排水；一体化设计，无螺纹孔，有涂层保护；外部观察窗可随时确认水位；带附属消音器。</w:t>
            </w:r>
          </w:p>
          <w:p w14:paraId="453A587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14.腔内注水量：≥5L。</w:t>
            </w:r>
          </w:p>
          <w:p w14:paraId="46D0D6C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15.防堵塞功能：容器底部排水口标配过滤器。</w:t>
            </w:r>
          </w:p>
          <w:p w14:paraId="4A5E16F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16.温度范围：器具，液体灭菌工程：105℃~138℃；溶解工程：60℃~110℃；保温工程：45℃~60℃；预热温度：45℃~80℃。</w:t>
            </w:r>
          </w:p>
          <w:p w14:paraId="18D155F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17.加热器功率：不锈钢加热管 ≥2000W×2。</w:t>
            </w:r>
          </w:p>
          <w:p w14:paraId="0A149F2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18.干烧保护：液胀式温控器和低水位开关，双重防干烧保护。</w:t>
            </w:r>
          </w:p>
          <w:p w14:paraId="013152C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19.具备预热功能。</w:t>
            </w:r>
          </w:p>
          <w:p w14:paraId="7479838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20.加热器及传感器保护措施：加热器挡板有专门安装柱，挡板水平放置，显示最高水位，最低水位。</w:t>
            </w:r>
          </w:p>
          <w:p w14:paraId="35D8FF7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21.记忆功能：各模式有三个记忆单元，可对温度，时间，强制冷却等进行储存和记忆。最少保存12个记忆程序，每个程序可更改名称。</w:t>
            </w:r>
          </w:p>
          <w:p w14:paraId="304469D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22.数据传输功能：计时输出，报警输出，RS485通信功能，温度输出；可关联多个品牌的打印机。</w:t>
            </w:r>
          </w:p>
          <w:p w14:paraId="08004C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23.预约功能：时刻模式、日期·时刻模式。</w:t>
            </w:r>
          </w:p>
          <w:p w14:paraId="554D48A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24.其他配件：≥2个灭菌筐，接水盘，灭菌测试卡，过滤网，三级管理权限。</w:t>
            </w:r>
          </w:p>
        </w:tc>
        <w:tc>
          <w:tcPr>
            <w:tcW w:w="1117" w:type="dxa"/>
            <w:noWrap w:val="0"/>
            <w:vAlign w:val="center"/>
          </w:tcPr>
          <w:p w14:paraId="7F3EBD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5EC8FE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</w:tr>
      <w:tr w14:paraId="520A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noWrap w:val="0"/>
            <w:vAlign w:val="center"/>
          </w:tcPr>
          <w:p w14:paraId="0CEBC133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 w14:paraId="7A7B1A2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96孔板混匀仪</w:t>
            </w:r>
          </w:p>
        </w:tc>
        <w:tc>
          <w:tcPr>
            <w:tcW w:w="4800" w:type="dxa"/>
            <w:noWrap w:val="0"/>
            <w:vAlign w:val="center"/>
          </w:tcPr>
          <w:p w14:paraId="7E39E7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1.转速：100-1500转/分。</w:t>
            </w:r>
          </w:p>
          <w:p w14:paraId="4C996D9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2.速度控制：无极调速。</w:t>
            </w:r>
          </w:p>
          <w:p w14:paraId="4F0439C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3.标配：96孔板1块。</w:t>
            </w:r>
          </w:p>
          <w:p w14:paraId="3C72EAC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4.振幅：3-5mm。</w:t>
            </w:r>
          </w:p>
          <w:p w14:paraId="02A3B2D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5.外形尺寸：≤270mm*150mm*120mm。</w:t>
            </w:r>
          </w:p>
        </w:tc>
        <w:tc>
          <w:tcPr>
            <w:tcW w:w="1117" w:type="dxa"/>
            <w:noWrap w:val="0"/>
            <w:vAlign w:val="center"/>
          </w:tcPr>
          <w:p w14:paraId="2DFF4D9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1个</w:t>
            </w:r>
          </w:p>
        </w:tc>
        <w:tc>
          <w:tcPr>
            <w:tcW w:w="922" w:type="dxa"/>
            <w:noWrap w:val="0"/>
            <w:vAlign w:val="center"/>
          </w:tcPr>
          <w:p w14:paraId="6419D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</w:tr>
      <w:tr w14:paraId="1CE3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03A5822C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</w:t>
            </w:r>
          </w:p>
        </w:tc>
        <w:tc>
          <w:tcPr>
            <w:tcW w:w="1247" w:type="dxa"/>
            <w:noWrap w:val="0"/>
            <w:vAlign w:val="center"/>
          </w:tcPr>
          <w:p w14:paraId="06C0CF1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通用水平电泳槽</w:t>
            </w:r>
          </w:p>
        </w:tc>
        <w:tc>
          <w:tcPr>
            <w:tcW w:w="4800" w:type="dxa"/>
            <w:noWrap w:val="0"/>
            <w:vAlign w:val="center"/>
          </w:tcPr>
          <w:p w14:paraId="0B1BDF1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1.槽体采用聚碳酸脂材料注塑成型。</w:t>
            </w:r>
          </w:p>
          <w:p w14:paraId="6D1726B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2.安全按钮式开盖设计。</w:t>
            </w:r>
          </w:p>
          <w:p w14:paraId="5AA4FC9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3.配备多用制胶器，兼顾6X6cm/6X12cm/12X6cm或12X12cm四种规格的胶板。</w:t>
            </w:r>
          </w:p>
          <w:p w14:paraId="513D196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4.多用制胶器为耐温材料（135℃）注塑成型。</w:t>
            </w:r>
          </w:p>
          <w:p w14:paraId="259B9CD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5.多用制胶器内含≥8种规格的梳子为耐温材料（135℃）注塑成型。</w:t>
            </w:r>
          </w:p>
          <w:p w14:paraId="337F2F4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6.槽体内水平平台垂直固定基准的设计，使小胶和大胶都可方便地置于电泳槽的中心位置进行电泳。</w:t>
            </w:r>
          </w:p>
          <w:p w14:paraId="6336C06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7.电泳槽承载凝胶的最大面积：≥12×12cm。</w:t>
            </w:r>
          </w:p>
          <w:p w14:paraId="410C7B3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8.制胶托盘种类：6×6cm/6×12cm/12×6cm/12×12cm。</w:t>
            </w:r>
          </w:p>
          <w:p w14:paraId="45F41E9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9.最大电压负荷：不低于500 V。</w:t>
            </w:r>
          </w:p>
          <w:p w14:paraId="08495BE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10.容纳缓冲液总体积：≥1000 ml。</w:t>
            </w:r>
          </w:p>
          <w:p w14:paraId="1326D85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11.外型尺寸（L×W×H）：≤31×17.5×8 cm。</w:t>
            </w:r>
          </w:p>
        </w:tc>
        <w:tc>
          <w:tcPr>
            <w:tcW w:w="1117" w:type="dxa"/>
            <w:noWrap w:val="0"/>
            <w:vAlign w:val="center"/>
          </w:tcPr>
          <w:p w14:paraId="5EEACA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76DE3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</w:tr>
      <w:tr w14:paraId="10BC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45325ED3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4</w:t>
            </w:r>
          </w:p>
        </w:tc>
        <w:tc>
          <w:tcPr>
            <w:tcW w:w="1247" w:type="dxa"/>
            <w:noWrap w:val="0"/>
            <w:vAlign w:val="center"/>
          </w:tcPr>
          <w:p w14:paraId="3E75B03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间接血凝（IHA）判读仪</w:t>
            </w:r>
          </w:p>
        </w:tc>
        <w:tc>
          <w:tcPr>
            <w:tcW w:w="4800" w:type="dxa"/>
            <w:noWrap w:val="0"/>
            <w:vAlign w:val="center"/>
          </w:tcPr>
          <w:p w14:paraId="7C201D2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★1.整机一体化设计，集成显示系统、PC系统、控制系统、采集系统、分析系统等。</w:t>
            </w:r>
          </w:p>
          <w:p w14:paraId="24D8EAB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2.模板设置：</w:t>
            </w:r>
          </w:p>
          <w:p w14:paraId="5237560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（1）能对IHA检测所需模板进行新建、删除、编辑等操作；</w:t>
            </w:r>
          </w:p>
          <w:p w14:paraId="6D661CA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（2）检测分析模板可以设置样本类型、稀释比例、样本单元、显示颜色和标本号等。</w:t>
            </w:r>
          </w:p>
          <w:p w14:paraId="542CA0B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3.检测结果管理：</w:t>
            </w:r>
          </w:p>
          <w:p w14:paraId="4E7EAB9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（1）可保存指定地域和时间的IHA检测结果；</w:t>
            </w:r>
          </w:p>
          <w:p w14:paraId="477FD4C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（2）可调取已保存的IHA检测结果，并以图例的形式显示出来；</w:t>
            </w:r>
          </w:p>
          <w:p w14:paraId="7C14761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★（3）可查看IHA检测结果对应的原始图像，对有疑问的结果进行查看、判断，进行人工修改；</w:t>
            </w:r>
          </w:p>
          <w:p w14:paraId="1100C5F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（4）IHA检测结果以检测报告的形式输出，可导出Word文件或直接进行打印。</w:t>
            </w:r>
          </w:p>
          <w:p w14:paraId="089BDB0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4.IHA检测：</w:t>
            </w:r>
          </w:p>
          <w:p w14:paraId="136F3B0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★（1）对IHA样本进行快速判读，以直观的颜色显示出阴性、阳性、弱阳、异常、空白等判读结果，并显示出对应的结果概率；</w:t>
            </w:r>
          </w:p>
          <w:p w14:paraId="07BCDEB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（2）检测结果能传入检测结果管理，可查看结果原图，调整相对应的判读结果；</w:t>
            </w:r>
          </w:p>
          <w:p w14:paraId="6B8A168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（3）能设置样本来源地域、检测单位等信息；</w:t>
            </w:r>
          </w:p>
          <w:p w14:paraId="0D7019D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（4）可调用已存在模板进行检测参数的快速设置；</w:t>
            </w:r>
          </w:p>
          <w:p w14:paraId="77E9A45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（5）预留与智慧血防信息系统的接口。</w:t>
            </w:r>
          </w:p>
          <w:p w14:paraId="2C16306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5.工控机系统：</w:t>
            </w:r>
          </w:p>
          <w:p w14:paraId="353B7FA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CPU：主频≥2.0G；</w:t>
            </w:r>
          </w:p>
          <w:p w14:paraId="4D605F5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RAM：≥8G；</w:t>
            </w:r>
          </w:p>
          <w:p w14:paraId="1F46ECF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固态硬盘：≥512G；</w:t>
            </w:r>
          </w:p>
          <w:p w14:paraId="1F2F376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USB接口：≥2个（非拓展）；</w:t>
            </w:r>
          </w:p>
          <w:p w14:paraId="29B2F0D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网口：外置100-1000M；</w:t>
            </w:r>
          </w:p>
          <w:p w14:paraId="5E3E9F4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WIFI：内置。</w:t>
            </w:r>
          </w:p>
          <w:p w14:paraId="54F8909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6.显示系统：</w:t>
            </w:r>
          </w:p>
          <w:p w14:paraId="7E1A3A5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尺寸：≥15英寸；</w:t>
            </w:r>
          </w:p>
          <w:p w14:paraId="44DE547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分辨率：≥1920*1080；</w:t>
            </w:r>
          </w:p>
          <w:p w14:paraId="66F4DAE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类型：IPS。</w:t>
            </w:r>
          </w:p>
          <w:p w14:paraId="64EF28B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7.光路系统：</w:t>
            </w:r>
          </w:p>
          <w:p w14:paraId="2D04A4E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寿命：≥5万小时；</w:t>
            </w:r>
          </w:p>
          <w:p w14:paraId="476D9D0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照度：≥1800LUX；</w:t>
            </w:r>
          </w:p>
          <w:p w14:paraId="0B97B4D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均光度：≥95%；</w:t>
            </w:r>
          </w:p>
          <w:p w14:paraId="07BD556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显色性：≥95%；</w:t>
            </w:r>
          </w:p>
          <w:p w14:paraId="44FCE6D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8.采集系统：</w:t>
            </w:r>
          </w:p>
          <w:p w14:paraId="7ED527C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分辨率：1920*1080；</w:t>
            </w:r>
          </w:p>
          <w:p w14:paraId="3220D89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采集速度：≤60秒；</w:t>
            </w:r>
          </w:p>
          <w:p w14:paraId="3093711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畸变：无畸变；</w:t>
            </w:r>
          </w:p>
          <w:p w14:paraId="0A75D6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分辨率：≥3840*2160@30FPS；</w:t>
            </w:r>
          </w:p>
          <w:p w14:paraId="35E0244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最低照度：0.2LUX；</w:t>
            </w:r>
          </w:p>
          <w:p w14:paraId="0733F32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内置PZ参数：AEC、AGC、AEB定制参数。</w:t>
            </w:r>
          </w:p>
          <w:p w14:paraId="2FB978A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★9.控制系统：</w:t>
            </w:r>
          </w:p>
          <w:p w14:paraId="545107F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进板速度≤5秒，具有防晃动减震及缓冲加减速功能，十字车架平衡设计。</w:t>
            </w:r>
          </w:p>
        </w:tc>
        <w:tc>
          <w:tcPr>
            <w:tcW w:w="1117" w:type="dxa"/>
            <w:noWrap w:val="0"/>
            <w:vAlign w:val="center"/>
          </w:tcPr>
          <w:p w14:paraId="5B94C0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55F696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3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41277BEF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</w:t>
            </w:r>
          </w:p>
        </w:tc>
        <w:tc>
          <w:tcPr>
            <w:tcW w:w="1247" w:type="dxa"/>
            <w:noWrap w:val="0"/>
            <w:vAlign w:val="center"/>
          </w:tcPr>
          <w:p w14:paraId="092437F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体式显微镜</w:t>
            </w:r>
          </w:p>
        </w:tc>
        <w:tc>
          <w:tcPr>
            <w:tcW w:w="4800" w:type="dxa"/>
            <w:noWrap w:val="0"/>
            <w:vAlign w:val="center"/>
          </w:tcPr>
          <w:p w14:paraId="702D8CB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1.光路类型：平行变焦型。</w:t>
            </w:r>
          </w:p>
          <w:p w14:paraId="4F243F0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★2.变倍比：≥8:1，变焦体采用半复消色差光路设计，≥640LP/mm高分辨率观察。</w:t>
            </w:r>
          </w:p>
          <w:p w14:paraId="37673B9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★3.变焦范围：≥1-8X，1/2/3/4/6/8X各档有卡位。</w:t>
            </w:r>
          </w:p>
          <w:p w14:paraId="35078C9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4.综合放大倍率：≥5X-480X。</w:t>
            </w:r>
          </w:p>
          <w:p w14:paraId="671E426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5.观察筒：三目观察镜筒（非单端口分光器结构），分光比为 100:0/0:100，眼点高度提升≥105mm。</w:t>
            </w:r>
          </w:p>
          <w:p w14:paraId="284E682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6.目镜：10X，视场数≥22mm。</w:t>
            </w:r>
          </w:p>
          <w:p w14:paraId="3178A8D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★7.物镜：1X平场物镜，N.A.≥0.105，W.D.≥78mm，另有0.5X、0.75X、1.5X和2X物镜可选。</w:t>
            </w:r>
          </w:p>
          <w:p w14:paraId="47AB23E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8.立柱：方形立柱，双侧调焦系统。</w:t>
            </w:r>
          </w:p>
          <w:p w14:paraId="006CF08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9.超薄平板底座架台，底座厚度≤30mm，配备黑白板适应不同样本。</w:t>
            </w:r>
          </w:p>
          <w:p w14:paraId="72EE3F1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10.照明光源：配备光纤式分叉式冷光源。</w:t>
            </w:r>
          </w:p>
        </w:tc>
        <w:tc>
          <w:tcPr>
            <w:tcW w:w="1117" w:type="dxa"/>
            <w:noWrap w:val="0"/>
            <w:vAlign w:val="center"/>
          </w:tcPr>
          <w:p w14:paraId="0D8519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72E860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1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7203B208">
            <w:pPr>
              <w:pStyle w:val="4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6</w:t>
            </w:r>
          </w:p>
        </w:tc>
        <w:tc>
          <w:tcPr>
            <w:tcW w:w="1247" w:type="dxa"/>
            <w:noWrap w:val="0"/>
            <w:vAlign w:val="center"/>
          </w:tcPr>
          <w:p w14:paraId="46BE195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分析天平</w:t>
            </w:r>
          </w:p>
        </w:tc>
        <w:tc>
          <w:tcPr>
            <w:tcW w:w="4800" w:type="dxa"/>
            <w:noWrap w:val="0"/>
            <w:vAlign w:val="center"/>
          </w:tcPr>
          <w:p w14:paraId="00B8AC1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★1.量程：≥600g ,精度：≤1mg。</w:t>
            </w:r>
          </w:p>
          <w:p w14:paraId="3A084C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2.重复性（在 5% 载荷时）：≤0.5mg。</w:t>
            </w:r>
          </w:p>
          <w:p w14:paraId="1F22BA1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3.性线：≤0.6mg。</w:t>
            </w:r>
          </w:p>
          <w:p w14:paraId="7EE1EDB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4.秤盘尺寸：≥120mm。</w:t>
            </w:r>
          </w:p>
          <w:p w14:paraId="082FD97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5.典型稳定时间：≤1S 。</w:t>
            </w:r>
          </w:p>
          <w:p w14:paraId="3BAE954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6.灵敏度漂移：1± ppm/K（+10°C ~+30°C）。</w:t>
            </w:r>
          </w:p>
          <w:p w14:paraId="20C0038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7.水平控制功能持续地实时监测水平状态，即时检测到任何偏差，实时的动态图形指导水平手动调整。</w:t>
            </w:r>
          </w:p>
          <w:p w14:paraId="36EF28A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★8.≥7英寸高分辨率全触摸图形显示屏，自动调光功能，在天平不使用时自动降低显示屏亮度。</w:t>
            </w:r>
          </w:p>
          <w:p w14:paraId="3E4A9F1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9.采用了由耐磨的聚对苯二甲酸丁二酯(PBT)防化学品表面处理。</w:t>
            </w:r>
          </w:p>
          <w:p w14:paraId="50BF5E6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10.可用于A 级和B 级洁净室以及特殊环境，如真空、氩气和氮气环境。</w:t>
            </w:r>
          </w:p>
          <w:p w14:paraId="16A9C7B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11.具备自动唤醒功能。</w:t>
            </w:r>
          </w:p>
          <w:p w14:paraId="00BD481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12.内置交互式电子操作说明书。</w:t>
            </w:r>
          </w:p>
          <w:p w14:paraId="4C50B36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13.天平状态中心可以显示天平实时状态信息。</w:t>
            </w:r>
          </w:p>
          <w:p w14:paraId="4B9B4E1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14.温度和时间触发的全自动内部校准和调整功能。</w:t>
            </w:r>
          </w:p>
          <w:p w14:paraId="79A423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15.具备设备日志功能。</w:t>
            </w:r>
          </w:p>
          <w:p w14:paraId="2F751F4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16.通过优化半自动滤波器自适应（AFA），基于每个应用程序的独特需求快速调整天平性能。</w:t>
            </w:r>
          </w:p>
          <w:p w14:paraId="2FC4E38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17.称重传感器采用单体传感器。</w:t>
            </w:r>
          </w:p>
          <w:p w14:paraId="5A5711A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18.防风罩玻璃具备防静电吸引功能。</w:t>
            </w:r>
          </w:p>
          <w:p w14:paraId="2F96705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19.应用程序≥15种：称重（配料）、质量单位换算、计数、百分比称重、计算、混合、成分、密度测定、统计、检查称重、动物称重、峰值保持、移液器智能检查、差动称量、下吊钩称重等。 </w:t>
            </w:r>
          </w:p>
          <w:p w14:paraId="1AF343E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20.支持自定义不同级别的用户管理访问权限，提供密码保护，客户设置≥500个账户。</w:t>
            </w:r>
          </w:p>
          <w:p w14:paraId="05F2A1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21.通信接口：≥3个USB（3.0）型接口、RS232  9 针接口和一个以太网接口。</w:t>
            </w:r>
          </w:p>
          <w:p w14:paraId="122030E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22.配置清单：主机（≥7寸触摸显示屏）、手动调水平、说明书、合格证、RS232,USB接口（三个）和以太网接口。</w:t>
            </w:r>
          </w:p>
        </w:tc>
        <w:tc>
          <w:tcPr>
            <w:tcW w:w="1117" w:type="dxa"/>
            <w:noWrap w:val="0"/>
            <w:vAlign w:val="center"/>
          </w:tcPr>
          <w:p w14:paraId="130DCA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056F2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1"/>
    </w:tbl>
    <w:p w14:paraId="3897E13B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三、报价要求</w:t>
      </w:r>
    </w:p>
    <w:p w14:paraId="4966D01B">
      <w:r>
        <w:rPr>
          <w:rFonts w:hint="eastAsia" w:ascii="仿宋" w:hAnsi="仿宋" w:eastAsia="仿宋" w:cs="仿宋"/>
          <w:color w:val="000000"/>
          <w:sz w:val="24"/>
          <w:szCs w:val="24"/>
        </w:rPr>
        <w:t>本项目报总价，比选报价包括本项目需求（包含比选文件要求内容、参选文件承诺内容、评审过程澄清修改内容等）的全部货物及所需附件购置费、包装费、运输费、人工费、保险费、安装调试费、各种税费、资料费、售后服务费及完成项目应有的全部费用，中选后比选人不再另行支付任何费用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比选分项报价表中须明确列出所投产品所含货物名称、品牌、型号规格、原产地及生产厂商，否则可能导致响应无效。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@仿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0A63"/>
    <w:rsid w:val="2FB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1 Char"/>
    <w:basedOn w:val="1"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2026-04-09T02:36:00Z</dcterms:created>
  <dc:creator>森</dc:creator>
  <cp:lastModifiedBy>森</cp:lastModifiedBy>
  <dcterms:modified xsi:type="dcterms:W3CDTF">2026-04-09T02:36:28Z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B38DCCB633FD4A50BEDB44B0A5A3D554_11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