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C81DC">
      <w:pPr>
        <w:keepNext w:val="0"/>
        <w:keepLines w:val="0"/>
        <w:pageBreakBefore w:val="0"/>
        <w:kinsoku/>
        <w:wordWrap w:val="0"/>
        <w:overflowPunct/>
        <w:topLinePunct w:val="0"/>
        <w:bidi w:val="0"/>
        <w:spacing w:line="360" w:lineRule="auto"/>
        <w:jc w:val="center"/>
        <w:textAlignment w:val="auto"/>
        <w:outlineLvl w:val="1"/>
        <w:rPr>
          <w:rFonts w:hint="eastAsia" w:ascii="华文中宋" w:hAnsi="华文中宋" w:eastAsia="华文中宋" w:cs="Times New Roman"/>
          <w:b/>
          <w:bCs/>
          <w:kern w:val="44"/>
          <w:sz w:val="44"/>
          <w:szCs w:val="44"/>
          <w:highlight w:val="none"/>
          <w:lang w:val="en-US" w:eastAsia="zh-CN" w:bidi="ar-SA"/>
        </w:rPr>
      </w:pPr>
      <w:bookmarkStart w:id="0" w:name="_Toc10927"/>
      <w:r>
        <w:rPr>
          <w:rFonts w:hint="eastAsia" w:ascii="华文中宋" w:hAnsi="华文中宋" w:eastAsia="华文中宋" w:cs="Times New Roman"/>
          <w:b/>
          <w:bCs/>
          <w:kern w:val="44"/>
          <w:sz w:val="44"/>
          <w:szCs w:val="44"/>
          <w:highlight w:val="none"/>
          <w:lang w:val="en-US" w:eastAsia="zh-CN" w:bidi="ar-SA"/>
        </w:rPr>
        <w:t>第三章  采购需求</w:t>
      </w:r>
      <w:bookmarkEnd w:id="0"/>
    </w:p>
    <w:p w14:paraId="254BA8B8">
      <w:pPr>
        <w:keepNext w:val="0"/>
        <w:keepLines w:val="0"/>
        <w:pageBreakBefore w:val="0"/>
        <w:kinsoku/>
        <w:wordWrap w:val="0"/>
        <w:overflowPunct/>
        <w:topLinePunct w:val="0"/>
        <w:bidi w:val="0"/>
        <w:spacing w:line="360" w:lineRule="auto"/>
        <w:textAlignment w:val="auto"/>
        <w:rPr>
          <w:rFonts w:ascii="宋体" w:hAnsi="宋体" w:eastAsia="宋体"/>
          <w:b/>
          <w:sz w:val="24"/>
          <w:highlight w:val="none"/>
        </w:rPr>
      </w:pPr>
      <w:r>
        <w:rPr>
          <w:rFonts w:hint="eastAsia" w:ascii="宋体" w:hAnsi="宋体" w:eastAsia="宋体"/>
          <w:b/>
          <w:sz w:val="24"/>
          <w:highlight w:val="none"/>
        </w:rPr>
        <w:t>前注：</w:t>
      </w:r>
    </w:p>
    <w:p w14:paraId="46984402">
      <w:pPr>
        <w:keepNext w:val="0"/>
        <w:keepLines w:val="0"/>
        <w:pageBreakBefore w:val="0"/>
        <w:numPr>
          <w:ilvl w:val="-1"/>
          <w:numId w:val="0"/>
        </w:numPr>
        <w:kinsoku/>
        <w:wordWrap/>
        <w:overflowPunct/>
        <w:topLinePunct w:val="0"/>
        <w:bidi w:val="0"/>
        <w:spacing w:line="360" w:lineRule="auto"/>
        <w:ind w:firstLine="437"/>
        <w:textAlignment w:val="auto"/>
        <w:rPr>
          <w:rFonts w:hint="eastAsia" w:ascii="宋体" w:hAnsi="宋体" w:eastAsia="宋体"/>
          <w:bCs/>
          <w:sz w:val="24"/>
          <w:highlight w:val="none"/>
        </w:rPr>
      </w:pPr>
      <w:r>
        <w:rPr>
          <w:rFonts w:hint="eastAsia" w:ascii="宋体" w:hAnsi="宋体" w:eastAsia="宋体"/>
          <w:bCs/>
          <w:sz w:val="24"/>
          <w:highlight w:val="none"/>
          <w:lang w:val="en-US" w:eastAsia="zh-CN"/>
        </w:rPr>
        <w:t>1.</w:t>
      </w:r>
      <w:r>
        <w:rPr>
          <w:rFonts w:hint="eastAsia" w:ascii="宋体" w:hAnsi="宋体" w:eastAsia="宋体"/>
          <w:bCs/>
          <w:sz w:val="24"/>
          <w:highlight w:val="none"/>
        </w:rPr>
        <w:t>本说明中提出的技术方案仅为参考，如无明确限制，供应商可以进行优化，提供满足用户实际需要的更优（或者性能实质上不低于的）</w:t>
      </w:r>
      <w:r>
        <w:rPr>
          <w:rFonts w:hint="eastAsia" w:ascii="宋体" w:hAnsi="宋体" w:eastAsia="宋体"/>
          <w:bCs/>
          <w:sz w:val="24"/>
          <w:highlight w:val="none"/>
          <w:lang w:val="en-US" w:eastAsia="zh-CN"/>
        </w:rPr>
        <w:t>技术</w:t>
      </w:r>
      <w:r>
        <w:rPr>
          <w:rFonts w:hint="eastAsia" w:ascii="宋体" w:hAnsi="宋体" w:eastAsia="宋体"/>
          <w:bCs/>
          <w:sz w:val="24"/>
          <w:highlight w:val="none"/>
        </w:rPr>
        <w:t>方案，且此方案须经</w:t>
      </w:r>
      <w:r>
        <w:rPr>
          <w:rFonts w:hint="eastAsia" w:ascii="宋体" w:hAnsi="宋体" w:eastAsia="宋体"/>
          <w:bCs/>
          <w:sz w:val="24"/>
          <w:highlight w:val="none"/>
          <w:lang w:val="en-US" w:eastAsia="zh-CN"/>
        </w:rPr>
        <w:t>询比</w:t>
      </w:r>
      <w:r>
        <w:rPr>
          <w:rFonts w:hint="eastAsia" w:ascii="宋体" w:hAnsi="宋体" w:eastAsia="宋体"/>
          <w:bCs/>
          <w:sz w:val="24"/>
          <w:highlight w:val="none"/>
        </w:rPr>
        <w:t>小组评审认可。</w:t>
      </w:r>
    </w:p>
    <w:p w14:paraId="3FE50D6F">
      <w:pPr>
        <w:keepNext w:val="0"/>
        <w:keepLines w:val="0"/>
        <w:pageBreakBefore w:val="0"/>
        <w:numPr>
          <w:ilvl w:val="-1"/>
          <w:numId w:val="0"/>
        </w:numPr>
        <w:kinsoku/>
        <w:wordWrap/>
        <w:overflowPunct/>
        <w:topLinePunct w:val="0"/>
        <w:bidi w:val="0"/>
        <w:spacing w:line="360" w:lineRule="auto"/>
        <w:ind w:firstLine="437"/>
        <w:textAlignment w:val="auto"/>
        <w:rPr>
          <w:rFonts w:hint="eastAsia" w:ascii="宋体" w:hAnsi="宋体" w:eastAsia="宋体"/>
          <w:b/>
          <w:bCs w:val="0"/>
          <w:color w:val="FF0000"/>
          <w:sz w:val="24"/>
          <w:highlight w:val="none"/>
        </w:rPr>
      </w:pPr>
      <w:r>
        <w:rPr>
          <w:rFonts w:hint="eastAsia" w:ascii="宋体" w:hAnsi="宋体" w:eastAsia="宋体" w:cs="@仿宋_GB2312"/>
          <w:b/>
          <w:bCs w:val="0"/>
          <w:i w:val="0"/>
          <w:iCs w:val="0"/>
          <w:color w:val="FF0000"/>
          <w:kern w:val="2"/>
          <w:sz w:val="24"/>
          <w:szCs w:val="20"/>
          <w:highlight w:val="none"/>
          <w:u w:val="none"/>
          <w:lang w:val="en-US" w:eastAsia="zh-CN" w:bidi="ar"/>
        </w:rPr>
        <w:t>2.采购需求不允许负偏离，负偏离或未响应视为不响应，作无效响应处理。</w:t>
      </w:r>
    </w:p>
    <w:p w14:paraId="7A9962B0">
      <w:pPr>
        <w:wordWrap w:val="0"/>
        <w:spacing w:line="360" w:lineRule="auto"/>
        <w:ind w:firstLine="437"/>
        <w:jc w:val="left"/>
        <w:rPr>
          <w:rFonts w:ascii="宋体" w:hAnsi="宋体" w:eastAsia="宋体"/>
          <w:b/>
          <w:sz w:val="28"/>
          <w:szCs w:val="28"/>
          <w:highlight w:val="none"/>
        </w:rPr>
      </w:pPr>
      <w:r>
        <w:rPr>
          <w:rFonts w:hint="eastAsia" w:ascii="宋体" w:hAnsi="宋体" w:eastAsia="宋体"/>
          <w:b/>
          <w:sz w:val="28"/>
          <w:szCs w:val="28"/>
          <w:highlight w:val="none"/>
        </w:rPr>
        <w:t>一、采购需求前附表</w:t>
      </w:r>
    </w:p>
    <w:tbl>
      <w:tblPr>
        <w:tblStyle w:val="3"/>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6B27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6C907820">
            <w:pPr>
              <w:pStyle w:val="6"/>
              <w:pBdr>
                <w:bottom w:val="none" w:color="auto" w:sz="0" w:space="0"/>
              </w:pBdr>
              <w:tabs>
                <w:tab w:val="clear" w:pos="4153"/>
                <w:tab w:val="clear" w:pos="8306"/>
              </w:tabs>
              <w:wordWrap w:val="0"/>
              <w:adjustRightInd/>
              <w:spacing w:line="240" w:lineRule="auto"/>
              <w:textAlignment w:val="auto"/>
              <w:rPr>
                <w:rFonts w:ascii="宋体" w:hAnsi="宋体" w:eastAsia="宋体"/>
                <w:b/>
                <w:kern w:val="2"/>
                <w:highlight w:val="none"/>
              </w:rPr>
            </w:pPr>
            <w:r>
              <w:rPr>
                <w:rFonts w:hint="eastAsia" w:ascii="宋体" w:hAnsi="宋体" w:eastAsia="宋体"/>
                <w:b/>
                <w:kern w:val="2"/>
                <w:highlight w:val="none"/>
              </w:rPr>
              <w:t>序号</w:t>
            </w:r>
          </w:p>
        </w:tc>
        <w:tc>
          <w:tcPr>
            <w:tcW w:w="2054" w:type="dxa"/>
            <w:vAlign w:val="center"/>
          </w:tcPr>
          <w:p w14:paraId="595C4AE3">
            <w:pPr>
              <w:pStyle w:val="7"/>
              <w:widowControl w:val="0"/>
              <w:wordWrap w:val="0"/>
              <w:spacing w:before="0" w:beforeAutospacing="0" w:after="0" w:afterAutospacing="0" w:line="360" w:lineRule="auto"/>
              <w:rPr>
                <w:rFonts w:ascii="宋体" w:hAnsi="宋体" w:eastAsia="宋体"/>
                <w:bCs w:val="0"/>
                <w:sz w:val="24"/>
                <w:highlight w:val="none"/>
              </w:rPr>
            </w:pPr>
            <w:r>
              <w:rPr>
                <w:rFonts w:hint="eastAsia" w:ascii="宋体" w:hAnsi="宋体" w:eastAsia="宋体"/>
                <w:bCs w:val="0"/>
                <w:sz w:val="24"/>
                <w:highlight w:val="none"/>
              </w:rPr>
              <w:t>条款名称</w:t>
            </w:r>
          </w:p>
        </w:tc>
        <w:tc>
          <w:tcPr>
            <w:tcW w:w="5544" w:type="dxa"/>
            <w:vAlign w:val="center"/>
          </w:tcPr>
          <w:p w14:paraId="05902467">
            <w:pPr>
              <w:pStyle w:val="7"/>
              <w:widowControl w:val="0"/>
              <w:wordWrap w:val="0"/>
              <w:spacing w:before="0" w:beforeAutospacing="0" w:after="0" w:afterAutospacing="0" w:line="360" w:lineRule="auto"/>
              <w:rPr>
                <w:rFonts w:ascii="宋体" w:hAnsi="宋体" w:eastAsia="宋体"/>
                <w:bCs w:val="0"/>
                <w:sz w:val="24"/>
                <w:highlight w:val="none"/>
              </w:rPr>
            </w:pPr>
            <w:r>
              <w:rPr>
                <w:rFonts w:hint="eastAsia" w:ascii="宋体" w:hAnsi="宋体" w:eastAsia="宋体"/>
                <w:bCs w:val="0"/>
                <w:sz w:val="24"/>
                <w:highlight w:val="none"/>
              </w:rPr>
              <w:t>内容、说明与要求</w:t>
            </w:r>
          </w:p>
        </w:tc>
      </w:tr>
      <w:tr w14:paraId="24AD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B1DF58A">
            <w:pPr>
              <w:pStyle w:val="6"/>
              <w:pBdr>
                <w:bottom w:val="none" w:color="auto" w:sz="0" w:space="0"/>
              </w:pBdr>
              <w:tabs>
                <w:tab w:val="clear" w:pos="4153"/>
                <w:tab w:val="clear" w:pos="8306"/>
              </w:tabs>
              <w:wordWrap w:val="0"/>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1</w:t>
            </w:r>
          </w:p>
        </w:tc>
        <w:tc>
          <w:tcPr>
            <w:tcW w:w="2054" w:type="dxa"/>
            <w:vAlign w:val="center"/>
          </w:tcPr>
          <w:p w14:paraId="1E80B90F">
            <w:pPr>
              <w:pStyle w:val="7"/>
              <w:widowControl w:val="0"/>
              <w:spacing w:before="0" w:beforeAutospacing="0" w:after="0" w:afterAutospacing="0" w:line="360" w:lineRule="auto"/>
              <w:rPr>
                <w:rFonts w:ascii="宋体" w:hAnsi="宋体" w:eastAsia="宋体"/>
                <w:b w:val="0"/>
                <w:sz w:val="24"/>
                <w:highlight w:val="none"/>
              </w:rPr>
            </w:pPr>
            <w:r>
              <w:rPr>
                <w:rFonts w:ascii="Arial" w:hAnsi="Arial" w:eastAsia="宋体" w:cs="Arial"/>
                <w:b w:val="0"/>
                <w:bCs w:val="0"/>
                <w:kern w:val="2"/>
                <w:sz w:val="24"/>
                <w:szCs w:val="20"/>
                <w:highlight w:val="none"/>
              </w:rPr>
              <w:t>付款方式</w:t>
            </w:r>
          </w:p>
        </w:tc>
        <w:tc>
          <w:tcPr>
            <w:tcW w:w="5544" w:type="dxa"/>
            <w:vAlign w:val="center"/>
          </w:tcPr>
          <w:p w14:paraId="585A2241">
            <w:pPr>
              <w:pStyle w:val="7"/>
              <w:widowControl w:val="0"/>
              <w:spacing w:before="0" w:beforeAutospacing="0" w:after="0" w:afterAutospacing="0"/>
              <w:jc w:val="both"/>
              <w:rPr>
                <w:rFonts w:hint="eastAsia" w:ascii="宋体" w:hAnsi="宋体" w:eastAsia="宋体"/>
                <w:b w:val="0"/>
                <w:sz w:val="24"/>
                <w:highlight w:val="none"/>
                <w:u w:val="single"/>
              </w:rPr>
            </w:pPr>
            <w:r>
              <w:rPr>
                <w:rFonts w:hint="eastAsia" w:ascii="宋体" w:hAnsi="宋体" w:eastAsia="宋体" w:cs="宋体"/>
                <w:b w:val="0"/>
                <w:sz w:val="24"/>
                <w:szCs w:val="24"/>
                <w:highlight w:val="none"/>
              </w:rPr>
              <w:t>验收合格后一次性付清合同款</w:t>
            </w:r>
          </w:p>
        </w:tc>
      </w:tr>
      <w:tr w14:paraId="5335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1920566">
            <w:pPr>
              <w:pStyle w:val="6"/>
              <w:pBdr>
                <w:bottom w:val="none" w:color="auto" w:sz="0" w:space="0"/>
              </w:pBdr>
              <w:tabs>
                <w:tab w:val="clear" w:pos="4153"/>
                <w:tab w:val="clear" w:pos="8306"/>
              </w:tabs>
              <w:wordWrap w:val="0"/>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2</w:t>
            </w:r>
          </w:p>
        </w:tc>
        <w:tc>
          <w:tcPr>
            <w:tcW w:w="2054" w:type="dxa"/>
            <w:vAlign w:val="center"/>
          </w:tcPr>
          <w:p w14:paraId="01286318">
            <w:pPr>
              <w:pStyle w:val="7"/>
              <w:widowControl w:val="0"/>
              <w:spacing w:before="0" w:beforeAutospacing="0" w:after="0" w:afterAutospacing="0" w:line="360" w:lineRule="auto"/>
              <w:rPr>
                <w:rFonts w:ascii="宋体" w:hAnsi="宋体" w:eastAsia="宋体"/>
                <w:b w:val="0"/>
                <w:sz w:val="24"/>
                <w:highlight w:val="none"/>
              </w:rPr>
            </w:pPr>
            <w:r>
              <w:rPr>
                <w:rFonts w:ascii="Arial" w:hAnsi="Arial" w:eastAsia="宋体" w:cs="Arial"/>
                <w:b w:val="0"/>
                <w:bCs w:val="0"/>
                <w:kern w:val="2"/>
                <w:sz w:val="24"/>
                <w:szCs w:val="20"/>
                <w:highlight w:val="none"/>
              </w:rPr>
              <w:t>供货及安装地点</w:t>
            </w:r>
          </w:p>
        </w:tc>
        <w:tc>
          <w:tcPr>
            <w:tcW w:w="5544" w:type="dxa"/>
            <w:vAlign w:val="center"/>
          </w:tcPr>
          <w:p w14:paraId="437E4EBB">
            <w:pPr>
              <w:pStyle w:val="7"/>
              <w:widowControl w:val="0"/>
              <w:spacing w:before="0" w:beforeAutospacing="0" w:after="0" w:afterAutospacing="0"/>
              <w:jc w:val="both"/>
              <w:rPr>
                <w:rFonts w:ascii="宋体" w:hAnsi="宋体" w:eastAsia="宋体"/>
                <w:b w:val="0"/>
                <w:sz w:val="24"/>
                <w:highlight w:val="none"/>
              </w:rPr>
            </w:pPr>
            <w:r>
              <w:rPr>
                <w:rFonts w:hint="eastAsia" w:ascii="宋体" w:hAnsi="宋体" w:eastAsia="宋体" w:cs="宋体"/>
                <w:b w:val="0"/>
                <w:sz w:val="24"/>
                <w:szCs w:val="24"/>
                <w:highlight w:val="none"/>
              </w:rPr>
              <w:t>安徽省疾病预防控制中心或采购人指定地点</w:t>
            </w:r>
          </w:p>
        </w:tc>
      </w:tr>
      <w:tr w14:paraId="5338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4B30D90A">
            <w:pPr>
              <w:pStyle w:val="6"/>
              <w:pBdr>
                <w:bottom w:val="none" w:color="auto" w:sz="0" w:space="0"/>
              </w:pBdr>
              <w:tabs>
                <w:tab w:val="clear" w:pos="4153"/>
                <w:tab w:val="clear" w:pos="8306"/>
              </w:tabs>
              <w:wordWrap w:val="0"/>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3</w:t>
            </w:r>
          </w:p>
        </w:tc>
        <w:tc>
          <w:tcPr>
            <w:tcW w:w="2054" w:type="dxa"/>
            <w:vAlign w:val="center"/>
          </w:tcPr>
          <w:p w14:paraId="329238CB">
            <w:pPr>
              <w:pStyle w:val="7"/>
              <w:widowControl w:val="0"/>
              <w:spacing w:before="0" w:beforeAutospacing="0" w:after="0" w:afterAutospacing="0" w:line="360" w:lineRule="auto"/>
              <w:rPr>
                <w:rFonts w:ascii="宋体" w:hAnsi="宋体" w:eastAsia="宋体"/>
                <w:b w:val="0"/>
                <w:sz w:val="24"/>
                <w:highlight w:val="none"/>
              </w:rPr>
            </w:pPr>
            <w:r>
              <w:rPr>
                <w:rFonts w:ascii="Arial" w:hAnsi="Arial" w:eastAsia="宋体" w:cs="Arial"/>
                <w:b w:val="0"/>
                <w:bCs w:val="0"/>
                <w:kern w:val="2"/>
                <w:sz w:val="24"/>
                <w:szCs w:val="20"/>
                <w:highlight w:val="none"/>
              </w:rPr>
              <w:t>供货及安装期限</w:t>
            </w:r>
          </w:p>
        </w:tc>
        <w:tc>
          <w:tcPr>
            <w:tcW w:w="5544" w:type="dxa"/>
            <w:vAlign w:val="center"/>
          </w:tcPr>
          <w:p w14:paraId="54C6DEDE">
            <w:pPr>
              <w:pStyle w:val="7"/>
              <w:widowControl w:val="0"/>
              <w:spacing w:before="0" w:beforeAutospacing="0" w:after="0" w:afterAutospacing="0"/>
              <w:jc w:val="both"/>
              <w:rPr>
                <w:rFonts w:hint="eastAsia" w:ascii="宋体" w:hAnsi="宋体" w:eastAsia="宋体" w:cs="宋体"/>
                <w:b w:val="0"/>
                <w:sz w:val="24"/>
                <w:szCs w:val="24"/>
                <w:highlight w:val="none"/>
              </w:rPr>
            </w:pPr>
            <w:r>
              <w:rPr>
                <w:rFonts w:hint="eastAsia" w:ascii="宋体" w:hAnsi="宋体" w:eastAsia="宋体" w:cs="宋体"/>
                <w:b w:val="0"/>
                <w:sz w:val="24"/>
                <w:szCs w:val="24"/>
                <w:highlight w:val="none"/>
                <w:lang w:eastAsia="zh-CN"/>
              </w:rPr>
              <w:t>合同签订后5日内完成供货。</w:t>
            </w:r>
          </w:p>
        </w:tc>
      </w:tr>
      <w:tr w14:paraId="6DCE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6C2D5B90">
            <w:pPr>
              <w:pStyle w:val="6"/>
              <w:pBdr>
                <w:bottom w:val="none" w:color="auto" w:sz="0" w:space="0"/>
              </w:pBdr>
              <w:tabs>
                <w:tab w:val="clear" w:pos="4153"/>
                <w:tab w:val="clear" w:pos="8306"/>
              </w:tabs>
              <w:wordWrap w:val="0"/>
              <w:adjustRightInd/>
              <w:spacing w:line="240" w:lineRule="auto"/>
              <w:textAlignment w:val="auto"/>
              <w:rPr>
                <w:rFonts w:hint="eastAsia" w:ascii="宋体" w:hAnsi="宋体" w:eastAsia="宋体"/>
                <w:bCs/>
                <w:kern w:val="2"/>
                <w:highlight w:val="none"/>
                <w:lang w:val="en-US" w:eastAsia="zh-CN"/>
              </w:rPr>
            </w:pPr>
            <w:r>
              <w:rPr>
                <w:rFonts w:hint="eastAsia" w:ascii="宋体" w:hAnsi="宋体" w:eastAsia="宋体"/>
                <w:bCs/>
                <w:kern w:val="2"/>
                <w:highlight w:val="none"/>
                <w:lang w:val="en-US" w:eastAsia="zh-CN"/>
              </w:rPr>
              <w:t>4</w:t>
            </w:r>
          </w:p>
        </w:tc>
        <w:tc>
          <w:tcPr>
            <w:tcW w:w="2054" w:type="dxa"/>
            <w:vAlign w:val="center"/>
          </w:tcPr>
          <w:p w14:paraId="2472B264">
            <w:pPr>
              <w:pStyle w:val="7"/>
              <w:widowControl w:val="0"/>
              <w:spacing w:before="0" w:beforeAutospacing="0" w:after="0" w:afterAutospacing="0" w:line="360" w:lineRule="auto"/>
              <w:rPr>
                <w:rFonts w:ascii="Arial" w:hAnsi="Arial" w:eastAsia="宋体" w:cs="Arial"/>
                <w:b w:val="0"/>
                <w:bCs w:val="0"/>
                <w:kern w:val="2"/>
                <w:sz w:val="24"/>
                <w:szCs w:val="20"/>
                <w:highlight w:val="none"/>
              </w:rPr>
            </w:pPr>
            <w:r>
              <w:rPr>
                <w:rFonts w:hint="eastAsia" w:ascii="Arial" w:hAnsi="Arial" w:eastAsia="宋体" w:cs="Arial"/>
                <w:b w:val="0"/>
                <w:bCs w:val="0"/>
                <w:kern w:val="2"/>
                <w:sz w:val="24"/>
                <w:szCs w:val="20"/>
                <w:highlight w:val="none"/>
                <w:lang w:val="en-US" w:eastAsia="zh-CN"/>
              </w:rPr>
              <w:t>效期</w:t>
            </w:r>
          </w:p>
        </w:tc>
        <w:tc>
          <w:tcPr>
            <w:tcW w:w="5544" w:type="dxa"/>
            <w:vAlign w:val="center"/>
          </w:tcPr>
          <w:p w14:paraId="73A08AB5">
            <w:pPr>
              <w:pStyle w:val="7"/>
              <w:widowControl w:val="0"/>
              <w:spacing w:before="0" w:beforeAutospacing="0" w:after="0" w:afterAutospacing="0"/>
              <w:jc w:val="both"/>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到货时有效期不低于3个月</w:t>
            </w:r>
            <w:r>
              <w:rPr>
                <w:rFonts w:hint="eastAsia" w:ascii="宋体" w:hAnsi="宋体" w:eastAsia="宋体" w:cs="宋体"/>
                <w:b/>
                <w:bCs w:val="0"/>
                <w:sz w:val="24"/>
                <w:szCs w:val="24"/>
                <w:highlight w:val="none"/>
              </w:rPr>
              <w:t>（如货物需求表中另有要求以货物需求表为准）</w:t>
            </w:r>
          </w:p>
        </w:tc>
      </w:tr>
    </w:tbl>
    <w:p w14:paraId="48FA8AC8">
      <w:pPr>
        <w:wordWrap w:val="0"/>
        <w:spacing w:line="360" w:lineRule="auto"/>
        <w:ind w:firstLine="562" w:firstLineChars="200"/>
        <w:jc w:val="left"/>
        <w:rPr>
          <w:rFonts w:hint="eastAsia" w:ascii="宋体" w:hAnsi="宋体" w:eastAsia="宋体"/>
          <w:b/>
          <w:bCs/>
          <w:sz w:val="28"/>
          <w:szCs w:val="28"/>
          <w:highlight w:val="none"/>
        </w:rPr>
      </w:pPr>
      <w:r>
        <w:rPr>
          <w:rFonts w:hint="eastAsia" w:ascii="宋体" w:hAnsi="宋体" w:eastAsia="宋体"/>
          <w:b/>
          <w:bCs/>
          <w:sz w:val="28"/>
          <w:szCs w:val="28"/>
          <w:highlight w:val="none"/>
          <w:lang w:val="en-US" w:eastAsia="zh-CN"/>
        </w:rPr>
        <w:t>二、</w:t>
      </w:r>
      <w:r>
        <w:rPr>
          <w:rFonts w:hint="eastAsia" w:ascii="宋体" w:hAnsi="宋体" w:eastAsia="宋体"/>
          <w:b/>
          <w:bCs/>
          <w:sz w:val="28"/>
          <w:szCs w:val="28"/>
          <w:highlight w:val="none"/>
        </w:rPr>
        <w:t>货物需求</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062"/>
        <w:gridCol w:w="967"/>
        <w:gridCol w:w="4792"/>
      </w:tblGrid>
      <w:tr w14:paraId="0443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B025A9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062" w:type="dxa"/>
          </w:tcPr>
          <w:p w14:paraId="65D765B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品名</w:t>
            </w:r>
          </w:p>
        </w:tc>
        <w:tc>
          <w:tcPr>
            <w:tcW w:w="967" w:type="dxa"/>
            <w:vAlign w:val="center"/>
          </w:tcPr>
          <w:p w14:paraId="56418FB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4792" w:type="dxa"/>
          </w:tcPr>
          <w:p w14:paraId="30D8E43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参数</w:t>
            </w:r>
          </w:p>
        </w:tc>
      </w:tr>
      <w:tr w14:paraId="7479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3265D75">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062" w:type="dxa"/>
            <w:vAlign w:val="center"/>
          </w:tcPr>
          <w:p w14:paraId="12B959E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巧克力双抗平皿</w:t>
            </w:r>
          </w:p>
        </w:tc>
        <w:tc>
          <w:tcPr>
            <w:tcW w:w="967" w:type="dxa"/>
            <w:vAlign w:val="center"/>
          </w:tcPr>
          <w:p w14:paraId="1E0A15B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4000块</w:t>
            </w:r>
          </w:p>
        </w:tc>
        <w:tc>
          <w:tcPr>
            <w:tcW w:w="4792" w:type="dxa"/>
          </w:tcPr>
          <w:p w14:paraId="3953C0D9">
            <w:pP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9cm，20块/盒，用于脑膜炎奈瑟菌的培养鉴定，有效期不低于3个月</w:t>
            </w:r>
          </w:p>
        </w:tc>
      </w:tr>
      <w:tr w14:paraId="7BAA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E6BC68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062" w:type="dxa"/>
            <w:vAlign w:val="center"/>
          </w:tcPr>
          <w:p w14:paraId="00D7A02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巧克力普通平皿</w:t>
            </w:r>
          </w:p>
        </w:tc>
        <w:tc>
          <w:tcPr>
            <w:tcW w:w="967" w:type="dxa"/>
            <w:vAlign w:val="center"/>
          </w:tcPr>
          <w:p w14:paraId="79AB0D1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1000块</w:t>
            </w:r>
          </w:p>
        </w:tc>
        <w:tc>
          <w:tcPr>
            <w:tcW w:w="4792" w:type="dxa"/>
          </w:tcPr>
          <w:p w14:paraId="17ADB292">
            <w:pP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9cm，20块/盒，用于脑膜炎奈瑟菌的培养鉴定，有效期不低于3个月</w:t>
            </w:r>
          </w:p>
        </w:tc>
      </w:tr>
      <w:tr w14:paraId="0079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430A610D">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2062" w:type="dxa"/>
            <w:vAlign w:val="center"/>
          </w:tcPr>
          <w:p w14:paraId="4DF4C440">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MH羊血平皿</w:t>
            </w:r>
          </w:p>
        </w:tc>
        <w:tc>
          <w:tcPr>
            <w:tcW w:w="967" w:type="dxa"/>
            <w:vAlign w:val="center"/>
          </w:tcPr>
          <w:p w14:paraId="06D0413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600块</w:t>
            </w:r>
          </w:p>
        </w:tc>
        <w:tc>
          <w:tcPr>
            <w:tcW w:w="4792" w:type="dxa"/>
          </w:tcPr>
          <w:p w14:paraId="79C07585">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9cm，20块/盒，用于脑膜炎奈瑟菌的药敏实验，有效期不低于3个月</w:t>
            </w:r>
          </w:p>
        </w:tc>
      </w:tr>
      <w:tr w14:paraId="6C91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B3F626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2062" w:type="dxa"/>
            <w:vAlign w:val="center"/>
          </w:tcPr>
          <w:p w14:paraId="4381F0D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咽拭子</w:t>
            </w:r>
          </w:p>
        </w:tc>
        <w:tc>
          <w:tcPr>
            <w:tcW w:w="967" w:type="dxa"/>
            <w:vAlign w:val="center"/>
          </w:tcPr>
          <w:p w14:paraId="3BAB10F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3000份</w:t>
            </w:r>
          </w:p>
        </w:tc>
        <w:tc>
          <w:tcPr>
            <w:tcW w:w="4792" w:type="dxa"/>
          </w:tcPr>
          <w:p w14:paraId="1E39DB59">
            <w:pP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常规无菌植绒拭子，有塑料涂抹器，独立包装，有80-100nm的断点，100个/包</w:t>
            </w:r>
          </w:p>
        </w:tc>
      </w:tr>
      <w:tr w14:paraId="67CA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4EF825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2062" w:type="dxa"/>
            <w:vAlign w:val="center"/>
          </w:tcPr>
          <w:p w14:paraId="04C7FE1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15ml离心管</w:t>
            </w:r>
          </w:p>
        </w:tc>
        <w:tc>
          <w:tcPr>
            <w:tcW w:w="967" w:type="dxa"/>
            <w:vAlign w:val="center"/>
          </w:tcPr>
          <w:p w14:paraId="6A80CC2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2000个</w:t>
            </w:r>
          </w:p>
        </w:tc>
        <w:tc>
          <w:tcPr>
            <w:tcW w:w="4792" w:type="dxa"/>
          </w:tcPr>
          <w:p w14:paraId="2CBFD9FF">
            <w:pP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锥型底，无菌，带管架，50个/包，500个/箱</w:t>
            </w:r>
          </w:p>
        </w:tc>
      </w:tr>
      <w:tr w14:paraId="7D42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038B4CFC">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2062" w:type="dxa"/>
            <w:vAlign w:val="center"/>
          </w:tcPr>
          <w:p w14:paraId="378FA42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Vk 2 NH鉴定卡</w:t>
            </w:r>
          </w:p>
        </w:tc>
        <w:tc>
          <w:tcPr>
            <w:tcW w:w="967" w:type="dxa"/>
            <w:vAlign w:val="center"/>
          </w:tcPr>
          <w:p w14:paraId="4E42E53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4盒</w:t>
            </w:r>
          </w:p>
        </w:tc>
        <w:tc>
          <w:tcPr>
            <w:tcW w:w="4792" w:type="dxa"/>
          </w:tcPr>
          <w:p w14:paraId="4A463AD6">
            <w:pP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适用于全自动微生物鉴定及药敏分析仪Vitek 2 compact；用于来源于人体并经过分离培养的常见具有临床意义的苛养菌的自动鉴定；20测试/盒</w:t>
            </w:r>
          </w:p>
        </w:tc>
      </w:tr>
      <w:tr w14:paraId="52AD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8068917">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2062" w:type="dxa"/>
            <w:vAlign w:val="center"/>
          </w:tcPr>
          <w:p w14:paraId="644ECE1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Nm种属鉴定双重试剂盒</w:t>
            </w:r>
          </w:p>
        </w:tc>
        <w:tc>
          <w:tcPr>
            <w:tcW w:w="967" w:type="dxa"/>
            <w:vAlign w:val="center"/>
          </w:tcPr>
          <w:p w14:paraId="44402C2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2盒</w:t>
            </w:r>
          </w:p>
        </w:tc>
        <w:tc>
          <w:tcPr>
            <w:tcW w:w="4792" w:type="dxa"/>
          </w:tcPr>
          <w:p w14:paraId="43CBD08C">
            <w:pP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48人份/盒，双靶标（ctrA和SodC）检测。最低检出限：500copies/ml。反应体系：25ul。反应条件：UNG处理</w:t>
            </w:r>
          </w:p>
        </w:tc>
      </w:tr>
      <w:tr w14:paraId="74F8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2715832D">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2062" w:type="dxa"/>
            <w:vAlign w:val="center"/>
          </w:tcPr>
          <w:p w14:paraId="58730C8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Nm分型ABC三重试剂盒</w:t>
            </w:r>
          </w:p>
        </w:tc>
        <w:tc>
          <w:tcPr>
            <w:tcW w:w="967" w:type="dxa"/>
            <w:vAlign w:val="center"/>
          </w:tcPr>
          <w:p w14:paraId="4AFFB37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2盒</w:t>
            </w:r>
          </w:p>
        </w:tc>
        <w:tc>
          <w:tcPr>
            <w:tcW w:w="4792" w:type="dxa"/>
          </w:tcPr>
          <w:p w14:paraId="1123E6CA">
            <w:pP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48人份/盒，三重靶标。最低检出限：500copies/ml。反应体系：25ul。反应条件：UNG处理；检测ABC型脑膜炎奈瑟菌</w:t>
            </w:r>
          </w:p>
        </w:tc>
      </w:tr>
      <w:tr w14:paraId="31C2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376E709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2062" w:type="dxa"/>
            <w:vAlign w:val="center"/>
          </w:tcPr>
          <w:p w14:paraId="762D19F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Nm分型XYW135三重试剂盒</w:t>
            </w:r>
          </w:p>
        </w:tc>
        <w:tc>
          <w:tcPr>
            <w:tcW w:w="967" w:type="dxa"/>
            <w:vAlign w:val="center"/>
          </w:tcPr>
          <w:p w14:paraId="320EBEB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2盒</w:t>
            </w:r>
          </w:p>
        </w:tc>
        <w:tc>
          <w:tcPr>
            <w:tcW w:w="4792" w:type="dxa"/>
          </w:tcPr>
          <w:p w14:paraId="112D5AC4">
            <w:pP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48人份/盒，三重靶标。最低检出限：500copies/ml。反应体系：25ul。反应条件：UNG处理；检测XYW135型脑膜炎奈瑟菌</w:t>
            </w:r>
          </w:p>
        </w:tc>
      </w:tr>
    </w:tbl>
    <w:p w14:paraId="66EEC169">
      <w:pPr>
        <w:wordWrap w:val="0"/>
        <w:spacing w:line="360" w:lineRule="auto"/>
        <w:ind w:firstLine="562" w:firstLineChars="200"/>
        <w:jc w:val="left"/>
        <w:rPr>
          <w:rFonts w:ascii="宋体" w:hAnsi="宋体" w:eastAsia="宋体"/>
          <w:b/>
          <w:bCs/>
          <w:sz w:val="28"/>
          <w:szCs w:val="28"/>
          <w:highlight w:val="none"/>
        </w:rPr>
      </w:pPr>
      <w:r>
        <w:rPr>
          <w:rFonts w:hint="eastAsia" w:ascii="宋体" w:hAnsi="宋体" w:eastAsia="宋体"/>
          <w:b/>
          <w:bCs/>
          <w:sz w:val="28"/>
          <w:szCs w:val="28"/>
          <w:highlight w:val="none"/>
          <w:lang w:val="en-US" w:eastAsia="zh-CN"/>
        </w:rPr>
        <w:t>三</w:t>
      </w:r>
      <w:r>
        <w:rPr>
          <w:rFonts w:hint="eastAsia" w:ascii="宋体" w:hAnsi="宋体" w:eastAsia="宋体"/>
          <w:b/>
          <w:bCs/>
          <w:sz w:val="28"/>
          <w:szCs w:val="28"/>
          <w:highlight w:val="none"/>
        </w:rPr>
        <w:t>、报价要求</w:t>
      </w:r>
    </w:p>
    <w:p w14:paraId="43AB87B1">
      <w:pPr>
        <w:spacing w:line="360" w:lineRule="auto"/>
        <w:ind w:firstLine="437"/>
        <w:rPr>
          <w:rFonts w:hint="eastAsia" w:ascii="宋体" w:hAnsi="宋体" w:eastAsia="宋体"/>
          <w:bCs/>
          <w:sz w:val="24"/>
          <w:highlight w:val="none"/>
        </w:rPr>
      </w:pPr>
      <w:r>
        <w:rPr>
          <w:rFonts w:hint="eastAsia" w:ascii="宋体" w:hAnsi="宋体" w:eastAsia="宋体"/>
          <w:bCs/>
          <w:sz w:val="24"/>
          <w:highlight w:val="none"/>
        </w:rPr>
        <w:t>本项目报总价，报价包含完成本项目所需的全部费用，成交后采购人不再增加任何费用。</w:t>
      </w:r>
    </w:p>
    <w:p w14:paraId="6A72ACDE">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311D49"/>
    <w:rsid w:val="44311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szCs w:val="20"/>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4">
    <w:name w:val="Table Grid"/>
    <w:basedOn w:val="3"/>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D&amp;L"/>
    <w:basedOn w:val="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2026-04-07T07:40:00Z</dcterms:created>
  <dc:creator>森</dc:creator>
  <cp:lastModifiedBy>森</cp:lastModifiedBy>
  <dcterms:modified xsi:type="dcterms:W3CDTF">2026-04-07T07:41:02Z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B1B131E7F61D441EA4630900F4F4DA6F_11</vt:lpwstr>
  </property>
  <property fmtid="{D5CDD505-2E9C-101B-9397-08002B2CF9AE}" pid="4" name="KSOTemplateDocerSaveRecord">
    <vt:lpwstr>eyJoZGlkIjoiOTc3M2Y5NzIzMDFlZjAyY2Q4Njk5ODkyYjFjNzBiNTQiLCJ1c2VySWQiOiI0MzAwMTYzNzkifQ==</vt:lpwstr>
  </property>
</Properties>
</file>