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D8162">
      <w:pPr>
        <w:wordWrap w:val="0"/>
        <w:spacing w:line="360" w:lineRule="auto"/>
        <w:jc w:val="center"/>
        <w:outlineLvl w:val="1"/>
        <w:rPr>
          <w:rFonts w:ascii="仿宋" w:hAnsi="仿宋" w:eastAsia="仿宋" w:cs="仿宋"/>
          <w:b/>
          <w:bCs/>
          <w:kern w:val="44"/>
          <w:sz w:val="44"/>
          <w:szCs w:val="44"/>
        </w:rPr>
      </w:pPr>
      <w:r>
        <w:rPr>
          <w:rFonts w:hint="eastAsia" w:ascii="仿宋" w:hAnsi="仿宋" w:eastAsia="仿宋" w:cs="仿宋"/>
          <w:b/>
          <w:bCs/>
          <w:kern w:val="44"/>
          <w:sz w:val="44"/>
          <w:szCs w:val="44"/>
        </w:rPr>
        <w:t>第三章  采购需求</w:t>
      </w:r>
    </w:p>
    <w:p w14:paraId="0F095D0F">
      <w:pPr>
        <w:wordWrap w:val="0"/>
        <w:spacing w:line="440" w:lineRule="exact"/>
        <w:jc w:val="left"/>
        <w:rPr>
          <w:rFonts w:ascii="仿宋" w:hAnsi="仿宋" w:eastAsia="仿宋" w:cs="仿宋"/>
          <w:b/>
          <w:sz w:val="24"/>
        </w:rPr>
      </w:pPr>
      <w:r>
        <w:rPr>
          <w:rFonts w:hint="eastAsia" w:ascii="仿宋" w:hAnsi="仿宋" w:eastAsia="仿宋" w:cs="仿宋"/>
          <w:b/>
          <w:sz w:val="24"/>
        </w:rPr>
        <w:t>前注：</w:t>
      </w:r>
    </w:p>
    <w:p w14:paraId="7BF0268A">
      <w:pPr>
        <w:wordWrap w:val="0"/>
        <w:spacing w:line="440" w:lineRule="exact"/>
        <w:ind w:firstLine="437"/>
        <w:jc w:val="left"/>
        <w:rPr>
          <w:rFonts w:ascii="仿宋" w:hAnsi="仿宋" w:eastAsia="仿宋" w:cs="仿宋"/>
          <w:sz w:val="24"/>
        </w:rPr>
      </w:pPr>
      <w:r>
        <w:rPr>
          <w:rFonts w:hint="eastAsia" w:ascii="仿宋" w:hAnsi="仿宋" w:eastAsia="仿宋" w:cs="仿宋"/>
          <w:sz w:val="24"/>
        </w:rPr>
        <w:t>1.本说明中提出的服务方案仅为参考，如无明确限制，供应商可以进行优化，提供满足用户实际需要的更优（或者性能实质上不低于的）服务方案，且此方案须经比选小组评审认可。</w:t>
      </w:r>
    </w:p>
    <w:p w14:paraId="1D59C3F5">
      <w:pPr>
        <w:wordWrap w:val="0"/>
        <w:spacing w:line="440" w:lineRule="exact"/>
        <w:ind w:firstLine="437"/>
        <w:jc w:val="left"/>
        <w:rPr>
          <w:rFonts w:ascii="仿宋" w:hAnsi="仿宋" w:eastAsia="仿宋" w:cs="仿宋"/>
          <w:b/>
          <w:sz w:val="28"/>
          <w:szCs w:val="28"/>
        </w:rPr>
      </w:pPr>
      <w:r>
        <w:rPr>
          <w:rFonts w:hint="eastAsia" w:ascii="仿宋" w:hAnsi="仿宋" w:eastAsia="仿宋" w:cs="仿宋"/>
          <w:b/>
          <w:sz w:val="28"/>
          <w:szCs w:val="28"/>
        </w:rPr>
        <w:t>一、采购需求前附表</w:t>
      </w:r>
    </w:p>
    <w:tbl>
      <w:tblPr>
        <w:tblStyle w:val="4"/>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2025"/>
        <w:gridCol w:w="5466"/>
      </w:tblGrid>
      <w:tr w14:paraId="7F3E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5A53C8F">
            <w:pPr>
              <w:pStyle w:val="6"/>
              <w:pBdr>
                <w:bottom w:val="none" w:color="auto" w:sz="0" w:space="0"/>
              </w:pBdr>
              <w:tabs>
                <w:tab w:val="clear" w:pos="4153"/>
                <w:tab w:val="clear" w:pos="8306"/>
              </w:tabs>
              <w:wordWrap w:val="0"/>
              <w:adjustRightInd/>
              <w:spacing w:line="440" w:lineRule="exact"/>
              <w:textAlignment w:val="auto"/>
              <w:rPr>
                <w:rFonts w:ascii="仿宋" w:hAnsi="仿宋" w:eastAsia="仿宋" w:cs="仿宋"/>
                <w:b/>
                <w:kern w:val="2"/>
              </w:rPr>
            </w:pPr>
            <w:r>
              <w:rPr>
                <w:rFonts w:hint="eastAsia" w:ascii="仿宋" w:hAnsi="仿宋" w:eastAsia="仿宋" w:cs="仿宋"/>
                <w:b/>
                <w:kern w:val="2"/>
              </w:rPr>
              <w:t>序号</w:t>
            </w:r>
          </w:p>
        </w:tc>
        <w:tc>
          <w:tcPr>
            <w:tcW w:w="2025" w:type="dxa"/>
            <w:vAlign w:val="center"/>
          </w:tcPr>
          <w:p w14:paraId="51E33E38">
            <w:pPr>
              <w:pStyle w:val="7"/>
              <w:widowControl w:val="0"/>
              <w:wordWrap w:val="0"/>
              <w:spacing w:before="0" w:beforeAutospacing="0" w:after="0" w:afterAutospacing="0" w:line="440" w:lineRule="exact"/>
              <w:rPr>
                <w:rFonts w:ascii="仿宋" w:hAnsi="仿宋" w:eastAsia="仿宋" w:cs="仿宋"/>
                <w:bCs w:val="0"/>
                <w:sz w:val="24"/>
              </w:rPr>
            </w:pPr>
            <w:r>
              <w:rPr>
                <w:rFonts w:hint="eastAsia" w:ascii="仿宋" w:hAnsi="仿宋" w:eastAsia="仿宋" w:cs="仿宋"/>
                <w:bCs w:val="0"/>
                <w:sz w:val="24"/>
              </w:rPr>
              <w:t>内容</w:t>
            </w:r>
          </w:p>
        </w:tc>
        <w:tc>
          <w:tcPr>
            <w:tcW w:w="5466" w:type="dxa"/>
            <w:vAlign w:val="center"/>
          </w:tcPr>
          <w:p w14:paraId="257F0DEE">
            <w:pPr>
              <w:pStyle w:val="7"/>
              <w:widowControl w:val="0"/>
              <w:wordWrap w:val="0"/>
              <w:spacing w:before="0" w:beforeAutospacing="0" w:after="0" w:afterAutospacing="0" w:line="440" w:lineRule="exact"/>
              <w:rPr>
                <w:rFonts w:ascii="仿宋" w:hAnsi="仿宋" w:eastAsia="仿宋" w:cs="仿宋"/>
                <w:bCs w:val="0"/>
                <w:sz w:val="24"/>
              </w:rPr>
            </w:pPr>
            <w:r>
              <w:rPr>
                <w:rFonts w:hint="eastAsia" w:ascii="仿宋" w:hAnsi="仿宋" w:eastAsia="仿宋" w:cs="仿宋"/>
                <w:bCs w:val="0"/>
                <w:sz w:val="24"/>
              </w:rPr>
              <w:t>说明与要求</w:t>
            </w:r>
          </w:p>
        </w:tc>
      </w:tr>
      <w:tr w14:paraId="6E4E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2C24B8C">
            <w:pPr>
              <w:pStyle w:val="6"/>
              <w:pBdr>
                <w:bottom w:val="none" w:color="auto" w:sz="0" w:space="0"/>
              </w:pBdr>
              <w:tabs>
                <w:tab w:val="clear" w:pos="4153"/>
                <w:tab w:val="clear" w:pos="8306"/>
              </w:tabs>
              <w:wordWrap w:val="0"/>
              <w:adjustRightInd/>
              <w:spacing w:line="440" w:lineRule="exact"/>
              <w:textAlignment w:val="auto"/>
              <w:rPr>
                <w:rFonts w:ascii="仿宋" w:hAnsi="仿宋" w:eastAsia="仿宋" w:cs="仿宋"/>
                <w:bCs/>
                <w:kern w:val="2"/>
              </w:rPr>
            </w:pPr>
            <w:r>
              <w:rPr>
                <w:rFonts w:hint="eastAsia" w:ascii="仿宋" w:hAnsi="仿宋" w:eastAsia="仿宋" w:cs="仿宋"/>
                <w:bCs/>
                <w:kern w:val="2"/>
              </w:rPr>
              <w:t>1</w:t>
            </w:r>
          </w:p>
        </w:tc>
        <w:tc>
          <w:tcPr>
            <w:tcW w:w="2025" w:type="dxa"/>
            <w:vAlign w:val="center"/>
          </w:tcPr>
          <w:p w14:paraId="6C9B9B7C">
            <w:pPr>
              <w:pStyle w:val="7"/>
              <w:widowControl w:val="0"/>
              <w:wordWrap w:val="0"/>
              <w:spacing w:before="0" w:beforeAutospacing="0" w:after="0" w:afterAutospacing="0" w:line="440" w:lineRule="exact"/>
              <w:rPr>
                <w:rFonts w:ascii="仿宋" w:hAnsi="仿宋" w:eastAsia="仿宋" w:cs="仿宋"/>
                <w:b w:val="0"/>
                <w:sz w:val="24"/>
              </w:rPr>
            </w:pPr>
            <w:r>
              <w:rPr>
                <w:rFonts w:hint="eastAsia" w:ascii="仿宋" w:hAnsi="仿宋" w:eastAsia="仿宋" w:cs="仿宋"/>
                <w:b w:val="0"/>
                <w:sz w:val="24"/>
              </w:rPr>
              <w:t>付款方式</w:t>
            </w:r>
          </w:p>
        </w:tc>
        <w:tc>
          <w:tcPr>
            <w:tcW w:w="5466" w:type="dxa"/>
            <w:vAlign w:val="center"/>
          </w:tcPr>
          <w:p w14:paraId="1C9A6247">
            <w:pPr>
              <w:pStyle w:val="7"/>
              <w:widowControl w:val="0"/>
              <w:spacing w:before="0" w:beforeAutospacing="0" w:after="0" w:afterAutospacing="0" w:line="360" w:lineRule="auto"/>
              <w:jc w:val="both"/>
              <w:rPr>
                <w:rFonts w:ascii="仿宋" w:hAnsi="仿宋" w:eastAsia="仿宋" w:cs="仿宋"/>
                <w:b w:val="0"/>
                <w:sz w:val="24"/>
                <w:szCs w:val="24"/>
              </w:rPr>
            </w:pPr>
            <w:r>
              <w:rPr>
                <w:rFonts w:hint="eastAsia" w:ascii="仿宋" w:hAnsi="仿宋" w:eastAsia="仿宋" w:cs="仿宋"/>
                <w:b w:val="0"/>
                <w:sz w:val="24"/>
                <w:szCs w:val="24"/>
              </w:rPr>
              <w:t>年度盘点工作完成，并出具资产盘点报告，经采购方验收合格后支付当年合同款。</w:t>
            </w:r>
          </w:p>
        </w:tc>
      </w:tr>
      <w:tr w14:paraId="22EC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9AEA9C8">
            <w:pPr>
              <w:pStyle w:val="6"/>
              <w:pBdr>
                <w:bottom w:val="none" w:color="auto" w:sz="0" w:space="0"/>
              </w:pBdr>
              <w:tabs>
                <w:tab w:val="clear" w:pos="4153"/>
                <w:tab w:val="clear" w:pos="8306"/>
              </w:tabs>
              <w:wordWrap w:val="0"/>
              <w:adjustRightInd/>
              <w:spacing w:line="440" w:lineRule="exact"/>
              <w:textAlignment w:val="auto"/>
              <w:rPr>
                <w:rFonts w:ascii="仿宋" w:hAnsi="仿宋" w:eastAsia="仿宋" w:cs="仿宋"/>
                <w:bCs/>
                <w:kern w:val="2"/>
              </w:rPr>
            </w:pPr>
            <w:r>
              <w:rPr>
                <w:rFonts w:hint="eastAsia" w:ascii="仿宋" w:hAnsi="仿宋" w:eastAsia="仿宋" w:cs="仿宋"/>
                <w:bCs/>
                <w:kern w:val="2"/>
              </w:rPr>
              <w:t>2</w:t>
            </w:r>
          </w:p>
        </w:tc>
        <w:tc>
          <w:tcPr>
            <w:tcW w:w="2025" w:type="dxa"/>
            <w:vAlign w:val="center"/>
          </w:tcPr>
          <w:p w14:paraId="4C243B3E">
            <w:pPr>
              <w:pStyle w:val="7"/>
              <w:widowControl w:val="0"/>
              <w:wordWrap w:val="0"/>
              <w:spacing w:before="0" w:beforeAutospacing="0" w:after="0" w:afterAutospacing="0" w:line="440" w:lineRule="exact"/>
              <w:rPr>
                <w:rFonts w:ascii="仿宋" w:hAnsi="仿宋" w:eastAsia="仿宋" w:cs="仿宋"/>
                <w:b w:val="0"/>
                <w:sz w:val="24"/>
              </w:rPr>
            </w:pPr>
            <w:r>
              <w:rPr>
                <w:rFonts w:hint="eastAsia" w:ascii="仿宋" w:hAnsi="仿宋" w:eastAsia="仿宋" w:cs="仿宋"/>
                <w:b w:val="0"/>
                <w:sz w:val="24"/>
              </w:rPr>
              <w:t>服务地点</w:t>
            </w:r>
          </w:p>
        </w:tc>
        <w:tc>
          <w:tcPr>
            <w:tcW w:w="5466" w:type="dxa"/>
            <w:vAlign w:val="center"/>
          </w:tcPr>
          <w:p w14:paraId="25C6A780">
            <w:pPr>
              <w:pStyle w:val="7"/>
              <w:widowControl w:val="0"/>
              <w:spacing w:before="0" w:beforeAutospacing="0" w:after="0" w:afterAutospacing="0" w:line="360" w:lineRule="auto"/>
              <w:jc w:val="both"/>
              <w:rPr>
                <w:rFonts w:ascii="仿宋" w:hAnsi="仿宋" w:eastAsia="仿宋" w:cs="仿宋"/>
                <w:b w:val="0"/>
                <w:sz w:val="24"/>
                <w:szCs w:val="24"/>
              </w:rPr>
            </w:pPr>
            <w:r>
              <w:rPr>
                <w:rFonts w:hint="eastAsia" w:ascii="仿宋" w:hAnsi="仿宋" w:eastAsia="仿宋" w:cs="仿宋"/>
                <w:b w:val="0"/>
                <w:sz w:val="24"/>
                <w:szCs w:val="24"/>
              </w:rPr>
              <w:t>安徽省疾病预防控制中心或采购人指定地点。</w:t>
            </w:r>
          </w:p>
        </w:tc>
      </w:tr>
      <w:tr w14:paraId="482E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771CD561">
            <w:pPr>
              <w:pStyle w:val="6"/>
              <w:pBdr>
                <w:bottom w:val="none" w:color="auto" w:sz="0" w:space="0"/>
              </w:pBdr>
              <w:tabs>
                <w:tab w:val="clear" w:pos="4153"/>
                <w:tab w:val="clear" w:pos="8306"/>
              </w:tabs>
              <w:wordWrap w:val="0"/>
              <w:adjustRightInd/>
              <w:spacing w:line="440" w:lineRule="exact"/>
              <w:textAlignment w:val="auto"/>
              <w:rPr>
                <w:rFonts w:ascii="仿宋" w:hAnsi="仿宋" w:eastAsia="仿宋" w:cs="仿宋"/>
                <w:bCs/>
                <w:kern w:val="2"/>
              </w:rPr>
            </w:pPr>
            <w:r>
              <w:rPr>
                <w:rFonts w:hint="eastAsia" w:ascii="仿宋" w:hAnsi="仿宋" w:eastAsia="仿宋" w:cs="仿宋"/>
                <w:bCs/>
                <w:kern w:val="2"/>
              </w:rPr>
              <w:t>3</w:t>
            </w:r>
          </w:p>
        </w:tc>
        <w:tc>
          <w:tcPr>
            <w:tcW w:w="2025" w:type="dxa"/>
            <w:vAlign w:val="center"/>
          </w:tcPr>
          <w:p w14:paraId="05129930">
            <w:pPr>
              <w:pStyle w:val="7"/>
              <w:widowControl w:val="0"/>
              <w:wordWrap w:val="0"/>
              <w:spacing w:before="0" w:beforeAutospacing="0" w:after="0" w:afterAutospacing="0" w:line="440" w:lineRule="exact"/>
              <w:rPr>
                <w:rFonts w:ascii="仿宋" w:hAnsi="仿宋" w:eastAsia="仿宋" w:cs="仿宋"/>
                <w:b w:val="0"/>
                <w:sz w:val="24"/>
              </w:rPr>
            </w:pPr>
            <w:r>
              <w:rPr>
                <w:rFonts w:hint="eastAsia" w:ascii="仿宋" w:hAnsi="仿宋" w:eastAsia="仿宋" w:cs="仿宋"/>
                <w:b w:val="0"/>
                <w:sz w:val="24"/>
              </w:rPr>
              <w:t>服务期限</w:t>
            </w:r>
          </w:p>
        </w:tc>
        <w:tc>
          <w:tcPr>
            <w:tcW w:w="5466" w:type="dxa"/>
            <w:vAlign w:val="center"/>
          </w:tcPr>
          <w:p w14:paraId="0FD56ADF">
            <w:pPr>
              <w:pStyle w:val="2"/>
              <w:spacing w:line="360" w:lineRule="auto"/>
              <w:rPr>
                <w:rFonts w:ascii="仿宋" w:hAnsi="仿宋" w:eastAsia="仿宋" w:cs="仿宋"/>
                <w:bCs/>
                <w:kern w:val="0"/>
                <w:sz w:val="24"/>
                <w:szCs w:val="24"/>
              </w:rPr>
            </w:pPr>
            <w:r>
              <w:rPr>
                <w:rFonts w:hint="eastAsia" w:ascii="仿宋" w:hAnsi="仿宋" w:eastAsia="仿宋" w:cs="仿宋"/>
                <w:bCs/>
                <w:kern w:val="0"/>
                <w:sz w:val="24"/>
                <w:szCs w:val="24"/>
              </w:rPr>
              <w:t>自合同签订后三年。本项目采取“1+1+1”模式，合同一年一</w:t>
            </w:r>
            <w:r>
              <w:rPr>
                <w:rFonts w:hint="eastAsia" w:ascii="仿宋" w:hAnsi="仿宋" w:eastAsia="仿宋" w:cs="仿宋"/>
                <w:bCs/>
                <w:color w:val="auto"/>
                <w:kern w:val="0"/>
                <w:sz w:val="24"/>
                <w:szCs w:val="24"/>
              </w:rPr>
              <w:t>签，上一年合同签订后，服务完成并经考核合格，在年度预算可以保证的情况下可续签第二年合同（盘点工作原则上每年安排一次</w:t>
            </w:r>
            <w:r>
              <w:rPr>
                <w:rFonts w:hint="eastAsia" w:ascii="仿宋" w:hAnsi="仿宋" w:eastAsia="仿宋" w:cs="仿宋"/>
                <w:bCs/>
                <w:kern w:val="0"/>
                <w:sz w:val="24"/>
                <w:szCs w:val="24"/>
              </w:rPr>
              <w:t>，具体时间由采购人确定）。</w:t>
            </w:r>
          </w:p>
        </w:tc>
      </w:tr>
    </w:tbl>
    <w:p w14:paraId="2698E472">
      <w:pPr>
        <w:spacing w:line="360" w:lineRule="auto"/>
        <w:ind w:firstLine="437"/>
        <w:outlineLvl w:val="1"/>
        <w:rPr>
          <w:rFonts w:ascii="仿宋" w:hAnsi="仿宋" w:eastAsia="仿宋" w:cs="仿宋"/>
          <w:b/>
          <w:sz w:val="28"/>
          <w:szCs w:val="28"/>
        </w:rPr>
      </w:pPr>
      <w:r>
        <w:rPr>
          <w:rFonts w:hint="eastAsia" w:ascii="仿宋" w:hAnsi="仿宋" w:eastAsia="仿宋" w:cs="仿宋"/>
          <w:b/>
          <w:sz w:val="28"/>
          <w:szCs w:val="28"/>
        </w:rPr>
        <w:t>二、</w:t>
      </w:r>
      <w:bookmarkStart w:id="0" w:name="_Toc31392"/>
      <w:r>
        <w:rPr>
          <w:rFonts w:hint="eastAsia" w:ascii="仿宋" w:hAnsi="仿宋" w:eastAsia="仿宋" w:cs="仿宋"/>
          <w:b/>
          <w:sz w:val="28"/>
          <w:szCs w:val="28"/>
        </w:rPr>
        <w:t>项目概况</w:t>
      </w:r>
      <w:bookmarkEnd w:id="0"/>
    </w:p>
    <w:p w14:paraId="3893C372">
      <w:pPr>
        <w:spacing w:line="360" w:lineRule="auto"/>
        <w:ind w:firstLine="480" w:firstLineChars="200"/>
        <w:rPr>
          <w:rFonts w:ascii="仿宋" w:hAnsi="仿宋" w:eastAsia="仿宋" w:cs="仿宋"/>
          <w:bCs/>
          <w:kern w:val="0"/>
          <w:sz w:val="24"/>
          <w:szCs w:val="24"/>
        </w:rPr>
      </w:pPr>
      <w:bookmarkStart w:id="1" w:name="_Toc24763"/>
      <w:r>
        <w:rPr>
          <w:rFonts w:hint="eastAsia" w:ascii="仿宋" w:hAnsi="仿宋" w:eastAsia="仿宋" w:cs="仿宋"/>
          <w:bCs/>
          <w:kern w:val="0"/>
          <w:sz w:val="24"/>
          <w:szCs w:val="24"/>
        </w:rPr>
        <w:t>根据国务院《行政事业性国有资产管理条例》（国务院令第738号）《财政部关于加强行政事业单位固定资产管理的通知》（财资〔2020〕97号）和《安徽省省级行政事业单位资产清查核实管理办法》（皖财资〔2023〕397号）、《安徽省省级行政事业单位国有资产处置管理办法》（皖财资〔2024〕66号）相关要求，结合中心机构整合完成后资产数量激增这一现状：目前中心名下资产共5651条，其中固定资产5348条；无形资产302条；在建工程1条。为做好资产合并的后续管理工作，梳理和清查机构整合完毕后各部所的资产现状，使日后固定资产管理工作更加规范有序高效，防止国有资产流失，真正达到账账相符，账实相符，特开展三年期固定资产盘点工作。</w:t>
      </w:r>
    </w:p>
    <w:p w14:paraId="7E491994">
      <w:pPr>
        <w:spacing w:line="360" w:lineRule="auto"/>
        <w:ind w:firstLine="437"/>
        <w:outlineLvl w:val="1"/>
        <w:rPr>
          <w:rFonts w:ascii="仿宋" w:hAnsi="仿宋" w:eastAsia="仿宋" w:cs="仿宋"/>
          <w:b/>
          <w:sz w:val="28"/>
          <w:szCs w:val="28"/>
        </w:rPr>
      </w:pPr>
      <w:r>
        <w:rPr>
          <w:rFonts w:hint="eastAsia" w:ascii="仿宋" w:hAnsi="仿宋" w:eastAsia="仿宋" w:cs="仿宋"/>
          <w:b/>
          <w:sz w:val="28"/>
          <w:szCs w:val="28"/>
        </w:rPr>
        <w:t>三、服务</w:t>
      </w:r>
      <w:bookmarkEnd w:id="1"/>
      <w:r>
        <w:rPr>
          <w:rFonts w:hint="eastAsia" w:ascii="仿宋" w:hAnsi="仿宋" w:eastAsia="仿宋" w:cs="仿宋"/>
          <w:b/>
          <w:sz w:val="28"/>
          <w:szCs w:val="28"/>
        </w:rPr>
        <w:t>范围</w:t>
      </w:r>
    </w:p>
    <w:p w14:paraId="44D95949">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（一）治理范围</w:t>
      </w:r>
    </w:p>
    <w:p w14:paraId="217E1008">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中心全部所属资产，含繁华大道院区、芜湖路院区、岳西路院区以及肥西县新址一期。</w:t>
      </w:r>
    </w:p>
    <w:p w14:paraId="3DBE62DE">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（二）服务对象</w:t>
      </w:r>
    </w:p>
    <w:p w14:paraId="16AA79BE">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涉及中心全部所属内设部门以及公用部门。</w:t>
      </w:r>
    </w:p>
    <w:p w14:paraId="679D93C8">
      <w:pPr>
        <w:spacing w:line="360" w:lineRule="auto"/>
        <w:ind w:firstLine="437"/>
        <w:outlineLvl w:val="1"/>
        <w:rPr>
          <w:rFonts w:ascii="仿宋" w:hAnsi="仿宋" w:eastAsia="仿宋" w:cs="仿宋"/>
          <w:b/>
          <w:sz w:val="28"/>
          <w:szCs w:val="28"/>
        </w:rPr>
      </w:pPr>
      <w:r>
        <w:rPr>
          <w:rFonts w:hint="eastAsia" w:ascii="仿宋" w:hAnsi="仿宋" w:eastAsia="仿宋" w:cs="仿宋"/>
          <w:b/>
          <w:sz w:val="28"/>
          <w:szCs w:val="28"/>
        </w:rPr>
        <w:t>四、服务内容</w:t>
      </w:r>
    </w:p>
    <w:p w14:paraId="294B45F2">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1、如在服务期限内中心新址迁建工作正式开启，需在搬迁前摸底中心31个部所固定资产持有情况，在搬迁完成后需再次确认搬迁各部门的固定资产情况并在资产系统中完善对应资产信息的变更，如资产存放地点，资产使用人等（细化到每一条固定资产）。</w:t>
      </w:r>
      <w:r>
        <w:rPr>
          <w:rFonts w:hint="eastAsia" w:ascii="仿宋" w:hAnsi="仿宋" w:eastAsia="仿宋" w:cs="仿宋"/>
          <w:b/>
          <w:bCs w:val="0"/>
          <w:kern w:val="0"/>
          <w:sz w:val="24"/>
          <w:szCs w:val="24"/>
        </w:rPr>
        <w:t>（</w:t>
      </w:r>
      <w:r>
        <w:rPr>
          <w:rFonts w:hint="eastAsia" w:ascii="仿宋" w:hAnsi="仿宋" w:eastAsia="仿宋" w:cs="仿宋"/>
          <w:b/>
          <w:bCs w:val="0"/>
          <w:kern w:val="0"/>
          <w:sz w:val="24"/>
          <w:szCs w:val="24"/>
          <w:lang w:val="en-US" w:eastAsia="zh-CN"/>
        </w:rPr>
        <w:t>本项为实质性要求，负偏离或未响应均视为响应无效，</w:t>
      </w:r>
      <w:r>
        <w:rPr>
          <w:rFonts w:hint="eastAsia" w:ascii="仿宋" w:hAnsi="仿宋" w:eastAsia="仿宋" w:cs="仿宋"/>
          <w:b/>
          <w:bCs w:val="0"/>
          <w:kern w:val="0"/>
          <w:sz w:val="24"/>
          <w:szCs w:val="24"/>
        </w:rPr>
        <w:t>参选文件中供应商须提供上述内容承诺函，格式自拟）</w:t>
      </w:r>
    </w:p>
    <w:p w14:paraId="21D9EF52">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2、制定资产数据治理计划。与中心相关部门沟通，制定资产详细计划，明确双方职责和沟通机制；收集中心现有资产相关资料，包括资产台账、卡片、财务报表等。</w:t>
      </w:r>
    </w:p>
    <w:p w14:paraId="3FDA4089">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3、实物资产盘点。制定详细的盘点计划，明确盘点范围、时间、方法和人员分工；开展实地盘点工作，使用条码扫描仪等工具对资产进行逐一清查，记录资产信息，对于仪器设备，需参照疾控中心实验室主要仪器装备配置标准中省级疾控中心模块的A类、B类标准进行分类并标注，同时，对于中心实验室所属仪器设备中的进口产品需加以备注；对于家具类固定资产，需根据实际情况更新其使用人及存放地点等基本信息。对盘点数据进行初步整理和分析，形成盘点差异表。</w:t>
      </w:r>
    </w:p>
    <w:p w14:paraId="405AD827">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4、卡片与实物数据核对。将盘点数据与资产卡片和台账进行详细核对，查找数据不一致的原因；对差异数据进行核实和修正，确保卡片与实物数据一致；形成数据核对表。</w:t>
      </w:r>
    </w:p>
    <w:p w14:paraId="5261EC96">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5、内部资产数据更新。开展资产数据更新，更新资产卡片和台账信息，对于固定资产，需参照国家标准对其分类进行细化，保证数据的准确性和完整性；对资产新增、报废、转移等变动信息进行系统调整；对资产数据进行审核和清理，确保数据的时效性和可用性。</w:t>
      </w:r>
    </w:p>
    <w:p w14:paraId="07D718EC">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6、系统数据更新。根据资产清查结果，在预算一体化平台中更新资产信息，同时与清查数据进行校对，确保资产数据一致。根据资产清查结果，确保预算一体化平台资产数据与财务系统数据账账相符。</w:t>
      </w:r>
    </w:p>
    <w:p w14:paraId="7D7F625B">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7、条码粘贴。设计资产条码，确定条码编码规则和内容；根据资产台账和卡片信息，生成并打印条码标签；组织人员对实物资产进行条码粘贴，确保条码粘贴牢固、清晰可识。</w:t>
      </w:r>
    </w:p>
    <w:p w14:paraId="38EDE01A">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8、协助资产处置办理。根据中心资产处置清单情况，协助中心制定资产处置计划并生成经盘点后的资产处置明细表，明确处置的资产范围、方式和时间节点；协助办理资产处置的相关手续等。</w:t>
      </w:r>
    </w:p>
    <w:p w14:paraId="317ECC80">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9、内部资产培训。根据财政最新资产管理要求与政策，按照中心需求，设计培训课程，组织开展线下集中授课和操作演示，让各部门资产管理员熟悉资产管理知识和技能，提高资产管理意识。</w:t>
      </w:r>
    </w:p>
    <w:p w14:paraId="6D002E10">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10、年度资产报告协助。协助中心收集、整理和分析年度资产数据，为编制年度资产报告提供数据支持；对年度资产报告进行审核和优化，确保报告内容的准确性、完整性和规范性。</w:t>
      </w:r>
    </w:p>
    <w:p w14:paraId="5DC3EA39">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11、资产治理报告。根据项目实施过程中的相关文档和资料，编制数据治理成果报告；如有需要，由服务单位自行出具或者委托第三方出具资产清查报告，提出资产管理相关建议，达到预期目标和要求。</w:t>
      </w:r>
    </w:p>
    <w:p w14:paraId="485FFC6A">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12、对中心各部所进行资产盘点时需形成制式表格，待盘点工作完成后按部所装订成册，保留原始盘点记录。</w:t>
      </w:r>
    </w:p>
    <w:p w14:paraId="3871F3E4">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五、报价要求</w:t>
      </w:r>
    </w:p>
    <w:p w14:paraId="5142D56C">
      <w:r>
        <w:rPr>
          <w:rFonts w:hint="eastAsia" w:ascii="仿宋" w:hAnsi="仿宋" w:eastAsia="仿宋" w:cs="仿宋"/>
          <w:bCs/>
          <w:kern w:val="0"/>
          <w:sz w:val="24"/>
          <w:szCs w:val="24"/>
        </w:rPr>
        <w:t>本项目报总价，总价包含完成本项目内容的全部费用，中选后比选人不再增加任何费用。</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swiss"/>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EE1DA9"/>
    <w:rsid w:val="36EE1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D&amp;L"/>
    <w:basedOn w:val="3"/>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2026-03-09T03:18:00Z</dcterms:created>
  <dc:creator>森</dc:creator>
  <cp:lastModifiedBy>森</cp:lastModifiedBy>
  <dcterms:modified xsi:type="dcterms:W3CDTF">2026-03-09T03:19:08Z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0D9FC0F27D95490FB047B41FD22C89EC_11</vt:lpwstr>
  </property>
  <property fmtid="{D5CDD505-2E9C-101B-9397-08002B2CF9AE}" pid="4" name="KSOTemplateDocerSaveRecord">
    <vt:lpwstr>eyJoZGlkIjoiOTc3M2Y5NzIzMDFlZjAyY2Q4Njk5ODkyYjFjNzBiNTQiLCJ1c2VySWQiOiI0MzAwMTYzNzkifQ==</vt:lpwstr>
  </property>
</Properties>
</file>