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2D3AB">
      <w:pPr>
        <w:wordWrap w:val="0"/>
        <w:spacing w:line="360" w:lineRule="auto"/>
        <w:jc w:val="center"/>
        <w:outlineLvl w:val="1"/>
        <w:rPr>
          <w:rFonts w:hint="eastAsia" w:ascii="仿宋" w:hAnsi="仿宋" w:eastAsia="仿宋" w:cs="仿宋"/>
          <w:b/>
          <w:bCs/>
          <w:kern w:val="44"/>
          <w:sz w:val="44"/>
          <w:szCs w:val="44"/>
        </w:rPr>
      </w:pPr>
      <w:bookmarkStart w:id="0" w:name="_Toc17224"/>
      <w:r>
        <w:rPr>
          <w:rFonts w:hint="eastAsia" w:ascii="仿宋" w:hAnsi="仿宋" w:eastAsia="仿宋" w:cs="仿宋"/>
          <w:b/>
          <w:bCs/>
          <w:kern w:val="44"/>
          <w:sz w:val="44"/>
          <w:szCs w:val="44"/>
        </w:rPr>
        <w:t>第三章  采购需求</w:t>
      </w:r>
      <w:bookmarkEnd w:id="0"/>
    </w:p>
    <w:p w14:paraId="2289EE03">
      <w:pPr>
        <w:wordWrap w:val="0"/>
        <w:spacing w:line="360" w:lineRule="auto"/>
        <w:rPr>
          <w:rFonts w:hint="eastAsia" w:ascii="仿宋" w:hAnsi="仿宋" w:eastAsia="仿宋" w:cs="仿宋"/>
          <w:b/>
          <w:sz w:val="24"/>
          <w:szCs w:val="24"/>
        </w:rPr>
      </w:pPr>
      <w:r>
        <w:rPr>
          <w:rFonts w:hint="eastAsia" w:ascii="仿宋" w:hAnsi="仿宋" w:eastAsia="仿宋" w:cs="仿宋"/>
          <w:b/>
          <w:sz w:val="24"/>
          <w:szCs w:val="24"/>
        </w:rPr>
        <w:t>前注：</w:t>
      </w:r>
    </w:p>
    <w:p w14:paraId="36D3BAEA">
      <w:pPr>
        <w:wordWrap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1.本采购需求中提出的工程实施方案仅为参考，如无明确限制，参选人可以进行优化，提供满足比选人实际需要的更优（或者性能实质上不低于的）工程实施方案，且此方案须经评审小组评审认可。</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1291"/>
        <w:gridCol w:w="6355"/>
      </w:tblGrid>
      <w:tr w14:paraId="061BB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noWrap w:val="0"/>
            <w:vAlign w:val="center"/>
          </w:tcPr>
          <w:p w14:paraId="45A8B891">
            <w:pPr>
              <w:wordWrap w:val="0"/>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291" w:type="dxa"/>
            <w:noWrap w:val="0"/>
            <w:vAlign w:val="center"/>
          </w:tcPr>
          <w:p w14:paraId="7971B4CE">
            <w:pPr>
              <w:wordWrap w:val="0"/>
              <w:spacing w:line="360" w:lineRule="auto"/>
              <w:ind w:firstLine="435"/>
              <w:jc w:val="center"/>
              <w:rPr>
                <w:rFonts w:hint="eastAsia" w:ascii="仿宋" w:hAnsi="仿宋" w:eastAsia="仿宋" w:cs="仿宋"/>
                <w:b/>
                <w:sz w:val="24"/>
                <w:szCs w:val="24"/>
              </w:rPr>
            </w:pPr>
            <w:r>
              <w:rPr>
                <w:rFonts w:hint="eastAsia" w:ascii="仿宋" w:hAnsi="仿宋" w:eastAsia="仿宋" w:cs="仿宋"/>
                <w:b/>
                <w:sz w:val="24"/>
                <w:szCs w:val="24"/>
              </w:rPr>
              <w:t>内容</w:t>
            </w:r>
          </w:p>
        </w:tc>
        <w:tc>
          <w:tcPr>
            <w:tcW w:w="6355" w:type="dxa"/>
            <w:noWrap w:val="0"/>
            <w:vAlign w:val="center"/>
          </w:tcPr>
          <w:p w14:paraId="784E3C2A">
            <w:pPr>
              <w:wordWrap w:val="0"/>
              <w:spacing w:line="360" w:lineRule="auto"/>
              <w:ind w:firstLine="435"/>
              <w:jc w:val="center"/>
              <w:rPr>
                <w:rFonts w:hint="eastAsia" w:ascii="仿宋" w:hAnsi="仿宋" w:eastAsia="仿宋" w:cs="仿宋"/>
                <w:b/>
                <w:sz w:val="24"/>
                <w:szCs w:val="24"/>
              </w:rPr>
            </w:pPr>
            <w:r>
              <w:rPr>
                <w:rFonts w:hint="eastAsia" w:ascii="仿宋" w:hAnsi="仿宋" w:eastAsia="仿宋" w:cs="仿宋"/>
                <w:b/>
                <w:sz w:val="24"/>
                <w:szCs w:val="24"/>
              </w:rPr>
              <w:t>说明和要求</w:t>
            </w:r>
          </w:p>
        </w:tc>
      </w:tr>
      <w:tr w14:paraId="3AC3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noWrap w:val="0"/>
            <w:vAlign w:val="center"/>
          </w:tcPr>
          <w:p w14:paraId="3DBB51D5">
            <w:pPr>
              <w:wordWrap w:val="0"/>
              <w:spacing w:line="360" w:lineRule="auto"/>
              <w:jc w:val="center"/>
              <w:rPr>
                <w:rFonts w:hint="eastAsia" w:ascii="仿宋" w:hAnsi="仿宋" w:eastAsia="仿宋" w:cs="仿宋"/>
                <w:b/>
                <w:sz w:val="24"/>
                <w:szCs w:val="24"/>
              </w:rPr>
            </w:pPr>
            <w:r>
              <w:rPr>
                <w:rFonts w:hint="eastAsia" w:ascii="仿宋" w:hAnsi="仿宋" w:eastAsia="仿宋" w:cs="仿宋"/>
                <w:bCs/>
                <w:sz w:val="24"/>
                <w:szCs w:val="24"/>
              </w:rPr>
              <w:t>1</w:t>
            </w:r>
          </w:p>
        </w:tc>
        <w:tc>
          <w:tcPr>
            <w:tcW w:w="1291" w:type="dxa"/>
            <w:noWrap w:val="0"/>
            <w:vAlign w:val="center"/>
          </w:tcPr>
          <w:p w14:paraId="5BFC0D46">
            <w:pPr>
              <w:wordWrap w:val="0"/>
              <w:spacing w:line="360" w:lineRule="auto"/>
              <w:rPr>
                <w:rFonts w:hint="eastAsia" w:ascii="仿宋" w:hAnsi="仿宋" w:eastAsia="仿宋" w:cs="仿宋"/>
                <w:b/>
                <w:sz w:val="24"/>
                <w:szCs w:val="24"/>
              </w:rPr>
            </w:pPr>
            <w:r>
              <w:rPr>
                <w:rFonts w:hint="eastAsia" w:ascii="仿宋" w:hAnsi="仿宋" w:eastAsia="仿宋" w:cs="仿宋"/>
                <w:bCs/>
                <w:sz w:val="24"/>
                <w:szCs w:val="24"/>
              </w:rPr>
              <w:t>工程地点</w:t>
            </w:r>
          </w:p>
        </w:tc>
        <w:tc>
          <w:tcPr>
            <w:tcW w:w="6355" w:type="dxa"/>
            <w:noWrap w:val="0"/>
            <w:vAlign w:val="center"/>
          </w:tcPr>
          <w:p w14:paraId="44E8C7F5">
            <w:pPr>
              <w:wordWrap w:val="0"/>
              <w:spacing w:line="360" w:lineRule="auto"/>
              <w:rPr>
                <w:rFonts w:hint="eastAsia" w:ascii="仿宋" w:hAnsi="仿宋" w:eastAsia="仿宋" w:cs="仿宋"/>
                <w:bCs/>
                <w:sz w:val="24"/>
                <w:szCs w:val="24"/>
              </w:rPr>
            </w:pPr>
            <w:r>
              <w:rPr>
                <w:rFonts w:hint="eastAsia" w:ascii="仿宋" w:hAnsi="仿宋" w:eastAsia="仿宋" w:cs="仿宋"/>
                <w:bCs/>
                <w:sz w:val="24"/>
                <w:szCs w:val="24"/>
              </w:rPr>
              <w:t>安徽医科大学新医科中心（新校区）或比选人指定地点。</w:t>
            </w:r>
          </w:p>
        </w:tc>
      </w:tr>
      <w:tr w14:paraId="2F33A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noWrap w:val="0"/>
            <w:vAlign w:val="center"/>
          </w:tcPr>
          <w:p w14:paraId="01BF93D2">
            <w:pPr>
              <w:wordWrap w:val="0"/>
              <w:spacing w:line="360" w:lineRule="auto"/>
              <w:jc w:val="center"/>
              <w:rPr>
                <w:rFonts w:hint="eastAsia" w:ascii="仿宋" w:hAnsi="仿宋" w:eastAsia="仿宋" w:cs="仿宋"/>
                <w:b/>
                <w:sz w:val="24"/>
                <w:szCs w:val="24"/>
              </w:rPr>
            </w:pPr>
            <w:r>
              <w:rPr>
                <w:rFonts w:hint="eastAsia" w:ascii="仿宋" w:hAnsi="仿宋" w:eastAsia="仿宋" w:cs="仿宋"/>
                <w:bCs/>
                <w:sz w:val="24"/>
                <w:szCs w:val="24"/>
              </w:rPr>
              <w:t>2</w:t>
            </w:r>
          </w:p>
        </w:tc>
        <w:tc>
          <w:tcPr>
            <w:tcW w:w="1291" w:type="dxa"/>
            <w:noWrap w:val="0"/>
            <w:vAlign w:val="center"/>
          </w:tcPr>
          <w:p w14:paraId="49D1550D">
            <w:pPr>
              <w:wordWrap w:val="0"/>
              <w:spacing w:line="360" w:lineRule="auto"/>
              <w:rPr>
                <w:rFonts w:hint="eastAsia" w:ascii="仿宋" w:hAnsi="仿宋" w:eastAsia="仿宋" w:cs="仿宋"/>
                <w:b/>
                <w:sz w:val="24"/>
                <w:szCs w:val="24"/>
              </w:rPr>
            </w:pPr>
            <w:r>
              <w:rPr>
                <w:rFonts w:hint="eastAsia" w:ascii="仿宋" w:hAnsi="仿宋" w:eastAsia="仿宋" w:cs="仿宋"/>
                <w:bCs/>
                <w:sz w:val="24"/>
                <w:szCs w:val="24"/>
              </w:rPr>
              <w:t>计划工期</w:t>
            </w:r>
          </w:p>
        </w:tc>
        <w:tc>
          <w:tcPr>
            <w:tcW w:w="6355" w:type="dxa"/>
            <w:noWrap w:val="0"/>
            <w:vAlign w:val="center"/>
          </w:tcPr>
          <w:p w14:paraId="55B624F6">
            <w:pPr>
              <w:wordWrap w:val="0"/>
              <w:spacing w:line="360" w:lineRule="auto"/>
              <w:rPr>
                <w:rFonts w:hint="eastAsia" w:ascii="仿宋" w:hAnsi="仿宋" w:eastAsia="仿宋" w:cs="仿宋"/>
                <w:bCs/>
                <w:sz w:val="24"/>
                <w:szCs w:val="24"/>
              </w:rPr>
            </w:pPr>
            <w:r>
              <w:rPr>
                <w:rFonts w:hint="eastAsia" w:ascii="仿宋" w:hAnsi="仿宋" w:eastAsia="仿宋" w:cs="仿宋"/>
                <w:bCs/>
                <w:sz w:val="24"/>
                <w:szCs w:val="24"/>
              </w:rPr>
              <w:t>合同签订接比选人通知后40日历天。</w:t>
            </w:r>
          </w:p>
        </w:tc>
      </w:tr>
      <w:tr w14:paraId="58A45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noWrap w:val="0"/>
            <w:vAlign w:val="center"/>
          </w:tcPr>
          <w:p w14:paraId="440EFC98">
            <w:pPr>
              <w:wordWrap w:val="0"/>
              <w:spacing w:line="360" w:lineRule="auto"/>
              <w:jc w:val="center"/>
              <w:rPr>
                <w:rFonts w:hint="eastAsia" w:ascii="仿宋" w:hAnsi="仿宋" w:eastAsia="仿宋" w:cs="仿宋"/>
                <w:b/>
                <w:sz w:val="24"/>
                <w:szCs w:val="24"/>
              </w:rPr>
            </w:pPr>
            <w:r>
              <w:rPr>
                <w:rFonts w:hint="eastAsia" w:ascii="仿宋" w:hAnsi="仿宋" w:eastAsia="仿宋" w:cs="仿宋"/>
                <w:bCs/>
                <w:sz w:val="24"/>
                <w:szCs w:val="24"/>
              </w:rPr>
              <w:t>3</w:t>
            </w:r>
          </w:p>
        </w:tc>
        <w:tc>
          <w:tcPr>
            <w:tcW w:w="1291" w:type="dxa"/>
            <w:noWrap w:val="0"/>
            <w:vAlign w:val="center"/>
          </w:tcPr>
          <w:p w14:paraId="694B69AC">
            <w:pPr>
              <w:wordWrap w:val="0"/>
              <w:spacing w:line="360" w:lineRule="auto"/>
              <w:jc w:val="left"/>
              <w:rPr>
                <w:rFonts w:hint="eastAsia" w:ascii="仿宋" w:hAnsi="仿宋" w:eastAsia="仿宋" w:cs="仿宋"/>
                <w:b/>
                <w:sz w:val="24"/>
                <w:szCs w:val="24"/>
              </w:rPr>
            </w:pPr>
            <w:r>
              <w:rPr>
                <w:rFonts w:hint="eastAsia" w:ascii="仿宋" w:hAnsi="仿宋" w:eastAsia="仿宋" w:cs="仿宋"/>
                <w:bCs/>
                <w:sz w:val="24"/>
                <w:szCs w:val="24"/>
              </w:rPr>
              <w:t>工程质量</w:t>
            </w:r>
          </w:p>
        </w:tc>
        <w:tc>
          <w:tcPr>
            <w:tcW w:w="6355" w:type="dxa"/>
            <w:noWrap w:val="0"/>
            <w:vAlign w:val="center"/>
          </w:tcPr>
          <w:p w14:paraId="499733F4">
            <w:pPr>
              <w:wordWrap w:val="0"/>
              <w:spacing w:line="360" w:lineRule="auto"/>
              <w:rPr>
                <w:rFonts w:hint="eastAsia" w:ascii="仿宋" w:hAnsi="仿宋" w:eastAsia="仿宋" w:cs="仿宋"/>
                <w:bCs/>
                <w:sz w:val="24"/>
                <w:szCs w:val="24"/>
              </w:rPr>
            </w:pPr>
            <w:r>
              <w:rPr>
                <w:rFonts w:hint="eastAsia" w:ascii="仿宋" w:hAnsi="仿宋" w:eastAsia="仿宋" w:cs="仿宋"/>
                <w:bCs/>
                <w:sz w:val="24"/>
                <w:szCs w:val="24"/>
              </w:rPr>
              <w:t>合格</w:t>
            </w:r>
          </w:p>
        </w:tc>
      </w:tr>
      <w:tr w14:paraId="10E33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noWrap w:val="0"/>
            <w:vAlign w:val="center"/>
          </w:tcPr>
          <w:p w14:paraId="17A09B89">
            <w:pPr>
              <w:wordWrap w:val="0"/>
              <w:spacing w:line="360" w:lineRule="auto"/>
              <w:jc w:val="center"/>
              <w:rPr>
                <w:rFonts w:hint="eastAsia" w:ascii="仿宋" w:hAnsi="仿宋" w:eastAsia="仿宋" w:cs="仿宋"/>
                <w:b/>
                <w:sz w:val="24"/>
                <w:szCs w:val="24"/>
              </w:rPr>
            </w:pPr>
            <w:r>
              <w:rPr>
                <w:rFonts w:hint="eastAsia" w:ascii="仿宋" w:hAnsi="仿宋" w:eastAsia="仿宋" w:cs="仿宋"/>
                <w:bCs/>
                <w:sz w:val="24"/>
                <w:szCs w:val="24"/>
              </w:rPr>
              <w:t>4</w:t>
            </w:r>
          </w:p>
        </w:tc>
        <w:tc>
          <w:tcPr>
            <w:tcW w:w="1291" w:type="dxa"/>
            <w:noWrap w:val="0"/>
            <w:vAlign w:val="center"/>
          </w:tcPr>
          <w:p w14:paraId="0006E825">
            <w:pPr>
              <w:wordWrap w:val="0"/>
              <w:spacing w:line="360" w:lineRule="auto"/>
              <w:jc w:val="left"/>
              <w:rPr>
                <w:rFonts w:hint="eastAsia" w:ascii="仿宋" w:hAnsi="仿宋" w:eastAsia="仿宋" w:cs="仿宋"/>
                <w:b/>
                <w:sz w:val="24"/>
                <w:szCs w:val="24"/>
              </w:rPr>
            </w:pPr>
            <w:r>
              <w:rPr>
                <w:rFonts w:hint="eastAsia" w:ascii="仿宋" w:hAnsi="仿宋" w:eastAsia="仿宋" w:cs="仿宋"/>
                <w:bCs/>
                <w:sz w:val="24"/>
                <w:szCs w:val="24"/>
              </w:rPr>
              <w:t>付款方式</w:t>
            </w:r>
          </w:p>
        </w:tc>
        <w:tc>
          <w:tcPr>
            <w:tcW w:w="6355" w:type="dxa"/>
            <w:noWrap w:val="0"/>
            <w:vAlign w:val="center"/>
          </w:tcPr>
          <w:p w14:paraId="67841252">
            <w:pPr>
              <w:wordWrap w:val="0"/>
              <w:spacing w:line="360" w:lineRule="auto"/>
              <w:rPr>
                <w:rFonts w:hint="eastAsia" w:ascii="仿宋" w:hAnsi="仿宋" w:eastAsia="仿宋" w:cs="仿宋"/>
                <w:sz w:val="24"/>
                <w:szCs w:val="24"/>
              </w:rPr>
            </w:pPr>
            <w:r>
              <w:rPr>
                <w:rFonts w:hint="eastAsia" w:ascii="仿宋" w:hAnsi="仿宋" w:eastAsia="仿宋" w:cs="仿宋"/>
                <w:sz w:val="24"/>
                <w:szCs w:val="24"/>
              </w:rPr>
              <w:t>1.工程竣工验收合格后退还履约保证金，同时付至合同价的80%；</w:t>
            </w:r>
          </w:p>
          <w:p w14:paraId="58C89EFE">
            <w:pPr>
              <w:wordWrap w:val="0"/>
              <w:spacing w:line="360" w:lineRule="auto"/>
              <w:rPr>
                <w:rFonts w:hint="eastAsia" w:ascii="仿宋" w:hAnsi="仿宋" w:eastAsia="仿宋" w:cs="仿宋"/>
                <w:sz w:val="24"/>
                <w:szCs w:val="24"/>
              </w:rPr>
            </w:pPr>
            <w:r>
              <w:rPr>
                <w:rFonts w:hint="eastAsia" w:ascii="仿宋" w:hAnsi="仿宋" w:eastAsia="仿宋" w:cs="仿宋"/>
                <w:sz w:val="24"/>
                <w:szCs w:val="24"/>
              </w:rPr>
              <w:t>2.经安徽医科大学</w:t>
            </w:r>
            <w:r>
              <w:rPr>
                <w:rFonts w:hint="eastAsia" w:ascii="仿宋" w:hAnsi="仿宋" w:eastAsia="仿宋" w:cs="仿宋"/>
                <w:sz w:val="24"/>
                <w:szCs w:val="24"/>
                <w:lang w:val="en-US" w:eastAsia="zh-CN"/>
              </w:rPr>
              <w:t>审计部门</w:t>
            </w:r>
            <w:r>
              <w:rPr>
                <w:rFonts w:hint="eastAsia" w:ascii="仿宋" w:hAnsi="仿宋" w:eastAsia="仿宋" w:cs="仿宋"/>
                <w:sz w:val="24"/>
                <w:szCs w:val="24"/>
              </w:rPr>
              <w:t>出具结算报告后支付至结算价的97％；</w:t>
            </w:r>
          </w:p>
          <w:p w14:paraId="0A170D07">
            <w:pPr>
              <w:wordWrap w:val="0"/>
              <w:spacing w:line="360" w:lineRule="auto"/>
              <w:rPr>
                <w:rFonts w:hint="eastAsia" w:ascii="仿宋" w:hAnsi="仿宋" w:eastAsia="仿宋" w:cs="仿宋"/>
                <w:sz w:val="24"/>
                <w:szCs w:val="24"/>
              </w:rPr>
            </w:pPr>
            <w:r>
              <w:rPr>
                <w:rFonts w:hint="eastAsia" w:ascii="仿宋" w:hAnsi="仿宋" w:eastAsia="仿宋" w:cs="仿宋"/>
                <w:sz w:val="24"/>
                <w:szCs w:val="24"/>
              </w:rPr>
              <w:t>3.余款作为质量保证金在缺陷责任期（24个月）满后一次性支付。</w:t>
            </w:r>
          </w:p>
        </w:tc>
      </w:tr>
      <w:tr w14:paraId="0DABA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noWrap w:val="0"/>
            <w:vAlign w:val="center"/>
          </w:tcPr>
          <w:p w14:paraId="72DA79CD">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5</w:t>
            </w:r>
          </w:p>
        </w:tc>
        <w:tc>
          <w:tcPr>
            <w:tcW w:w="1291" w:type="dxa"/>
            <w:noWrap w:val="0"/>
            <w:vAlign w:val="center"/>
          </w:tcPr>
          <w:p w14:paraId="6E5F97DC">
            <w:pPr>
              <w:wordWrap w:val="0"/>
              <w:spacing w:line="360" w:lineRule="auto"/>
              <w:rPr>
                <w:rFonts w:hint="eastAsia" w:ascii="仿宋" w:hAnsi="仿宋" w:eastAsia="仿宋" w:cs="仿宋"/>
                <w:sz w:val="24"/>
                <w:szCs w:val="24"/>
              </w:rPr>
            </w:pPr>
            <w:r>
              <w:rPr>
                <w:rFonts w:hint="eastAsia" w:ascii="仿宋" w:hAnsi="仿宋" w:eastAsia="仿宋" w:cs="仿宋"/>
                <w:sz w:val="24"/>
                <w:szCs w:val="24"/>
              </w:rPr>
              <w:t>人员到岗及履约要求</w:t>
            </w:r>
          </w:p>
        </w:tc>
        <w:tc>
          <w:tcPr>
            <w:tcW w:w="6355" w:type="dxa"/>
            <w:noWrap w:val="0"/>
            <w:vAlign w:val="center"/>
          </w:tcPr>
          <w:p w14:paraId="4E72499A">
            <w:pPr>
              <w:wordWrap w:val="0"/>
              <w:spacing w:line="360" w:lineRule="auto"/>
              <w:rPr>
                <w:rFonts w:hint="eastAsia" w:ascii="仿宋" w:hAnsi="仿宋" w:eastAsia="仿宋" w:cs="仿宋"/>
                <w:sz w:val="24"/>
                <w:szCs w:val="24"/>
              </w:rPr>
            </w:pPr>
            <w:r>
              <w:rPr>
                <w:rFonts w:hint="eastAsia" w:ascii="仿宋" w:hAnsi="仿宋" w:eastAsia="仿宋" w:cs="仿宋"/>
                <w:sz w:val="24"/>
                <w:szCs w:val="24"/>
              </w:rPr>
              <w:t>1.参选人一旦中选，比选时所报的本项目的项目经理、施工现场技术负责人、各专业负责工程师及施工机械等在整个项目施工期内必须在位，否则比选人有权终止合同。由此造成的损失，中选人自行承担并赔偿可能给比选人造成的损失。</w:t>
            </w:r>
          </w:p>
          <w:p w14:paraId="73A24145">
            <w:pPr>
              <w:wordWrap w:val="0"/>
              <w:spacing w:line="360" w:lineRule="auto"/>
              <w:rPr>
                <w:rFonts w:hint="eastAsia" w:ascii="仿宋" w:hAnsi="仿宋" w:eastAsia="仿宋" w:cs="仿宋"/>
                <w:sz w:val="24"/>
                <w:szCs w:val="24"/>
              </w:rPr>
            </w:pPr>
            <w:r>
              <w:rPr>
                <w:rFonts w:hint="eastAsia" w:ascii="仿宋" w:hAnsi="仿宋" w:eastAsia="仿宋" w:cs="仿宋"/>
                <w:sz w:val="24"/>
                <w:szCs w:val="24"/>
              </w:rPr>
              <w:t>2.中选人不得擅自更换比选时所报项目经理及项目部主要管理人员。确需更换时，须报比选人同意，更换后人员不得低于中选人比选时所报人员资质和技术水平。比选人如认为有必要，可要求对上述人员中的部分人员作出更好的调整。</w:t>
            </w:r>
          </w:p>
          <w:p w14:paraId="4AC80071">
            <w:pPr>
              <w:wordWrap w:val="0"/>
              <w:spacing w:line="360" w:lineRule="auto"/>
              <w:rPr>
                <w:rFonts w:hint="eastAsia" w:ascii="仿宋" w:hAnsi="仿宋" w:eastAsia="仿宋" w:cs="仿宋"/>
                <w:sz w:val="24"/>
                <w:szCs w:val="24"/>
              </w:rPr>
            </w:pPr>
            <w:r>
              <w:rPr>
                <w:rFonts w:hint="eastAsia" w:ascii="仿宋" w:hAnsi="仿宋" w:eastAsia="仿宋" w:cs="仿宋"/>
                <w:sz w:val="24"/>
                <w:szCs w:val="24"/>
              </w:rPr>
              <w:t>3.中选人未能按照承诺到岗尽职的，比选人有权视情况严重程度对其作出相应处理，给予警告并发出整改通知。如仍未及时整改，比选人有权责令其停工整改、直至终止合同，引进新的承包人。比选人有权停止支付工程款项，扣留任何未付的工程进度款项补偿建设单位的有关损失或工期延误的损失，并就此向承包人索赔。</w:t>
            </w:r>
          </w:p>
        </w:tc>
      </w:tr>
      <w:tr w14:paraId="0BFA9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noWrap w:val="0"/>
            <w:vAlign w:val="center"/>
          </w:tcPr>
          <w:p w14:paraId="7A291C55">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6</w:t>
            </w:r>
          </w:p>
        </w:tc>
        <w:tc>
          <w:tcPr>
            <w:tcW w:w="1291" w:type="dxa"/>
            <w:noWrap w:val="0"/>
            <w:vAlign w:val="center"/>
          </w:tcPr>
          <w:p w14:paraId="2005873C">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rPr>
              <w:t>材料要求</w:t>
            </w:r>
          </w:p>
        </w:tc>
        <w:tc>
          <w:tcPr>
            <w:tcW w:w="6355" w:type="dxa"/>
            <w:noWrap w:val="0"/>
            <w:vAlign w:val="center"/>
          </w:tcPr>
          <w:p w14:paraId="71FD02DF">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rPr>
              <w:t>1.中选人自行采购的材料应满足设计和规范要求的质量等级，并须按有关技术规范要求对材料质量进行检验。中选人选定的材料供应厂家和价格须经比选人和监理单位认可。如比选人和监理单位对某种或某些材料的质量有异议，有权提出停止使用的要求，中选人必须服从该要求。若该材料经权威检验部门鉴定确有质量问题，由此而发生的一切费用由中选人自负。因中选人自行采购的材料质量引起的工程质量问题由中选人承担所造成的一切损失。</w:t>
            </w:r>
          </w:p>
          <w:p w14:paraId="293254A3">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rPr>
              <w:t>2.如本项目比选人对工程质量有特殊需求的，对主要设备及材料提供不少于三个的参考品牌，对于比选人参考品牌的材料，参选人可选用参考品牌或不低于参考品牌质量标准的其它品牌；采用其它品牌的应在参选文件中提供相关技术参数证明材料供评审小组评审，未提供相关技术参数证明材料或经评审小组评审未通过的，中选后只能从比选人参考品牌中进行选择，价格不予调整。</w:t>
            </w:r>
          </w:p>
          <w:p w14:paraId="55B0C3D9">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rPr>
              <w:t>3.对于比选人参考品牌的材料，参选人如认为参考品牌有限定性、唯一性、明显不在同一档次等级的或者其他异议的，应在本项目询问截止时间前以书面方式提交给比选人或代理机构。</w:t>
            </w:r>
          </w:p>
        </w:tc>
      </w:tr>
      <w:tr w14:paraId="146E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noWrap w:val="0"/>
            <w:vAlign w:val="center"/>
          </w:tcPr>
          <w:p w14:paraId="29364E07">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7</w:t>
            </w:r>
          </w:p>
        </w:tc>
        <w:tc>
          <w:tcPr>
            <w:tcW w:w="1291" w:type="dxa"/>
            <w:noWrap w:val="0"/>
            <w:vAlign w:val="center"/>
          </w:tcPr>
          <w:p w14:paraId="6005CC8B">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rPr>
              <w:t>工程施工重点难点</w:t>
            </w:r>
          </w:p>
        </w:tc>
        <w:tc>
          <w:tcPr>
            <w:tcW w:w="6355" w:type="dxa"/>
            <w:noWrap w:val="0"/>
            <w:vAlign w:val="center"/>
          </w:tcPr>
          <w:p w14:paraId="23F25210">
            <w:pPr>
              <w:pStyle w:val="2"/>
              <w:rPr>
                <w:rFonts w:hint="eastAsia" w:ascii="仿宋" w:hAnsi="仿宋" w:eastAsia="仿宋" w:cs="仿宋"/>
                <w:kern w:val="0"/>
                <w:sz w:val="24"/>
                <w:szCs w:val="24"/>
              </w:rPr>
            </w:pPr>
            <w:r>
              <w:rPr>
                <w:rFonts w:hint="eastAsia" w:ascii="仿宋" w:hAnsi="仿宋" w:eastAsia="仿宋" w:cs="仿宋"/>
                <w:kern w:val="0"/>
                <w:sz w:val="24"/>
                <w:szCs w:val="24"/>
              </w:rPr>
              <w:t>无</w:t>
            </w:r>
          </w:p>
        </w:tc>
      </w:tr>
      <w:tr w14:paraId="5C200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noWrap w:val="0"/>
            <w:vAlign w:val="center"/>
          </w:tcPr>
          <w:p w14:paraId="22941C3F">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8</w:t>
            </w:r>
          </w:p>
        </w:tc>
        <w:tc>
          <w:tcPr>
            <w:tcW w:w="1291" w:type="dxa"/>
            <w:noWrap w:val="0"/>
            <w:vAlign w:val="center"/>
          </w:tcPr>
          <w:p w14:paraId="6793833D">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rPr>
              <w:t>报价须知</w:t>
            </w:r>
          </w:p>
        </w:tc>
        <w:tc>
          <w:tcPr>
            <w:tcW w:w="6355" w:type="dxa"/>
            <w:noWrap w:val="0"/>
            <w:vAlign w:val="center"/>
          </w:tcPr>
          <w:p w14:paraId="3A2A543A">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sz w:val="24"/>
                <w:szCs w:val="24"/>
              </w:rPr>
              <w:t>参选人最后报价均不得高于比选文件（公告）列明的项目预算、最高投标限价（控制价），否则其参选文件将被认定为响应无效</w:t>
            </w:r>
            <w:r>
              <w:rPr>
                <w:rFonts w:hint="eastAsia" w:ascii="仿宋" w:hAnsi="仿宋" w:eastAsia="仿宋" w:cs="仿宋"/>
                <w:b w:val="0"/>
                <w:bCs w:val="0"/>
                <w:kern w:val="2"/>
                <w:sz w:val="24"/>
                <w:szCs w:val="24"/>
              </w:rPr>
              <w:t>。</w:t>
            </w:r>
          </w:p>
        </w:tc>
      </w:tr>
      <w:tr w14:paraId="65BF3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noWrap w:val="0"/>
            <w:vAlign w:val="center"/>
          </w:tcPr>
          <w:p w14:paraId="7616598D">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9</w:t>
            </w:r>
          </w:p>
        </w:tc>
        <w:tc>
          <w:tcPr>
            <w:tcW w:w="1291" w:type="dxa"/>
            <w:noWrap w:val="0"/>
            <w:vAlign w:val="center"/>
          </w:tcPr>
          <w:p w14:paraId="7EA74CF0">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rPr>
              <w:t>重要说明</w:t>
            </w:r>
          </w:p>
        </w:tc>
        <w:tc>
          <w:tcPr>
            <w:tcW w:w="6355" w:type="dxa"/>
            <w:noWrap w:val="0"/>
            <w:vAlign w:val="center"/>
          </w:tcPr>
          <w:p w14:paraId="072A8623">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rPr>
              <w:t>1.本项目的比选文件、工程量清单、最高投标限价（控制价）、澄清、修改、补充等相关资料均通过</w:t>
            </w:r>
            <w:r>
              <w:rPr>
                <w:rFonts w:hint="eastAsia" w:ascii="仿宋" w:hAnsi="仿宋" w:eastAsia="仿宋" w:cs="仿宋"/>
                <w:b w:val="0"/>
                <w:bCs w:val="0"/>
                <w:sz w:val="24"/>
                <w:szCs w:val="24"/>
              </w:rPr>
              <w:t>安招采平台</w:t>
            </w:r>
            <w:r>
              <w:rPr>
                <w:rFonts w:hint="eastAsia" w:ascii="仿宋" w:hAnsi="仿宋" w:eastAsia="仿宋" w:cs="仿宋"/>
                <w:b w:val="0"/>
                <w:bCs w:val="0"/>
                <w:kern w:val="2"/>
                <w:sz w:val="24"/>
                <w:szCs w:val="24"/>
              </w:rPr>
              <w:t>发布，请参选人自行从网上下载，参选人应当及时查看有无相关澄清、修改、补充等内容。</w:t>
            </w:r>
          </w:p>
          <w:p w14:paraId="0F78D7B2">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rPr>
              <w:t>2.在工程项目比选过程中，参选人最后报价与公布的最高投标限价（控制价）或项目概算相比降幅过小，或参选人最后报价明显缺乏竞争性的，评审小组可以否决其报价。</w:t>
            </w:r>
          </w:p>
          <w:p w14:paraId="68EB6A21">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rPr>
              <w:t>3.承包人在工程实施过程中用工行为，必须严格执行国家及地方政府的有关规定，依法签订劳动合同，并按规定及时足额支付工资。</w:t>
            </w:r>
          </w:p>
          <w:p w14:paraId="2002F10D">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rPr>
              <w:t>4.承包人在建设工程扬尘污染防治措施和费用管理上，必须严格执行《合肥市建设工程扬尘污染防治暂行规定》合建〔2015〕33号文规定。本工程最高投标限价（控制价）已按《关于关于贯彻执行2018版安徽省建设工程计价依据的通知》（合造价[2018]13号）的规定计取，参选人报价中已包含比选文件公布的施工扬尘污染防治措施费用，参选人中选后办理相关专户设立等事宜。</w:t>
            </w:r>
          </w:p>
        </w:tc>
      </w:tr>
      <w:tr w14:paraId="579EB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dxa"/>
            <w:noWrap w:val="0"/>
            <w:vAlign w:val="center"/>
          </w:tcPr>
          <w:p w14:paraId="6215977A">
            <w:pPr>
              <w:wordWrap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10</w:t>
            </w:r>
          </w:p>
        </w:tc>
        <w:tc>
          <w:tcPr>
            <w:tcW w:w="1291" w:type="dxa"/>
            <w:noWrap w:val="0"/>
            <w:vAlign w:val="center"/>
          </w:tcPr>
          <w:p w14:paraId="2A443F90">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rPr>
              <w:t>缺陷责任期</w:t>
            </w:r>
          </w:p>
        </w:tc>
        <w:tc>
          <w:tcPr>
            <w:tcW w:w="6355" w:type="dxa"/>
            <w:noWrap w:val="0"/>
            <w:vAlign w:val="center"/>
          </w:tcPr>
          <w:p w14:paraId="40FEBC67">
            <w:pPr>
              <w:pStyle w:val="7"/>
              <w:widowControl w:val="0"/>
              <w:wordWrap w:val="0"/>
              <w:spacing w:before="0" w:beforeAutospacing="0" w:after="0" w:afterAutospacing="0" w:line="360" w:lineRule="auto"/>
              <w:jc w:val="both"/>
              <w:rPr>
                <w:rFonts w:hint="eastAsia" w:ascii="仿宋" w:hAnsi="仿宋" w:eastAsia="仿宋" w:cs="仿宋"/>
                <w:b w:val="0"/>
                <w:bCs w:val="0"/>
                <w:kern w:val="2"/>
                <w:sz w:val="24"/>
                <w:szCs w:val="24"/>
              </w:rPr>
            </w:pPr>
            <w:r>
              <w:rPr>
                <w:rFonts w:hint="eastAsia" w:ascii="仿宋" w:hAnsi="仿宋" w:eastAsia="仿宋" w:cs="仿宋"/>
                <w:b w:val="0"/>
                <w:bCs w:val="0"/>
                <w:sz w:val="24"/>
                <w:szCs w:val="24"/>
              </w:rPr>
              <w:t>本项目缺陷责任期为2年，缺陷责任期自竣工验收合格日起算。缺陷责任期内，乙方需在2日内到场免费维修</w:t>
            </w:r>
          </w:p>
        </w:tc>
      </w:tr>
    </w:tbl>
    <w:p w14:paraId="25FC6BC4">
      <w:pPr>
        <w:pStyle w:val="4"/>
        <w:wordWrap w:val="0"/>
        <w:spacing w:line="360" w:lineRule="auto"/>
        <w:ind w:firstLine="240"/>
        <w:rPr>
          <w:rFonts w:hint="eastAsia" w:ascii="仿宋" w:hAnsi="仿宋" w:eastAsia="仿宋" w:cs="仿宋"/>
          <w:sz w:val="24"/>
        </w:rPr>
      </w:pPr>
    </w:p>
    <w:p w14:paraId="4220228C">
      <w:pPr>
        <w:spacing w:line="360" w:lineRule="auto"/>
        <w:ind w:firstLine="482" w:firstLineChars="200"/>
        <w:jc w:val="left"/>
        <w:outlineLvl w:val="2"/>
        <w:rPr>
          <w:rFonts w:hint="eastAsia" w:ascii="仿宋" w:hAnsi="仿宋" w:eastAsia="仿宋" w:cs="仿宋"/>
          <w:b/>
          <w:sz w:val="24"/>
          <w:szCs w:val="24"/>
        </w:rPr>
      </w:pPr>
      <w:r>
        <w:rPr>
          <w:rFonts w:hint="eastAsia" w:ascii="仿宋" w:hAnsi="仿宋" w:eastAsia="仿宋" w:cs="仿宋"/>
          <w:b/>
          <w:sz w:val="24"/>
          <w:szCs w:val="24"/>
        </w:rPr>
        <w:br w:type="page"/>
      </w:r>
      <w:r>
        <w:rPr>
          <w:rFonts w:hint="eastAsia" w:ascii="仿宋" w:hAnsi="仿宋" w:eastAsia="仿宋" w:cs="仿宋"/>
          <w:b/>
          <w:sz w:val="24"/>
          <w:szCs w:val="24"/>
        </w:rPr>
        <w:t>一、项目概况</w:t>
      </w:r>
    </w:p>
    <w:p w14:paraId="7C33D4A9">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 xml:space="preserve"> 本项目为安徽医科大学杏林路校区国资处库房改造工程，具体详见工程量清单、比选文件。</w:t>
      </w:r>
    </w:p>
    <w:p w14:paraId="6CB3F392">
      <w:pPr>
        <w:spacing w:line="360" w:lineRule="auto"/>
        <w:ind w:firstLine="482" w:firstLineChars="200"/>
        <w:jc w:val="left"/>
        <w:outlineLvl w:val="2"/>
        <w:rPr>
          <w:rFonts w:hint="eastAsia" w:ascii="仿宋" w:hAnsi="仿宋" w:eastAsia="仿宋" w:cs="仿宋"/>
          <w:b/>
          <w:sz w:val="24"/>
          <w:szCs w:val="24"/>
        </w:rPr>
      </w:pPr>
      <w:r>
        <w:rPr>
          <w:rFonts w:hint="eastAsia" w:ascii="仿宋" w:hAnsi="仿宋" w:eastAsia="仿宋" w:cs="仿宋"/>
          <w:b/>
          <w:sz w:val="24"/>
          <w:szCs w:val="24"/>
        </w:rPr>
        <w:t xml:space="preserve">二、施工要求 </w:t>
      </w:r>
    </w:p>
    <w:p w14:paraId="09B7975A">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1.参选人应结合工程实际并综合考虑各种风险因素（如开工时间的不确定性），谨慎报价。施工过程中，参选人须主动解决可能遇到的一切难点问题，此项费用由参选人自行考虑，含在报价中，成交后不予调整。</w:t>
      </w:r>
    </w:p>
    <w:p w14:paraId="6E53541B">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2.参选人可先到工地踏勘以充分了解工地位置、地形、地貌、道路、周边配套、现场条件及任何其他足以影响报价的情况，任何因忽视或误解工地情况而导致的索赔申请将不被批准。</w:t>
      </w:r>
    </w:p>
    <w:p w14:paraId="2EFA856A">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3.参选人应充分了解施工场地的现状，熟悉工程内容，正确估计施工的难易程度和必须投入技术力量，根据工程实际情况、施工内容和本单位实力，结合市场行情确定本项目工程费用。</w:t>
      </w:r>
    </w:p>
    <w:p w14:paraId="3FACAA1E">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4.参选人的价格应是施工期内，施工单位按比选文件及合同规定的范围所提供的全部服务所需的全部费用及应缴纳的一切税费，包括施工人员额外工作报酬及附加工作报酬。比选人不为成交人提供办公场地，其他一切办公、交通、住宿及生活等相关费用由成交人自理。</w:t>
      </w:r>
    </w:p>
    <w:p w14:paraId="78E2506C">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5.中选人须按比选人要求开具有效发票。</w:t>
      </w:r>
    </w:p>
    <w:p w14:paraId="14018098">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6.工程质量、安全必须符合国家及地方现行相关法律、法规、技术规范及管理规定。</w:t>
      </w:r>
    </w:p>
    <w:p w14:paraId="73D2EAC6">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7.施工单位负责施工范围内的一切安全责任，务必做好各项安全维护、防护措施，确保施工安全、道路安全，行人安全、车辆安全等。需考虑周边住户安全通行、生活作息等要求，需施行符合建设单位要求的专项施工方案。</w:t>
      </w:r>
    </w:p>
    <w:p w14:paraId="1AA29272">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8.施工单位需严格遵守校园管理规定，施工时要注意加强管理，文明施工。</w:t>
      </w:r>
    </w:p>
    <w:p w14:paraId="023D8C05">
      <w:pPr>
        <w:spacing w:line="360" w:lineRule="auto"/>
        <w:ind w:firstLine="482" w:firstLineChars="200"/>
        <w:jc w:val="left"/>
        <w:outlineLvl w:val="2"/>
        <w:rPr>
          <w:rFonts w:hint="eastAsia" w:ascii="仿宋" w:hAnsi="仿宋" w:eastAsia="仿宋" w:cs="仿宋"/>
          <w:b/>
          <w:bCs/>
          <w:sz w:val="24"/>
          <w:szCs w:val="24"/>
        </w:rPr>
      </w:pPr>
      <w:r>
        <w:rPr>
          <w:rFonts w:hint="eastAsia" w:ascii="仿宋" w:hAnsi="仿宋" w:eastAsia="仿宋" w:cs="仿宋"/>
          <w:b/>
          <w:bCs/>
          <w:sz w:val="24"/>
          <w:szCs w:val="24"/>
        </w:rPr>
        <w:t>三、响应报价要求</w:t>
      </w:r>
    </w:p>
    <w:p w14:paraId="2FEE4C76">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1.本项目采用工程量清单综合单价计价方式，请参选人认真阅读比选文件的报价规定和合同主要条款中关于充分考虑本工程合同价款包含风险范围内的所有内容。同时施工合同履行过程中，除比选文件约定外，一律不允许调整合同中的综合单价。</w:t>
      </w:r>
    </w:p>
    <w:p w14:paraId="2BB0E390">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2.参选人应仔细阅读采购文件及附件资料，了解拟采购项目的全部工程内容。参选人的响应报价应是采购文件所确定的采购范围内全部工程内容的价格体现。参选人的响应报价，应是在满足采购文件规定工期、质量要求下，完成采购项目范围的全部工作的报价。</w:t>
      </w:r>
    </w:p>
    <w:p w14:paraId="406E9318">
      <w:pPr>
        <w:spacing w:line="360" w:lineRule="auto"/>
        <w:ind w:firstLine="482" w:firstLineChars="200"/>
        <w:jc w:val="left"/>
        <w:outlineLvl w:val="2"/>
        <w:rPr>
          <w:rFonts w:hint="eastAsia" w:ascii="仿宋" w:hAnsi="仿宋" w:eastAsia="仿宋" w:cs="仿宋"/>
          <w:b/>
          <w:bCs/>
          <w:sz w:val="24"/>
          <w:szCs w:val="24"/>
        </w:rPr>
      </w:pPr>
      <w:r>
        <w:rPr>
          <w:rFonts w:hint="eastAsia" w:ascii="仿宋" w:hAnsi="仿宋" w:eastAsia="仿宋" w:cs="仿宋"/>
          <w:b/>
          <w:bCs/>
          <w:sz w:val="24"/>
          <w:szCs w:val="24"/>
        </w:rPr>
        <w:t>四、其他要求</w:t>
      </w:r>
    </w:p>
    <w:p w14:paraId="4334DD65">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1.参选人在编制工程进度计划时须充分考虑劳动力、材料物资、机械设备等资源投入和夜间加班计划，保证工期目标的实现，并做好相应的安全及文明施工保障措施。</w:t>
      </w:r>
    </w:p>
    <w:p w14:paraId="127A5E59">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2.中选人在施工时须严格做好成品保护工作。</w:t>
      </w:r>
    </w:p>
    <w:p w14:paraId="35C48B7A">
      <w:pPr>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3、中标人需根据施工现场编制专项施工方案，满足比选人相关管理要求，在材料、人员进出场、施工作业时间、周边环境保护等方面需严格按照招标人要求进行，参选人需充分考虑由此产生产生的一切费用，均包含在响应报价中，中选后不予调整。</w:t>
      </w:r>
    </w:p>
    <w:p w14:paraId="300F09FB">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3.该项目严禁转包分包。</w:t>
      </w:r>
    </w:p>
    <w:p w14:paraId="15304AF0">
      <w:pPr>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4.具体情况见工程量清单。</w:t>
      </w:r>
    </w:p>
    <w:p w14:paraId="42665C7D">
      <w:pPr>
        <w:spacing w:line="360" w:lineRule="auto"/>
        <w:ind w:firstLine="482" w:firstLineChars="200"/>
        <w:jc w:val="left"/>
        <w:outlineLvl w:val="2"/>
        <w:rPr>
          <w:rFonts w:hint="eastAsia" w:ascii="仿宋" w:hAnsi="仿宋" w:eastAsia="仿宋" w:cs="仿宋"/>
          <w:b/>
          <w:bCs/>
          <w:sz w:val="24"/>
          <w:szCs w:val="24"/>
        </w:rPr>
      </w:pPr>
      <w:r>
        <w:rPr>
          <w:rFonts w:hint="eastAsia" w:ascii="仿宋" w:hAnsi="仿宋" w:eastAsia="仿宋" w:cs="仿宋"/>
          <w:b/>
          <w:bCs/>
          <w:sz w:val="24"/>
          <w:szCs w:val="24"/>
        </w:rPr>
        <w:t>五、工程量清单控制价及图纸（另附）</w:t>
      </w:r>
    </w:p>
    <w:p w14:paraId="55FAEC78">
      <w:pPr>
        <w:spacing w:line="360" w:lineRule="auto"/>
        <w:ind w:firstLine="482" w:firstLineChars="200"/>
        <w:jc w:val="left"/>
        <w:outlineLvl w:val="2"/>
        <w:rPr>
          <w:rFonts w:hint="eastAsia" w:ascii="仿宋" w:hAnsi="仿宋" w:eastAsia="仿宋" w:cs="仿宋"/>
          <w:b/>
          <w:bCs/>
          <w:sz w:val="24"/>
          <w:szCs w:val="24"/>
        </w:rPr>
      </w:pPr>
      <w:r>
        <w:rPr>
          <w:rFonts w:hint="eastAsia" w:ascii="仿宋" w:hAnsi="仿宋" w:eastAsia="仿宋" w:cs="仿宋"/>
          <w:b/>
          <w:bCs/>
          <w:sz w:val="24"/>
          <w:szCs w:val="24"/>
        </w:rPr>
        <w:t>六、主要材料推荐品牌（仅供参考）</w:t>
      </w:r>
    </w:p>
    <w:tbl>
      <w:tblPr>
        <w:tblStyle w:val="5"/>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126"/>
        <w:gridCol w:w="3119"/>
        <w:gridCol w:w="3763"/>
      </w:tblGrid>
      <w:tr w14:paraId="1625B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center"/>
          </w:tcPr>
          <w:p w14:paraId="72F075EC">
            <w:pPr>
              <w:spacing w:line="360" w:lineRule="auto"/>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26" w:type="dxa"/>
            <w:noWrap w:val="0"/>
            <w:vAlign w:val="center"/>
          </w:tcPr>
          <w:p w14:paraId="63B64D4B">
            <w:pPr>
              <w:spacing w:line="360" w:lineRule="auto"/>
              <w:jc w:val="center"/>
              <w:rPr>
                <w:rFonts w:hint="eastAsia" w:ascii="仿宋" w:hAnsi="仿宋" w:eastAsia="仿宋" w:cs="仿宋"/>
                <w:sz w:val="24"/>
                <w:szCs w:val="24"/>
              </w:rPr>
            </w:pPr>
            <w:r>
              <w:rPr>
                <w:rFonts w:hint="eastAsia" w:ascii="仿宋" w:hAnsi="仿宋" w:eastAsia="仿宋" w:cs="仿宋"/>
                <w:sz w:val="24"/>
                <w:szCs w:val="24"/>
              </w:rPr>
              <w:t>名称</w:t>
            </w:r>
          </w:p>
        </w:tc>
        <w:tc>
          <w:tcPr>
            <w:tcW w:w="3119" w:type="dxa"/>
            <w:noWrap w:val="0"/>
            <w:vAlign w:val="center"/>
          </w:tcPr>
          <w:p w14:paraId="7CEE696C">
            <w:pPr>
              <w:spacing w:line="360" w:lineRule="auto"/>
              <w:jc w:val="center"/>
              <w:rPr>
                <w:rFonts w:hint="eastAsia" w:ascii="仿宋" w:hAnsi="仿宋" w:eastAsia="仿宋" w:cs="仿宋"/>
                <w:sz w:val="24"/>
                <w:szCs w:val="24"/>
              </w:rPr>
            </w:pPr>
            <w:r>
              <w:rPr>
                <w:rFonts w:hint="eastAsia" w:ascii="仿宋" w:hAnsi="仿宋" w:eastAsia="仿宋" w:cs="仿宋"/>
                <w:sz w:val="24"/>
                <w:szCs w:val="24"/>
              </w:rPr>
              <w:t>推荐品牌</w:t>
            </w:r>
          </w:p>
        </w:tc>
        <w:tc>
          <w:tcPr>
            <w:tcW w:w="3763" w:type="dxa"/>
            <w:noWrap w:val="0"/>
            <w:vAlign w:val="center"/>
          </w:tcPr>
          <w:p w14:paraId="2635E6EE">
            <w:pPr>
              <w:spacing w:line="360" w:lineRule="auto"/>
              <w:jc w:val="center"/>
              <w:rPr>
                <w:rFonts w:hint="eastAsia" w:ascii="仿宋" w:hAnsi="仿宋" w:eastAsia="仿宋" w:cs="仿宋"/>
                <w:sz w:val="24"/>
                <w:szCs w:val="24"/>
              </w:rPr>
            </w:pPr>
            <w:r>
              <w:rPr>
                <w:rFonts w:hint="eastAsia" w:ascii="仿宋" w:hAnsi="仿宋" w:eastAsia="仿宋" w:cs="仿宋"/>
                <w:sz w:val="24"/>
                <w:szCs w:val="24"/>
              </w:rPr>
              <w:t>备注</w:t>
            </w:r>
          </w:p>
        </w:tc>
      </w:tr>
      <w:tr w14:paraId="4733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jc w:val="center"/>
        </w:trPr>
        <w:tc>
          <w:tcPr>
            <w:tcW w:w="846" w:type="dxa"/>
            <w:noWrap w:val="0"/>
            <w:vAlign w:val="center"/>
          </w:tcPr>
          <w:p w14:paraId="20D9AFE8">
            <w:pPr>
              <w:spacing w:line="360" w:lineRule="auto"/>
              <w:jc w:val="center"/>
              <w:rPr>
                <w:rFonts w:hint="eastAsia" w:ascii="仿宋" w:hAnsi="仿宋" w:eastAsia="仿宋" w:cs="仿宋"/>
                <w:sz w:val="24"/>
                <w:szCs w:val="24"/>
              </w:rPr>
            </w:pPr>
            <w:r>
              <w:rPr>
                <w:rFonts w:hint="eastAsia" w:ascii="仿宋" w:hAnsi="仿宋" w:eastAsia="仿宋" w:cs="仿宋"/>
                <w:sz w:val="24"/>
                <w:szCs w:val="24"/>
              </w:rPr>
              <w:t>1</w:t>
            </w:r>
          </w:p>
        </w:tc>
        <w:tc>
          <w:tcPr>
            <w:tcW w:w="2126" w:type="dxa"/>
            <w:noWrap w:val="0"/>
            <w:vAlign w:val="center"/>
          </w:tcPr>
          <w:p w14:paraId="0FBF4731">
            <w:pPr>
              <w:spacing w:line="360" w:lineRule="auto"/>
              <w:jc w:val="center"/>
              <w:rPr>
                <w:rFonts w:hint="eastAsia" w:ascii="仿宋" w:hAnsi="仿宋" w:eastAsia="仿宋" w:cs="仿宋"/>
                <w:sz w:val="24"/>
                <w:szCs w:val="24"/>
              </w:rPr>
            </w:pPr>
            <w:r>
              <w:rPr>
                <w:rFonts w:hint="eastAsia" w:ascii="仿宋" w:hAnsi="仿宋" w:eastAsia="仿宋" w:cs="仿宋"/>
                <w:sz w:val="24"/>
                <w:szCs w:val="24"/>
              </w:rPr>
              <w:t>涂料（油漆）</w:t>
            </w:r>
          </w:p>
        </w:tc>
        <w:tc>
          <w:tcPr>
            <w:tcW w:w="3119" w:type="dxa"/>
            <w:noWrap w:val="0"/>
            <w:vAlign w:val="center"/>
          </w:tcPr>
          <w:p w14:paraId="734EE981">
            <w:pPr>
              <w:spacing w:line="360" w:lineRule="auto"/>
              <w:jc w:val="center"/>
              <w:rPr>
                <w:rFonts w:hint="eastAsia" w:ascii="仿宋" w:hAnsi="仿宋" w:eastAsia="仿宋" w:cs="仿宋"/>
                <w:sz w:val="24"/>
                <w:szCs w:val="24"/>
              </w:rPr>
            </w:pPr>
            <w:r>
              <w:rPr>
                <w:rFonts w:hint="eastAsia" w:ascii="仿宋" w:hAnsi="仿宋" w:eastAsia="仿宋" w:cs="仿宋"/>
                <w:sz w:val="24"/>
                <w:szCs w:val="24"/>
              </w:rPr>
              <w:t>三棵树、立邦、多乐士、嘉宝莉、华润</w:t>
            </w:r>
          </w:p>
        </w:tc>
        <w:tc>
          <w:tcPr>
            <w:tcW w:w="3763" w:type="dxa"/>
            <w:vMerge w:val="restart"/>
            <w:noWrap w:val="0"/>
            <w:vAlign w:val="center"/>
          </w:tcPr>
          <w:p w14:paraId="6E3FD529">
            <w:pPr>
              <w:spacing w:line="360" w:lineRule="auto"/>
              <w:jc w:val="center"/>
              <w:rPr>
                <w:rFonts w:hint="eastAsia" w:ascii="仿宋" w:hAnsi="仿宋" w:eastAsia="仿宋" w:cs="仿宋"/>
                <w:sz w:val="24"/>
                <w:szCs w:val="24"/>
              </w:rPr>
            </w:pPr>
            <w:r>
              <w:rPr>
                <w:rFonts w:hint="eastAsia" w:ascii="仿宋" w:hAnsi="仿宋" w:eastAsia="仿宋" w:cs="仿宋"/>
                <w:sz w:val="24"/>
                <w:szCs w:val="24"/>
              </w:rPr>
              <w:t>推荐品牌仅供参考，并无限制性。参选人可以选用替代品牌，但这种替代应满足、等同或优于参考品牌，否则比选小组在评审或评分时有权作出不利于参选人的判定。</w:t>
            </w:r>
          </w:p>
        </w:tc>
      </w:tr>
      <w:tr w14:paraId="7F8AA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jc w:val="center"/>
        </w:trPr>
        <w:tc>
          <w:tcPr>
            <w:tcW w:w="846" w:type="dxa"/>
            <w:noWrap w:val="0"/>
            <w:vAlign w:val="center"/>
          </w:tcPr>
          <w:p w14:paraId="289DC2C7">
            <w:pPr>
              <w:spacing w:line="360" w:lineRule="auto"/>
              <w:jc w:val="center"/>
              <w:rPr>
                <w:rFonts w:hint="eastAsia" w:ascii="仿宋" w:hAnsi="仿宋" w:eastAsia="仿宋" w:cs="仿宋"/>
                <w:sz w:val="24"/>
                <w:szCs w:val="24"/>
              </w:rPr>
            </w:pPr>
            <w:r>
              <w:rPr>
                <w:rFonts w:hint="eastAsia" w:ascii="仿宋" w:hAnsi="仿宋" w:eastAsia="仿宋" w:cs="仿宋"/>
                <w:sz w:val="24"/>
                <w:szCs w:val="24"/>
              </w:rPr>
              <w:t>2</w:t>
            </w:r>
          </w:p>
        </w:tc>
        <w:tc>
          <w:tcPr>
            <w:tcW w:w="2126" w:type="dxa"/>
            <w:noWrap w:val="0"/>
            <w:vAlign w:val="center"/>
          </w:tcPr>
          <w:p w14:paraId="15A2BECE">
            <w:pPr>
              <w:spacing w:line="360" w:lineRule="auto"/>
              <w:jc w:val="center"/>
              <w:rPr>
                <w:rFonts w:hint="eastAsia" w:ascii="仿宋" w:hAnsi="仿宋" w:eastAsia="仿宋" w:cs="仿宋"/>
                <w:sz w:val="24"/>
                <w:szCs w:val="24"/>
              </w:rPr>
            </w:pPr>
            <w:r>
              <w:rPr>
                <w:rFonts w:hint="eastAsia" w:ascii="仿宋" w:hAnsi="仿宋" w:eastAsia="仿宋" w:cs="仿宋"/>
                <w:sz w:val="24"/>
                <w:szCs w:val="24"/>
              </w:rPr>
              <w:t>防火门</w:t>
            </w:r>
          </w:p>
        </w:tc>
        <w:tc>
          <w:tcPr>
            <w:tcW w:w="3119" w:type="dxa"/>
            <w:noWrap w:val="0"/>
            <w:vAlign w:val="center"/>
          </w:tcPr>
          <w:p w14:paraId="637F49C0">
            <w:pPr>
              <w:spacing w:line="360" w:lineRule="auto"/>
              <w:jc w:val="center"/>
              <w:rPr>
                <w:rFonts w:hint="eastAsia" w:ascii="仿宋" w:hAnsi="仿宋" w:eastAsia="仿宋" w:cs="仿宋"/>
                <w:sz w:val="24"/>
                <w:szCs w:val="24"/>
              </w:rPr>
            </w:pPr>
            <w:r>
              <w:rPr>
                <w:rFonts w:hint="eastAsia" w:ascii="仿宋" w:hAnsi="仿宋" w:eastAsia="仿宋" w:cs="仿宋"/>
                <w:sz w:val="24"/>
                <w:szCs w:val="24"/>
              </w:rPr>
              <w:t>王力、盼盼、步阳、美心</w:t>
            </w:r>
          </w:p>
        </w:tc>
        <w:tc>
          <w:tcPr>
            <w:tcW w:w="3763" w:type="dxa"/>
            <w:vMerge w:val="continue"/>
            <w:noWrap w:val="0"/>
            <w:vAlign w:val="center"/>
          </w:tcPr>
          <w:p w14:paraId="197C8C70">
            <w:pPr>
              <w:spacing w:line="360" w:lineRule="auto"/>
              <w:ind w:firstLine="480" w:firstLineChars="200"/>
              <w:jc w:val="center"/>
              <w:rPr>
                <w:rFonts w:hint="eastAsia" w:ascii="仿宋" w:hAnsi="仿宋" w:eastAsia="仿宋" w:cs="仿宋"/>
                <w:sz w:val="24"/>
                <w:szCs w:val="24"/>
              </w:rPr>
            </w:pPr>
          </w:p>
        </w:tc>
      </w:tr>
      <w:tr w14:paraId="55B82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jc w:val="center"/>
        </w:trPr>
        <w:tc>
          <w:tcPr>
            <w:tcW w:w="846" w:type="dxa"/>
            <w:noWrap w:val="0"/>
            <w:vAlign w:val="center"/>
          </w:tcPr>
          <w:p w14:paraId="3EF5D6AC">
            <w:pPr>
              <w:spacing w:line="360" w:lineRule="auto"/>
              <w:jc w:val="center"/>
              <w:rPr>
                <w:rFonts w:hint="eastAsia" w:ascii="仿宋" w:hAnsi="仿宋" w:eastAsia="仿宋" w:cs="仿宋"/>
                <w:sz w:val="24"/>
                <w:szCs w:val="24"/>
              </w:rPr>
            </w:pPr>
            <w:r>
              <w:rPr>
                <w:rFonts w:hint="eastAsia" w:ascii="仿宋" w:hAnsi="仿宋" w:eastAsia="仿宋" w:cs="仿宋"/>
                <w:sz w:val="24"/>
                <w:szCs w:val="24"/>
              </w:rPr>
              <w:t>3</w:t>
            </w:r>
          </w:p>
        </w:tc>
        <w:tc>
          <w:tcPr>
            <w:tcW w:w="2126" w:type="dxa"/>
            <w:noWrap w:val="0"/>
            <w:vAlign w:val="center"/>
          </w:tcPr>
          <w:p w14:paraId="0F663081">
            <w:pPr>
              <w:spacing w:line="360" w:lineRule="auto"/>
              <w:jc w:val="center"/>
              <w:rPr>
                <w:rFonts w:hint="eastAsia" w:ascii="仿宋" w:hAnsi="仿宋" w:eastAsia="仿宋" w:cs="仿宋"/>
                <w:sz w:val="24"/>
                <w:szCs w:val="24"/>
              </w:rPr>
            </w:pPr>
            <w:r>
              <w:rPr>
                <w:rFonts w:hint="eastAsia" w:ascii="仿宋" w:hAnsi="仿宋" w:eastAsia="仿宋" w:cs="仿宋"/>
                <w:sz w:val="24"/>
                <w:szCs w:val="24"/>
              </w:rPr>
              <w:t>面砖（瓷砖）</w:t>
            </w:r>
          </w:p>
        </w:tc>
        <w:tc>
          <w:tcPr>
            <w:tcW w:w="3119" w:type="dxa"/>
            <w:noWrap w:val="0"/>
            <w:vAlign w:val="center"/>
          </w:tcPr>
          <w:p w14:paraId="743CADA7">
            <w:pPr>
              <w:spacing w:line="360" w:lineRule="auto"/>
              <w:jc w:val="center"/>
              <w:rPr>
                <w:rFonts w:hint="eastAsia" w:ascii="仿宋" w:hAnsi="仿宋" w:eastAsia="仿宋" w:cs="仿宋"/>
                <w:sz w:val="24"/>
                <w:szCs w:val="24"/>
              </w:rPr>
            </w:pPr>
            <w:r>
              <w:rPr>
                <w:rFonts w:hint="eastAsia" w:ascii="仿宋" w:hAnsi="仿宋" w:eastAsia="仿宋" w:cs="仿宋"/>
                <w:sz w:val="24"/>
                <w:szCs w:val="24"/>
              </w:rPr>
              <w:t>东鹏、诺贝尔、蒙娜丽莎</w:t>
            </w:r>
          </w:p>
        </w:tc>
        <w:tc>
          <w:tcPr>
            <w:tcW w:w="3763" w:type="dxa"/>
            <w:vMerge w:val="continue"/>
            <w:noWrap w:val="0"/>
            <w:vAlign w:val="center"/>
          </w:tcPr>
          <w:p w14:paraId="3F66724B">
            <w:pPr>
              <w:spacing w:line="360" w:lineRule="auto"/>
              <w:ind w:firstLine="480" w:firstLineChars="200"/>
              <w:jc w:val="center"/>
              <w:rPr>
                <w:rFonts w:hint="eastAsia" w:ascii="仿宋" w:hAnsi="仿宋" w:eastAsia="仿宋" w:cs="仿宋"/>
                <w:sz w:val="24"/>
                <w:szCs w:val="24"/>
              </w:rPr>
            </w:pPr>
          </w:p>
        </w:tc>
      </w:tr>
      <w:tr w14:paraId="3D61F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jc w:val="center"/>
        </w:trPr>
        <w:tc>
          <w:tcPr>
            <w:tcW w:w="846" w:type="dxa"/>
            <w:noWrap w:val="0"/>
            <w:vAlign w:val="center"/>
          </w:tcPr>
          <w:p w14:paraId="61EA5AB6">
            <w:pPr>
              <w:spacing w:line="360" w:lineRule="auto"/>
              <w:jc w:val="center"/>
              <w:rPr>
                <w:rFonts w:hint="eastAsia" w:ascii="仿宋" w:hAnsi="仿宋" w:eastAsia="仿宋" w:cs="仿宋"/>
                <w:sz w:val="24"/>
                <w:szCs w:val="24"/>
              </w:rPr>
            </w:pPr>
            <w:r>
              <w:rPr>
                <w:rFonts w:hint="eastAsia" w:ascii="仿宋" w:hAnsi="仿宋" w:eastAsia="仿宋" w:cs="仿宋"/>
                <w:sz w:val="24"/>
                <w:szCs w:val="24"/>
              </w:rPr>
              <w:t>4</w:t>
            </w:r>
          </w:p>
        </w:tc>
        <w:tc>
          <w:tcPr>
            <w:tcW w:w="2126" w:type="dxa"/>
            <w:noWrap w:val="0"/>
            <w:vAlign w:val="center"/>
          </w:tcPr>
          <w:p w14:paraId="313BDECC">
            <w:pPr>
              <w:spacing w:line="360" w:lineRule="auto"/>
              <w:jc w:val="center"/>
              <w:rPr>
                <w:rFonts w:hint="eastAsia" w:ascii="仿宋" w:hAnsi="仿宋" w:eastAsia="仿宋" w:cs="仿宋"/>
                <w:sz w:val="24"/>
                <w:szCs w:val="24"/>
              </w:rPr>
            </w:pPr>
            <w:r>
              <w:rPr>
                <w:rFonts w:hint="eastAsia" w:ascii="仿宋" w:hAnsi="仿宋" w:eastAsia="仿宋" w:cs="仿宋"/>
                <w:sz w:val="24"/>
                <w:szCs w:val="24"/>
              </w:rPr>
              <w:t>墙面装饰板（石膏板）</w:t>
            </w:r>
          </w:p>
        </w:tc>
        <w:tc>
          <w:tcPr>
            <w:tcW w:w="3119" w:type="dxa"/>
            <w:noWrap w:val="0"/>
            <w:vAlign w:val="center"/>
          </w:tcPr>
          <w:p w14:paraId="2C2D2AC4">
            <w:pPr>
              <w:spacing w:line="360" w:lineRule="auto"/>
              <w:jc w:val="center"/>
              <w:rPr>
                <w:rFonts w:hint="eastAsia" w:ascii="仿宋" w:hAnsi="仿宋" w:eastAsia="仿宋" w:cs="仿宋"/>
                <w:sz w:val="24"/>
                <w:szCs w:val="24"/>
              </w:rPr>
            </w:pPr>
            <w:r>
              <w:rPr>
                <w:rFonts w:hint="eastAsia" w:ascii="仿宋" w:hAnsi="仿宋" w:eastAsia="仿宋" w:cs="仿宋"/>
                <w:sz w:val="24"/>
                <w:szCs w:val="24"/>
              </w:rPr>
              <w:t>龙牌、泰山石膏、北新建材、圣戈班</w:t>
            </w:r>
          </w:p>
        </w:tc>
        <w:tc>
          <w:tcPr>
            <w:tcW w:w="3763" w:type="dxa"/>
            <w:vMerge w:val="continue"/>
            <w:noWrap w:val="0"/>
            <w:vAlign w:val="center"/>
          </w:tcPr>
          <w:p w14:paraId="1CF2D27E">
            <w:pPr>
              <w:spacing w:line="360" w:lineRule="auto"/>
              <w:ind w:firstLine="480" w:firstLineChars="200"/>
              <w:jc w:val="center"/>
              <w:rPr>
                <w:rFonts w:hint="eastAsia" w:ascii="仿宋" w:hAnsi="仿宋" w:eastAsia="仿宋" w:cs="仿宋"/>
                <w:sz w:val="24"/>
                <w:szCs w:val="24"/>
              </w:rPr>
            </w:pPr>
          </w:p>
        </w:tc>
      </w:tr>
      <w:tr w14:paraId="5AADF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jc w:val="center"/>
        </w:trPr>
        <w:tc>
          <w:tcPr>
            <w:tcW w:w="846" w:type="dxa"/>
            <w:noWrap w:val="0"/>
            <w:vAlign w:val="center"/>
          </w:tcPr>
          <w:p w14:paraId="0E7E9560">
            <w:pPr>
              <w:spacing w:line="360" w:lineRule="auto"/>
              <w:jc w:val="center"/>
              <w:rPr>
                <w:rFonts w:hint="eastAsia" w:ascii="仿宋" w:hAnsi="仿宋" w:eastAsia="仿宋" w:cs="仿宋"/>
                <w:sz w:val="24"/>
                <w:szCs w:val="24"/>
              </w:rPr>
            </w:pPr>
            <w:r>
              <w:rPr>
                <w:rFonts w:hint="eastAsia" w:ascii="仿宋" w:hAnsi="仿宋" w:eastAsia="仿宋" w:cs="仿宋"/>
                <w:sz w:val="24"/>
                <w:szCs w:val="24"/>
              </w:rPr>
              <w:t>5</w:t>
            </w:r>
          </w:p>
        </w:tc>
        <w:tc>
          <w:tcPr>
            <w:tcW w:w="2126" w:type="dxa"/>
            <w:noWrap w:val="0"/>
            <w:vAlign w:val="center"/>
          </w:tcPr>
          <w:p w14:paraId="7DE1256C">
            <w:pPr>
              <w:spacing w:line="360" w:lineRule="auto"/>
              <w:jc w:val="center"/>
              <w:rPr>
                <w:rFonts w:hint="eastAsia" w:ascii="仿宋" w:hAnsi="仿宋" w:eastAsia="仿宋" w:cs="仿宋"/>
                <w:sz w:val="24"/>
                <w:szCs w:val="24"/>
              </w:rPr>
            </w:pPr>
            <w:r>
              <w:rPr>
                <w:rFonts w:hint="eastAsia" w:ascii="仿宋" w:hAnsi="仿宋" w:eastAsia="仿宋" w:cs="仿宋"/>
                <w:sz w:val="24"/>
                <w:szCs w:val="24"/>
              </w:rPr>
              <w:t>管道(PPR、PVC）</w:t>
            </w:r>
          </w:p>
        </w:tc>
        <w:tc>
          <w:tcPr>
            <w:tcW w:w="3119" w:type="dxa"/>
            <w:noWrap w:val="0"/>
            <w:vAlign w:val="center"/>
          </w:tcPr>
          <w:p w14:paraId="0BE5D6B1">
            <w:pPr>
              <w:spacing w:line="360" w:lineRule="auto"/>
              <w:jc w:val="center"/>
              <w:rPr>
                <w:rFonts w:hint="eastAsia" w:ascii="仿宋" w:hAnsi="仿宋" w:eastAsia="仿宋" w:cs="仿宋"/>
                <w:sz w:val="24"/>
                <w:szCs w:val="24"/>
              </w:rPr>
            </w:pPr>
            <w:r>
              <w:rPr>
                <w:rFonts w:hint="eastAsia" w:ascii="仿宋" w:hAnsi="仿宋" w:eastAsia="仿宋" w:cs="仿宋"/>
                <w:sz w:val="24"/>
                <w:szCs w:val="24"/>
              </w:rPr>
              <w:t>联塑、中财、日丰</w:t>
            </w:r>
          </w:p>
        </w:tc>
        <w:tc>
          <w:tcPr>
            <w:tcW w:w="3763" w:type="dxa"/>
            <w:vMerge w:val="continue"/>
            <w:noWrap w:val="0"/>
            <w:vAlign w:val="center"/>
          </w:tcPr>
          <w:p w14:paraId="2E63F371">
            <w:pPr>
              <w:spacing w:line="360" w:lineRule="auto"/>
              <w:ind w:firstLine="480" w:firstLineChars="200"/>
              <w:jc w:val="center"/>
              <w:rPr>
                <w:rFonts w:hint="eastAsia" w:ascii="仿宋" w:hAnsi="仿宋" w:eastAsia="仿宋" w:cs="仿宋"/>
                <w:sz w:val="24"/>
                <w:szCs w:val="24"/>
              </w:rPr>
            </w:pPr>
          </w:p>
        </w:tc>
      </w:tr>
      <w:tr w14:paraId="07C18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jc w:val="center"/>
        </w:trPr>
        <w:tc>
          <w:tcPr>
            <w:tcW w:w="846" w:type="dxa"/>
            <w:noWrap w:val="0"/>
            <w:vAlign w:val="center"/>
          </w:tcPr>
          <w:p w14:paraId="7EF5F90E">
            <w:pPr>
              <w:spacing w:line="360" w:lineRule="auto"/>
              <w:jc w:val="center"/>
              <w:rPr>
                <w:rFonts w:hint="eastAsia" w:ascii="仿宋" w:hAnsi="仿宋" w:eastAsia="仿宋" w:cs="仿宋"/>
                <w:sz w:val="24"/>
                <w:szCs w:val="24"/>
              </w:rPr>
            </w:pPr>
            <w:r>
              <w:rPr>
                <w:rFonts w:hint="eastAsia" w:ascii="仿宋" w:hAnsi="仿宋" w:eastAsia="仿宋" w:cs="仿宋"/>
                <w:sz w:val="24"/>
                <w:szCs w:val="24"/>
              </w:rPr>
              <w:t>6</w:t>
            </w:r>
          </w:p>
        </w:tc>
        <w:tc>
          <w:tcPr>
            <w:tcW w:w="2126" w:type="dxa"/>
            <w:noWrap w:val="0"/>
            <w:vAlign w:val="center"/>
          </w:tcPr>
          <w:p w14:paraId="7CB2E95C">
            <w:pPr>
              <w:spacing w:line="360" w:lineRule="auto"/>
              <w:jc w:val="center"/>
              <w:rPr>
                <w:rFonts w:hint="eastAsia" w:ascii="仿宋" w:hAnsi="仿宋" w:eastAsia="仿宋" w:cs="仿宋"/>
                <w:sz w:val="24"/>
                <w:szCs w:val="24"/>
              </w:rPr>
            </w:pPr>
            <w:r>
              <w:rPr>
                <w:rFonts w:hint="eastAsia" w:ascii="仿宋" w:hAnsi="仿宋" w:eastAsia="仿宋" w:cs="仿宋"/>
                <w:sz w:val="24"/>
                <w:szCs w:val="24"/>
              </w:rPr>
              <w:t>插座（开关）</w:t>
            </w:r>
          </w:p>
        </w:tc>
        <w:tc>
          <w:tcPr>
            <w:tcW w:w="3119" w:type="dxa"/>
            <w:noWrap w:val="0"/>
            <w:vAlign w:val="center"/>
          </w:tcPr>
          <w:p w14:paraId="248BC9FD">
            <w:pPr>
              <w:spacing w:line="360" w:lineRule="auto"/>
              <w:jc w:val="center"/>
              <w:rPr>
                <w:rFonts w:hint="eastAsia" w:ascii="仿宋" w:hAnsi="仿宋" w:eastAsia="仿宋" w:cs="仿宋"/>
                <w:sz w:val="24"/>
                <w:szCs w:val="24"/>
              </w:rPr>
            </w:pPr>
            <w:r>
              <w:rPr>
                <w:rFonts w:hint="eastAsia" w:ascii="仿宋" w:hAnsi="仿宋" w:eastAsia="仿宋" w:cs="仿宋"/>
                <w:sz w:val="24"/>
                <w:szCs w:val="24"/>
              </w:rPr>
              <w:t>正泰、德力西、公牛</w:t>
            </w:r>
          </w:p>
        </w:tc>
        <w:tc>
          <w:tcPr>
            <w:tcW w:w="3763" w:type="dxa"/>
            <w:vMerge w:val="continue"/>
            <w:noWrap w:val="0"/>
            <w:vAlign w:val="center"/>
          </w:tcPr>
          <w:p w14:paraId="34F73C71">
            <w:pPr>
              <w:spacing w:line="360" w:lineRule="auto"/>
              <w:ind w:firstLine="480" w:firstLineChars="200"/>
              <w:jc w:val="center"/>
              <w:rPr>
                <w:rFonts w:hint="eastAsia" w:ascii="仿宋" w:hAnsi="仿宋" w:eastAsia="仿宋" w:cs="仿宋"/>
                <w:sz w:val="24"/>
                <w:szCs w:val="24"/>
              </w:rPr>
            </w:pPr>
          </w:p>
        </w:tc>
      </w:tr>
      <w:tr w14:paraId="0DE41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jc w:val="center"/>
        </w:trPr>
        <w:tc>
          <w:tcPr>
            <w:tcW w:w="846" w:type="dxa"/>
            <w:noWrap w:val="0"/>
            <w:vAlign w:val="center"/>
          </w:tcPr>
          <w:p w14:paraId="09BA9479">
            <w:pPr>
              <w:spacing w:line="360" w:lineRule="auto"/>
              <w:jc w:val="center"/>
              <w:rPr>
                <w:rFonts w:ascii="仿宋" w:hAnsi="仿宋" w:eastAsia="仿宋" w:cs="仿宋"/>
                <w:sz w:val="24"/>
                <w:szCs w:val="24"/>
              </w:rPr>
            </w:pPr>
            <w:r>
              <w:rPr>
                <w:rFonts w:hint="eastAsia" w:ascii="仿宋" w:hAnsi="仿宋" w:eastAsia="仿宋" w:cs="仿宋"/>
                <w:sz w:val="24"/>
                <w:szCs w:val="24"/>
              </w:rPr>
              <w:t>7</w:t>
            </w:r>
          </w:p>
        </w:tc>
        <w:tc>
          <w:tcPr>
            <w:tcW w:w="2126" w:type="dxa"/>
            <w:noWrap w:val="0"/>
            <w:vAlign w:val="center"/>
          </w:tcPr>
          <w:p w14:paraId="418CBA31">
            <w:pPr>
              <w:spacing w:line="360" w:lineRule="auto"/>
              <w:jc w:val="center"/>
              <w:rPr>
                <w:rFonts w:hint="eastAsia" w:ascii="仿宋" w:hAnsi="仿宋" w:eastAsia="仿宋" w:cs="仿宋"/>
                <w:sz w:val="24"/>
                <w:szCs w:val="24"/>
              </w:rPr>
            </w:pPr>
            <w:r>
              <w:rPr>
                <w:rFonts w:hint="eastAsia" w:ascii="仿宋" w:hAnsi="仿宋" w:eastAsia="仿宋" w:cs="仿宋"/>
                <w:sz w:val="24"/>
                <w:szCs w:val="24"/>
              </w:rPr>
              <w:t>电线（电缆）</w:t>
            </w:r>
          </w:p>
        </w:tc>
        <w:tc>
          <w:tcPr>
            <w:tcW w:w="3119" w:type="dxa"/>
            <w:noWrap w:val="0"/>
            <w:vAlign w:val="center"/>
          </w:tcPr>
          <w:p w14:paraId="62759FE3">
            <w:pPr>
              <w:spacing w:line="360" w:lineRule="auto"/>
              <w:jc w:val="center"/>
              <w:rPr>
                <w:rFonts w:hint="eastAsia" w:ascii="仿宋" w:hAnsi="仿宋" w:eastAsia="仿宋" w:cs="仿宋"/>
                <w:sz w:val="24"/>
                <w:szCs w:val="24"/>
              </w:rPr>
            </w:pPr>
            <w:r>
              <w:rPr>
                <w:rFonts w:hint="eastAsia" w:ascii="仿宋" w:hAnsi="仿宋" w:eastAsia="仿宋" w:cs="仿宋"/>
                <w:sz w:val="24"/>
                <w:szCs w:val="24"/>
              </w:rPr>
              <w:t>远东、上上、宝胜、绿宝</w:t>
            </w:r>
          </w:p>
        </w:tc>
        <w:tc>
          <w:tcPr>
            <w:tcW w:w="3763" w:type="dxa"/>
            <w:vMerge w:val="continue"/>
            <w:noWrap w:val="0"/>
            <w:vAlign w:val="center"/>
          </w:tcPr>
          <w:p w14:paraId="1C095DCC">
            <w:pPr>
              <w:spacing w:line="360" w:lineRule="auto"/>
              <w:ind w:firstLine="480" w:firstLineChars="200"/>
              <w:jc w:val="center"/>
              <w:rPr>
                <w:rFonts w:hint="eastAsia" w:ascii="仿宋" w:hAnsi="仿宋" w:eastAsia="仿宋" w:cs="仿宋"/>
                <w:sz w:val="24"/>
                <w:szCs w:val="24"/>
              </w:rPr>
            </w:pPr>
          </w:p>
        </w:tc>
      </w:tr>
      <w:tr w14:paraId="30E43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jc w:val="center"/>
        </w:trPr>
        <w:tc>
          <w:tcPr>
            <w:tcW w:w="846" w:type="dxa"/>
            <w:noWrap w:val="0"/>
            <w:vAlign w:val="center"/>
          </w:tcPr>
          <w:p w14:paraId="16A810D3">
            <w:pPr>
              <w:spacing w:line="360" w:lineRule="auto"/>
              <w:jc w:val="center"/>
              <w:rPr>
                <w:rFonts w:ascii="仿宋" w:hAnsi="仿宋" w:eastAsia="仿宋" w:cs="仿宋"/>
                <w:sz w:val="24"/>
                <w:szCs w:val="24"/>
              </w:rPr>
            </w:pPr>
            <w:r>
              <w:rPr>
                <w:rFonts w:hint="eastAsia" w:ascii="仿宋" w:hAnsi="仿宋" w:eastAsia="仿宋" w:cs="仿宋"/>
                <w:sz w:val="24"/>
                <w:szCs w:val="24"/>
              </w:rPr>
              <w:t>8</w:t>
            </w:r>
          </w:p>
        </w:tc>
        <w:tc>
          <w:tcPr>
            <w:tcW w:w="2126" w:type="dxa"/>
            <w:noWrap w:val="0"/>
            <w:vAlign w:val="center"/>
          </w:tcPr>
          <w:p w14:paraId="6C32D546">
            <w:pPr>
              <w:spacing w:line="360" w:lineRule="auto"/>
              <w:jc w:val="center"/>
              <w:rPr>
                <w:rFonts w:hint="eastAsia" w:ascii="仿宋" w:hAnsi="仿宋" w:eastAsia="仿宋" w:cs="仿宋"/>
                <w:sz w:val="24"/>
                <w:szCs w:val="24"/>
              </w:rPr>
            </w:pPr>
            <w:r>
              <w:rPr>
                <w:rFonts w:hint="eastAsia" w:ascii="仿宋" w:hAnsi="仿宋" w:eastAsia="仿宋" w:cs="仿宋"/>
                <w:sz w:val="24"/>
                <w:szCs w:val="24"/>
              </w:rPr>
              <w:t>灯具</w:t>
            </w:r>
          </w:p>
        </w:tc>
        <w:tc>
          <w:tcPr>
            <w:tcW w:w="3119" w:type="dxa"/>
            <w:noWrap w:val="0"/>
            <w:vAlign w:val="center"/>
          </w:tcPr>
          <w:p w14:paraId="1C893D72">
            <w:pPr>
              <w:spacing w:line="360" w:lineRule="auto"/>
              <w:jc w:val="center"/>
              <w:rPr>
                <w:rFonts w:hint="eastAsia" w:ascii="仿宋" w:hAnsi="仿宋" w:eastAsia="仿宋" w:cs="仿宋"/>
                <w:sz w:val="24"/>
                <w:szCs w:val="24"/>
              </w:rPr>
            </w:pPr>
            <w:r>
              <w:rPr>
                <w:rFonts w:hint="eastAsia" w:ascii="仿宋" w:hAnsi="仿宋" w:eastAsia="仿宋" w:cs="仿宋"/>
                <w:sz w:val="24"/>
                <w:szCs w:val="24"/>
              </w:rPr>
              <w:t>欧普、雷士、飞利浦</w:t>
            </w:r>
          </w:p>
        </w:tc>
        <w:tc>
          <w:tcPr>
            <w:tcW w:w="3763" w:type="dxa"/>
            <w:vMerge w:val="continue"/>
            <w:noWrap w:val="0"/>
            <w:vAlign w:val="center"/>
          </w:tcPr>
          <w:p w14:paraId="69526E65">
            <w:pPr>
              <w:spacing w:line="360" w:lineRule="auto"/>
              <w:ind w:firstLine="480" w:firstLineChars="200"/>
              <w:jc w:val="center"/>
              <w:rPr>
                <w:rFonts w:hint="eastAsia" w:ascii="仿宋" w:hAnsi="仿宋" w:eastAsia="仿宋" w:cs="仿宋"/>
                <w:sz w:val="24"/>
                <w:szCs w:val="24"/>
              </w:rPr>
            </w:pPr>
          </w:p>
        </w:tc>
      </w:tr>
    </w:tbl>
    <w:p w14:paraId="6E276E60">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B90A5A"/>
    <w:rsid w:val="29B90A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rPr>
      <w:rFonts w:eastAsia="宋体" w:cs="Times New Roman"/>
    </w:rPr>
  </w:style>
  <w:style w:type="paragraph" w:styleId="3">
    <w:name w:val="Body Text"/>
    <w:basedOn w:val="1"/>
    <w:qFormat/>
    <w:uiPriority w:val="0"/>
    <w:pPr>
      <w:spacing w:after="120"/>
    </w:pPr>
    <w:rPr>
      <w:rFonts w:ascii="@微软简标宋" w:hAnsi="@微软简标宋" w:eastAsia="@微软简标宋" w:cs="@微软简标宋"/>
      <w:szCs w:val="24"/>
      <w:lang w:val="zh-CN"/>
    </w:rPr>
  </w:style>
  <w:style w:type="paragraph" w:styleId="4">
    <w:name w:val="Body Text First Indent"/>
    <w:basedOn w:val="3"/>
    <w:unhideWhenUsed/>
    <w:qFormat/>
    <w:uiPriority w:val="99"/>
    <w:pPr>
      <w:ind w:firstLine="420" w:firstLineChars="100"/>
    </w:pPr>
  </w:style>
  <w:style w:type="paragraph" w:customStyle="1" w:styleId="7">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2026-03-06T02:54:00Z</dcterms:created>
  <dc:creator>森</dc:creator>
  <cp:lastModifiedBy>森</cp:lastModifiedBy>
  <dcterms:modified xsi:type="dcterms:W3CDTF">2026-03-06T02:54:55Z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AC76CAE594094506A0C4D0CB778D4B03_11</vt:lpwstr>
  </property>
  <property fmtid="{D5CDD505-2E9C-101B-9397-08002B2CF9AE}" pid="4" name="KSOTemplateDocerSaveRecord">
    <vt:lpwstr>eyJoZGlkIjoiOTc3M2Y5NzIzMDFlZjAyY2Q4Njk5ODkyYjFjNzBiNTQiLCJ1c2VySWQiOiI0MzAwMTYzNzkifQ==</vt:lpwstr>
  </property>
</Properties>
</file>