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A9121">
      <w:pPr>
        <w:spacing w:line="360" w:lineRule="auto"/>
        <w:jc w:val="center"/>
        <w:outlineLvl w:val="1"/>
        <w:rPr>
          <w:rFonts w:hint="eastAsia" w:ascii="华文中宋" w:hAnsi="华文中宋" w:eastAsia="华文中宋" w:cs="Times New Roman"/>
          <w:b/>
          <w:bCs/>
          <w:kern w:val="44"/>
          <w:sz w:val="32"/>
          <w:szCs w:val="32"/>
        </w:rPr>
      </w:pPr>
      <w:r>
        <w:rPr>
          <w:rFonts w:hint="eastAsia" w:ascii="华文中宋" w:hAnsi="华文中宋" w:eastAsia="华文中宋" w:cs="Times New Roman"/>
          <w:b/>
          <w:bCs/>
          <w:kern w:val="44"/>
          <w:sz w:val="32"/>
          <w:szCs w:val="32"/>
        </w:rPr>
        <w:t>第三章  采购需求</w:t>
      </w:r>
    </w:p>
    <w:p w14:paraId="31A8750C">
      <w:pPr>
        <w:spacing w:line="360" w:lineRule="auto"/>
        <w:jc w:val="left"/>
        <w:rPr>
          <w:rFonts w:ascii="宋体" w:hAnsi="宋体"/>
          <w:b/>
          <w:sz w:val="24"/>
        </w:rPr>
      </w:pPr>
      <w:r>
        <w:rPr>
          <w:rFonts w:hint="eastAsia" w:ascii="宋体" w:hAnsi="宋体"/>
          <w:b/>
          <w:sz w:val="24"/>
        </w:rPr>
        <w:t>前注：</w:t>
      </w:r>
    </w:p>
    <w:p w14:paraId="3DE25C7B">
      <w:pPr>
        <w:spacing w:line="360" w:lineRule="auto"/>
        <w:ind w:firstLine="435"/>
        <w:jc w:val="left"/>
        <w:rPr>
          <w:rFonts w:ascii="宋体" w:hAnsi="宋体"/>
          <w:sz w:val="24"/>
        </w:rPr>
      </w:pPr>
      <w:r>
        <w:rPr>
          <w:rFonts w:hint="eastAsia" w:ascii="宋体" w:hAnsi="宋体"/>
          <w:sz w:val="24"/>
        </w:rPr>
        <w:t>1.</w:t>
      </w:r>
      <w:r>
        <w:rPr>
          <w:rFonts w:ascii="宋体" w:hAnsi="宋体"/>
          <w:sz w:val="24"/>
        </w:rPr>
        <w:t>本采购需求中提出的服务方案仅为参考，如无明确限制，</w:t>
      </w:r>
      <w:r>
        <w:rPr>
          <w:rFonts w:hint="eastAsia" w:ascii="宋体" w:hAnsi="宋体"/>
          <w:sz w:val="24"/>
        </w:rPr>
        <w:t>供应商</w:t>
      </w:r>
      <w:r>
        <w:rPr>
          <w:rFonts w:ascii="宋体" w:hAnsi="宋体"/>
          <w:sz w:val="24"/>
        </w:rPr>
        <w:t>可以进行优化，提供满足采购人实际需要的更优（或者性能实质上不低于的）服务方案，且此方案须经</w:t>
      </w:r>
      <w:r>
        <w:rPr>
          <w:rFonts w:hint="eastAsia" w:ascii="宋体" w:hAnsi="宋体"/>
          <w:sz w:val="24"/>
        </w:rPr>
        <w:t>磋商小组</w:t>
      </w:r>
      <w:r>
        <w:rPr>
          <w:rFonts w:ascii="宋体" w:hAnsi="宋体"/>
          <w:sz w:val="24"/>
        </w:rPr>
        <w:t>评审认可</w:t>
      </w:r>
      <w:r>
        <w:rPr>
          <w:rFonts w:hint="eastAsia" w:ascii="宋体" w:hAnsi="宋体"/>
          <w:sz w:val="24"/>
        </w:rPr>
        <w:t>。</w:t>
      </w:r>
    </w:p>
    <w:p w14:paraId="6D325576">
      <w:pPr>
        <w:spacing w:line="360" w:lineRule="auto"/>
        <w:ind w:firstLine="437"/>
        <w:rPr>
          <w:rFonts w:ascii="宋体" w:hAnsi="宋体"/>
          <w:b/>
          <w:sz w:val="24"/>
          <w:szCs w:val="18"/>
        </w:rPr>
      </w:pPr>
      <w:r>
        <w:rPr>
          <w:rFonts w:hint="eastAsia" w:ascii="宋体" w:hAnsi="宋体"/>
          <w:b/>
          <w:sz w:val="24"/>
          <w:szCs w:val="18"/>
        </w:rPr>
        <w:t>一、采购需求前附表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025"/>
        <w:gridCol w:w="5466"/>
      </w:tblGrid>
      <w:tr w14:paraId="6709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noWrap w:val="0"/>
            <w:vAlign w:val="center"/>
          </w:tcPr>
          <w:p w14:paraId="1589099F">
            <w:pPr>
              <w:pStyle w:val="7"/>
              <w:pBdr>
                <w:bottom w:val="none" w:color="auto" w:sz="0" w:space="0"/>
              </w:pBdr>
              <w:tabs>
                <w:tab w:val="clear" w:pos="4153"/>
                <w:tab w:val="clear" w:pos="8306"/>
              </w:tabs>
              <w:adjustRightInd/>
              <w:spacing w:line="240" w:lineRule="auto"/>
              <w:textAlignment w:val="auto"/>
              <w:rPr>
                <w:rFonts w:ascii="宋体" w:hAnsi="宋体"/>
                <w:b/>
                <w:kern w:val="2"/>
              </w:rPr>
            </w:pPr>
            <w:r>
              <w:rPr>
                <w:rFonts w:hint="eastAsia" w:ascii="宋体" w:hAnsi="宋体"/>
                <w:b/>
                <w:kern w:val="2"/>
              </w:rPr>
              <w:t>序号</w:t>
            </w:r>
          </w:p>
        </w:tc>
        <w:tc>
          <w:tcPr>
            <w:tcW w:w="2025" w:type="dxa"/>
            <w:noWrap w:val="0"/>
            <w:vAlign w:val="center"/>
          </w:tcPr>
          <w:p w14:paraId="3836ECB6">
            <w:pPr>
              <w:pStyle w:val="8"/>
              <w:widowControl w:val="0"/>
              <w:spacing w:before="0" w:beforeAutospacing="0" w:after="0" w:afterAutospacing="0" w:line="360" w:lineRule="auto"/>
              <w:rPr>
                <w:rFonts w:hint="eastAsia" w:ascii="宋体" w:hAnsi="宋体"/>
                <w:bCs w:val="0"/>
                <w:sz w:val="24"/>
              </w:rPr>
            </w:pPr>
            <w:r>
              <w:rPr>
                <w:rFonts w:hint="eastAsia" w:ascii="宋体" w:hAnsi="宋体"/>
                <w:bCs w:val="0"/>
                <w:sz w:val="24"/>
              </w:rPr>
              <w:t>内容</w:t>
            </w:r>
          </w:p>
        </w:tc>
        <w:tc>
          <w:tcPr>
            <w:tcW w:w="5466" w:type="dxa"/>
            <w:noWrap w:val="0"/>
            <w:vAlign w:val="center"/>
          </w:tcPr>
          <w:p w14:paraId="02B8A0B5">
            <w:pPr>
              <w:pStyle w:val="8"/>
              <w:widowControl w:val="0"/>
              <w:spacing w:before="0" w:beforeAutospacing="0" w:after="0" w:afterAutospacing="0" w:line="360" w:lineRule="auto"/>
              <w:rPr>
                <w:rFonts w:ascii="宋体" w:hAnsi="宋体"/>
                <w:bCs w:val="0"/>
                <w:sz w:val="24"/>
              </w:rPr>
            </w:pPr>
            <w:r>
              <w:rPr>
                <w:rFonts w:hint="eastAsia" w:ascii="宋体" w:hAnsi="宋体"/>
                <w:bCs w:val="0"/>
                <w:sz w:val="24"/>
              </w:rPr>
              <w:t>说明与要求</w:t>
            </w:r>
          </w:p>
        </w:tc>
      </w:tr>
      <w:tr w14:paraId="2B3B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noWrap w:val="0"/>
            <w:vAlign w:val="center"/>
          </w:tcPr>
          <w:p w14:paraId="140171D5">
            <w:pPr>
              <w:pStyle w:val="7"/>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1</w:t>
            </w:r>
          </w:p>
        </w:tc>
        <w:tc>
          <w:tcPr>
            <w:tcW w:w="2025" w:type="dxa"/>
            <w:noWrap w:val="0"/>
            <w:vAlign w:val="center"/>
          </w:tcPr>
          <w:p w14:paraId="3921FA9C">
            <w:pPr>
              <w:pStyle w:val="8"/>
              <w:widowControl w:val="0"/>
              <w:spacing w:before="0" w:beforeAutospacing="0" w:after="0" w:afterAutospacing="0" w:line="360" w:lineRule="auto"/>
              <w:rPr>
                <w:rFonts w:ascii="宋体" w:hAnsi="宋体"/>
                <w:b w:val="0"/>
                <w:sz w:val="24"/>
              </w:rPr>
            </w:pPr>
            <w:r>
              <w:rPr>
                <w:rFonts w:hint="eastAsia" w:ascii="宋体" w:hAnsi="宋体"/>
                <w:b w:val="0"/>
                <w:sz w:val="24"/>
              </w:rPr>
              <w:t>付款方式</w:t>
            </w:r>
          </w:p>
        </w:tc>
        <w:tc>
          <w:tcPr>
            <w:tcW w:w="5466" w:type="dxa"/>
            <w:noWrap w:val="0"/>
            <w:vAlign w:val="center"/>
          </w:tcPr>
          <w:p w14:paraId="4167843D">
            <w:pPr>
              <w:pStyle w:val="8"/>
              <w:widowControl w:val="0"/>
              <w:spacing w:before="0" w:beforeAutospacing="0" w:after="0" w:afterAutospacing="0" w:line="360" w:lineRule="auto"/>
              <w:jc w:val="left"/>
              <w:rPr>
                <w:rFonts w:hint="eastAsia" w:ascii="宋体" w:hAnsi="宋体"/>
                <w:b w:val="0"/>
                <w:bCs w:val="0"/>
                <w:sz w:val="24"/>
                <w:u w:val="single"/>
              </w:rPr>
            </w:pPr>
            <w:r>
              <w:rPr>
                <w:rFonts w:hint="eastAsia" w:ascii="宋体" w:hAnsi="宋体"/>
                <w:b w:val="0"/>
                <w:bCs w:val="0"/>
                <w:sz w:val="24"/>
                <w:u w:val="single"/>
              </w:rPr>
              <w:t>分批付款：</w:t>
            </w:r>
          </w:p>
          <w:p w14:paraId="08C0828A">
            <w:pPr>
              <w:pStyle w:val="8"/>
              <w:widowControl w:val="0"/>
              <w:spacing w:before="0" w:beforeAutospacing="0" w:after="0" w:afterAutospacing="0" w:line="360" w:lineRule="auto"/>
              <w:jc w:val="left"/>
              <w:rPr>
                <w:rFonts w:hint="eastAsia" w:ascii="宋体" w:hAnsi="宋体"/>
                <w:b w:val="0"/>
                <w:bCs w:val="0"/>
                <w:sz w:val="24"/>
                <w:u w:val="single"/>
              </w:rPr>
            </w:pPr>
            <w:r>
              <w:rPr>
                <w:rFonts w:hint="eastAsia" w:ascii="宋体" w:hAnsi="宋体"/>
                <w:b w:val="0"/>
                <w:bCs w:val="0"/>
                <w:sz w:val="24"/>
                <w:u w:val="single"/>
              </w:rPr>
              <w:t>1.合同签订且本项目团队成员到场后，成交供应商向采购人提出用款申请并附等额增值税发票等必要资料后，采购人预付</w:t>
            </w:r>
            <w:r>
              <w:rPr>
                <w:rFonts w:hint="eastAsia" w:ascii="宋体" w:hAnsi="宋体" w:eastAsia="宋体"/>
                <w:b w:val="0"/>
                <w:bCs w:val="0"/>
                <w:sz w:val="24"/>
                <w:u w:val="single"/>
              </w:rPr>
              <w:t>70%的合同款</w:t>
            </w:r>
            <w:r>
              <w:rPr>
                <w:rFonts w:hint="eastAsia" w:ascii="宋体" w:hAnsi="宋体" w:eastAsia="宋体"/>
                <w:b/>
                <w:bCs/>
                <w:sz w:val="24"/>
                <w:u w:val="single"/>
              </w:rPr>
              <w:t>（成交供应商须提交银行、保险公司、担保公司等金融机构出具的预付款保函或其他担保措施，以上各类机构出具的以担保函、保证保险承担责任的方式均须满足无条件见索即付条件）</w:t>
            </w:r>
            <w:r>
              <w:rPr>
                <w:rFonts w:hint="eastAsia" w:ascii="宋体" w:hAnsi="宋体" w:eastAsia="宋体"/>
                <w:b w:val="0"/>
                <w:bCs w:val="0"/>
                <w:sz w:val="24"/>
                <w:u w:val="single"/>
              </w:rPr>
              <w:t>。</w:t>
            </w:r>
          </w:p>
          <w:p w14:paraId="2883AFB2">
            <w:pPr>
              <w:pStyle w:val="8"/>
              <w:widowControl w:val="0"/>
              <w:spacing w:before="0" w:beforeAutospacing="0" w:after="0" w:afterAutospacing="0" w:line="360" w:lineRule="auto"/>
              <w:jc w:val="left"/>
              <w:rPr>
                <w:rFonts w:hint="eastAsia" w:ascii="宋体" w:hAnsi="宋体"/>
                <w:b w:val="0"/>
                <w:bCs w:val="0"/>
                <w:sz w:val="24"/>
                <w:u w:val="single"/>
              </w:rPr>
            </w:pPr>
            <w:r>
              <w:rPr>
                <w:rFonts w:hint="eastAsia" w:ascii="宋体" w:hAnsi="宋体"/>
                <w:b w:val="0"/>
                <w:bCs w:val="0"/>
                <w:sz w:val="24"/>
                <w:u w:val="single"/>
              </w:rPr>
              <w:t>2.项目服务期满且验收通过，付清剩余合同款。</w:t>
            </w:r>
          </w:p>
        </w:tc>
      </w:tr>
      <w:tr w14:paraId="04EB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noWrap w:val="0"/>
            <w:vAlign w:val="center"/>
          </w:tcPr>
          <w:p w14:paraId="200B8F64">
            <w:pPr>
              <w:pStyle w:val="7"/>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2</w:t>
            </w:r>
          </w:p>
        </w:tc>
        <w:tc>
          <w:tcPr>
            <w:tcW w:w="2025" w:type="dxa"/>
            <w:noWrap w:val="0"/>
            <w:vAlign w:val="center"/>
          </w:tcPr>
          <w:p w14:paraId="285EB4A5">
            <w:pPr>
              <w:pStyle w:val="8"/>
              <w:widowControl w:val="0"/>
              <w:spacing w:before="0" w:beforeAutospacing="0" w:after="0" w:afterAutospacing="0" w:line="360" w:lineRule="auto"/>
              <w:rPr>
                <w:rFonts w:ascii="宋体" w:hAnsi="宋体"/>
                <w:b w:val="0"/>
                <w:sz w:val="24"/>
              </w:rPr>
            </w:pPr>
            <w:r>
              <w:rPr>
                <w:rFonts w:hint="eastAsia" w:ascii="宋体" w:hAnsi="宋体"/>
                <w:b w:val="0"/>
                <w:sz w:val="24"/>
              </w:rPr>
              <w:t>服务地点</w:t>
            </w:r>
          </w:p>
        </w:tc>
        <w:tc>
          <w:tcPr>
            <w:tcW w:w="5466" w:type="dxa"/>
            <w:noWrap w:val="0"/>
            <w:vAlign w:val="center"/>
          </w:tcPr>
          <w:p w14:paraId="2FCB1B63">
            <w:pPr>
              <w:pStyle w:val="8"/>
              <w:widowControl w:val="0"/>
              <w:spacing w:before="0" w:beforeAutospacing="0" w:after="0" w:afterAutospacing="0" w:line="360" w:lineRule="auto"/>
              <w:jc w:val="left"/>
              <w:rPr>
                <w:rFonts w:ascii="宋体" w:hAnsi="宋体"/>
                <w:b w:val="0"/>
                <w:sz w:val="24"/>
              </w:rPr>
            </w:pPr>
            <w:r>
              <w:rPr>
                <w:rFonts w:hint="eastAsia" w:ascii="宋体" w:hAnsi="宋体"/>
                <w:b w:val="0"/>
                <w:sz w:val="24"/>
                <w:u w:val="single"/>
              </w:rPr>
              <w:t>安徽省疾病预防控制中心</w:t>
            </w:r>
            <w:r>
              <w:rPr>
                <w:rFonts w:hint="eastAsia" w:ascii="宋体" w:hAnsi="宋体"/>
                <w:b w:val="0"/>
                <w:bCs w:val="0"/>
                <w:sz w:val="24"/>
                <w:u w:val="single"/>
              </w:rPr>
              <w:t>或采购人指定地点区。</w:t>
            </w:r>
            <w:r>
              <w:rPr>
                <w:rFonts w:hint="eastAsia" w:ascii="宋体" w:hAnsi="宋体"/>
                <w:b w:val="0"/>
                <w:sz w:val="24"/>
                <w:u w:val="single"/>
              </w:rPr>
              <w:t xml:space="preserve">   </w:t>
            </w:r>
          </w:p>
        </w:tc>
      </w:tr>
      <w:tr w14:paraId="0C1B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noWrap w:val="0"/>
            <w:vAlign w:val="center"/>
          </w:tcPr>
          <w:p w14:paraId="040A5A9C">
            <w:pPr>
              <w:pStyle w:val="7"/>
              <w:pBdr>
                <w:bottom w:val="none" w:color="auto" w:sz="0" w:space="0"/>
              </w:pBdr>
              <w:tabs>
                <w:tab w:val="clear" w:pos="4153"/>
                <w:tab w:val="clear" w:pos="8306"/>
              </w:tabs>
              <w:adjustRightInd/>
              <w:spacing w:line="240" w:lineRule="auto"/>
              <w:textAlignment w:val="auto"/>
              <w:rPr>
                <w:rFonts w:ascii="宋体" w:hAnsi="宋体"/>
                <w:bCs/>
                <w:kern w:val="2"/>
              </w:rPr>
            </w:pPr>
            <w:r>
              <w:rPr>
                <w:rFonts w:hint="eastAsia" w:ascii="宋体" w:hAnsi="宋体"/>
                <w:bCs/>
                <w:kern w:val="2"/>
              </w:rPr>
              <w:t>3</w:t>
            </w:r>
          </w:p>
        </w:tc>
        <w:tc>
          <w:tcPr>
            <w:tcW w:w="2025" w:type="dxa"/>
            <w:noWrap w:val="0"/>
            <w:vAlign w:val="center"/>
          </w:tcPr>
          <w:p w14:paraId="457A7305">
            <w:pPr>
              <w:pStyle w:val="8"/>
              <w:widowControl w:val="0"/>
              <w:spacing w:before="0" w:beforeAutospacing="0" w:after="0" w:afterAutospacing="0" w:line="360" w:lineRule="auto"/>
              <w:rPr>
                <w:rFonts w:ascii="宋体" w:hAnsi="宋体"/>
                <w:b w:val="0"/>
                <w:sz w:val="24"/>
              </w:rPr>
            </w:pPr>
            <w:r>
              <w:rPr>
                <w:rFonts w:hint="eastAsia" w:ascii="宋体" w:hAnsi="宋体"/>
                <w:b w:val="0"/>
                <w:sz w:val="24"/>
              </w:rPr>
              <w:t>服务期限</w:t>
            </w:r>
          </w:p>
        </w:tc>
        <w:tc>
          <w:tcPr>
            <w:tcW w:w="5466" w:type="dxa"/>
            <w:noWrap w:val="0"/>
            <w:vAlign w:val="center"/>
          </w:tcPr>
          <w:p w14:paraId="1779A1F6">
            <w:pPr>
              <w:pStyle w:val="8"/>
              <w:widowControl w:val="0"/>
              <w:spacing w:before="0" w:beforeAutospacing="0" w:after="0" w:afterAutospacing="0" w:line="360" w:lineRule="auto"/>
              <w:jc w:val="left"/>
              <w:rPr>
                <w:rFonts w:hint="eastAsia" w:ascii="宋体" w:hAnsi="宋体"/>
                <w:b w:val="0"/>
                <w:sz w:val="24"/>
                <w:u w:val="single"/>
              </w:rPr>
            </w:pPr>
            <w:r>
              <w:rPr>
                <w:rFonts w:hint="eastAsia" w:ascii="宋体" w:hAnsi="宋体"/>
                <w:b w:val="0"/>
                <w:sz w:val="24"/>
                <w:u w:val="single"/>
              </w:rPr>
              <w:t>合同签订后1年。</w:t>
            </w:r>
          </w:p>
        </w:tc>
      </w:tr>
      <w:tr w14:paraId="7DED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noWrap w:val="0"/>
            <w:vAlign w:val="center"/>
          </w:tcPr>
          <w:p w14:paraId="341A3E6E">
            <w:pPr>
              <w:pStyle w:val="7"/>
              <w:pBdr>
                <w:bottom w:val="none" w:color="auto" w:sz="0" w:space="0"/>
              </w:pBdr>
              <w:tabs>
                <w:tab w:val="clear" w:pos="4153"/>
                <w:tab w:val="clear" w:pos="8306"/>
              </w:tabs>
              <w:adjustRightInd/>
              <w:spacing w:line="240" w:lineRule="auto"/>
              <w:textAlignment w:val="auto"/>
              <w:rPr>
                <w:rFonts w:hint="eastAsia" w:ascii="宋体" w:hAnsi="宋体"/>
                <w:bCs/>
                <w:kern w:val="2"/>
              </w:rPr>
            </w:pPr>
            <w:r>
              <w:rPr>
                <w:rFonts w:hint="eastAsia" w:ascii="宋体" w:hAnsi="宋体"/>
                <w:bCs/>
                <w:kern w:val="2"/>
              </w:rPr>
              <w:t>4</w:t>
            </w:r>
          </w:p>
        </w:tc>
        <w:tc>
          <w:tcPr>
            <w:tcW w:w="2025" w:type="dxa"/>
            <w:noWrap w:val="0"/>
            <w:vAlign w:val="center"/>
          </w:tcPr>
          <w:p w14:paraId="7A221EC0">
            <w:pPr>
              <w:pStyle w:val="8"/>
              <w:widowControl w:val="0"/>
              <w:spacing w:before="0" w:beforeAutospacing="0" w:after="0" w:afterAutospacing="0" w:line="360" w:lineRule="auto"/>
              <w:rPr>
                <w:rFonts w:hint="eastAsia" w:ascii="宋体" w:hAnsi="宋体"/>
                <w:b w:val="0"/>
                <w:sz w:val="24"/>
              </w:rPr>
            </w:pPr>
            <w:r>
              <w:rPr>
                <w:rFonts w:hint="eastAsia" w:ascii="宋体" w:hAnsi="宋体"/>
                <w:b w:val="0"/>
                <w:sz w:val="24"/>
              </w:rPr>
              <w:t>本项目采购标的所属行业</w:t>
            </w:r>
          </w:p>
        </w:tc>
        <w:tc>
          <w:tcPr>
            <w:tcW w:w="5466" w:type="dxa"/>
            <w:noWrap w:val="0"/>
            <w:vAlign w:val="center"/>
          </w:tcPr>
          <w:p w14:paraId="09A1F5D0">
            <w:pPr>
              <w:widowControl/>
              <w:jc w:val="left"/>
              <w:rPr>
                <w:rFonts w:hint="eastAsia" w:ascii="宋体" w:hAnsi="宋体"/>
                <w:b/>
                <w:sz w:val="24"/>
                <w:u w:val="single"/>
              </w:rPr>
            </w:pPr>
            <w:r>
              <w:rPr>
                <w:rFonts w:hint="eastAsia" w:ascii="宋体" w:hAnsi="宋体"/>
                <w:sz w:val="24"/>
                <w:u w:val="single"/>
              </w:rPr>
              <w:t>软件和信息技术服务业</w:t>
            </w:r>
          </w:p>
        </w:tc>
      </w:tr>
    </w:tbl>
    <w:p w14:paraId="62BF1B82">
      <w:pPr>
        <w:spacing w:line="360" w:lineRule="auto"/>
        <w:ind w:firstLine="437"/>
        <w:jc w:val="left"/>
        <w:rPr>
          <w:rFonts w:ascii="宋体" w:hAnsi="宋体"/>
          <w:b/>
          <w:sz w:val="24"/>
          <w:szCs w:val="18"/>
        </w:rPr>
      </w:pPr>
      <w:r>
        <w:rPr>
          <w:rFonts w:hint="eastAsia" w:ascii="宋体" w:hAnsi="宋体"/>
          <w:b/>
          <w:sz w:val="24"/>
          <w:szCs w:val="18"/>
        </w:rPr>
        <w:t>二、项目概况</w:t>
      </w:r>
    </w:p>
    <w:p w14:paraId="0728DE10">
      <w:pPr>
        <w:spacing w:line="360" w:lineRule="auto"/>
        <w:ind w:firstLine="480" w:firstLineChars="200"/>
        <w:rPr>
          <w:rFonts w:hint="eastAsia" w:ascii="宋体" w:hAnsi="宋体" w:cs="宋体"/>
          <w:sz w:val="24"/>
          <w:szCs w:val="24"/>
        </w:rPr>
      </w:pPr>
      <w:r>
        <w:rPr>
          <w:rFonts w:hint="eastAsia" w:ascii="宋体" w:hAnsi="宋体" w:cs="宋体"/>
          <w:sz w:val="24"/>
          <w:szCs w:val="24"/>
        </w:rPr>
        <w:t>疾病预防控制体系是保护人民健康、保障公共卫生安全、维护经济社会稳定的重要保障。近年来，党中央、国务院及安徽省委、省人民政府关于改革完善疾控体系做出了一系列决策部署，先后发布了《国务院办公厅关于推动疾病预防控制事业高质量发展的指导意见》（国办发〔2023〕46号）、《关于印发全国疾病预防控制行动方案（2024—2025年）的通知》（国疾控规财发〔2024〕11号）、《安徽省人民政府办公厅关于推动疾病预防控制事业高质量发展的实施意见》（皖政办秘〔2024〕76号）等重要文件，推动我省疾控事业快速发展，也对疾控信息化建设提出了更高的要求。</w:t>
      </w:r>
    </w:p>
    <w:p w14:paraId="0395C4F6">
      <w:pPr>
        <w:spacing w:line="360" w:lineRule="auto"/>
        <w:ind w:firstLine="480" w:firstLineChars="200"/>
        <w:rPr>
          <w:rFonts w:hint="eastAsia" w:ascii="宋体" w:hAnsi="宋体" w:cs="宋体"/>
          <w:sz w:val="24"/>
          <w:szCs w:val="24"/>
        </w:rPr>
      </w:pPr>
      <w:r>
        <w:rPr>
          <w:rFonts w:hint="eastAsia" w:ascii="宋体" w:hAnsi="宋体" w:cs="宋体"/>
          <w:sz w:val="24"/>
          <w:szCs w:val="24"/>
        </w:rPr>
        <w:t>同时，随着国家和省有关政务信息化建设和网络安全管理的规范和要求迭代升级，数字化、人工智能、大数据应用、网络和信息化基础设施等新技术日新月异，特别是依据我省政务信息化项目建设管理有关规定，申报信息化项目需统筹规划和年度计划，针对不同的项目，需要编制相应的项目建设方案。</w:t>
      </w:r>
    </w:p>
    <w:p w14:paraId="60BB612F">
      <w:pPr>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为加强省疾控中心信息化顶层设计和统筹规划，优化提升省统筹区域传染病监测预警信息平台整体功能和可持续发展能力，充分发挥信息化、数智化优势，助力全省疾控事业发展，拟依法依规选择第三方规划设计咨询服务机构开展安徽省疾病预防控制中心信息化规划设计工作，提供规划咨询、调查研究、方案编制、指导规划落地等服务。</w:t>
      </w:r>
    </w:p>
    <w:p w14:paraId="52CC591A">
      <w:pPr>
        <w:spacing w:line="360" w:lineRule="auto"/>
        <w:ind w:firstLine="435"/>
        <w:jc w:val="left"/>
        <w:rPr>
          <w:rFonts w:ascii="宋体" w:hAnsi="宋体"/>
          <w:b/>
          <w:sz w:val="24"/>
          <w:szCs w:val="18"/>
        </w:rPr>
      </w:pPr>
      <w:r>
        <w:rPr>
          <w:rFonts w:hint="eastAsia" w:ascii="宋体" w:hAnsi="宋体"/>
          <w:b/>
          <w:sz w:val="24"/>
          <w:szCs w:val="18"/>
        </w:rPr>
        <w:t>三、项目主要内容</w:t>
      </w:r>
    </w:p>
    <w:p w14:paraId="00D7536A">
      <w:pPr>
        <w:pStyle w:val="3"/>
        <w:spacing w:before="183" w:line="219" w:lineRule="auto"/>
        <w:ind w:left="471"/>
        <w:outlineLvl w:val="1"/>
        <w:rPr>
          <w:rFonts w:hint="eastAsia" w:ascii="宋体" w:hAnsi="宋体" w:eastAsia="宋体" w:cs="宋体"/>
          <w:b/>
          <w:sz w:val="24"/>
          <w:lang w:val="en-US"/>
        </w:rPr>
      </w:pPr>
      <w:r>
        <w:rPr>
          <w:rFonts w:hint="eastAsia" w:ascii="宋体" w:hAnsi="宋体" w:eastAsia="宋体" w:cs="宋体"/>
          <w:b/>
          <w:sz w:val="24"/>
          <w:lang w:val="en-US"/>
        </w:rPr>
        <w:t>（一）服务年限及服务主要范围</w:t>
      </w:r>
    </w:p>
    <w:p w14:paraId="3A67EFEC">
      <w:pPr>
        <w:spacing w:line="360" w:lineRule="auto"/>
        <w:ind w:firstLine="480" w:firstLineChars="200"/>
        <w:rPr>
          <w:rFonts w:hint="eastAsia" w:ascii="宋体" w:hAnsi="宋体" w:cs="宋体"/>
          <w:sz w:val="24"/>
          <w:szCs w:val="24"/>
        </w:rPr>
      </w:pPr>
      <w:r>
        <w:rPr>
          <w:rFonts w:hint="eastAsia" w:ascii="宋体" w:hAnsi="宋体" w:cs="宋体"/>
          <w:sz w:val="24"/>
          <w:szCs w:val="24"/>
        </w:rPr>
        <w:t>本次服务的服务期限为合同签订后1年。项目实施过程中采购人根据国家、安徽省有关工作部署和新的要求确定服务范围，服务包括但不限于以下内容，</w:t>
      </w:r>
    </w:p>
    <w:p w14:paraId="7CFC95A0">
      <w:pPr>
        <w:spacing w:line="360" w:lineRule="auto"/>
        <w:ind w:firstLine="480" w:firstLineChars="200"/>
        <w:rPr>
          <w:rFonts w:hint="eastAsia" w:ascii="宋体" w:hAnsi="宋体" w:cs="宋体"/>
          <w:sz w:val="24"/>
          <w:szCs w:val="24"/>
        </w:rPr>
      </w:pPr>
      <w:r>
        <w:rPr>
          <w:rFonts w:hint="eastAsia" w:ascii="宋体" w:hAnsi="宋体" w:cs="宋体"/>
          <w:sz w:val="24"/>
          <w:szCs w:val="24"/>
        </w:rPr>
        <w:t>1.项目方案编制</w:t>
      </w:r>
    </w:p>
    <w:p w14:paraId="75FFDFEB">
      <w:pPr>
        <w:spacing w:line="360" w:lineRule="auto"/>
        <w:ind w:firstLine="480" w:firstLineChars="200"/>
        <w:rPr>
          <w:rFonts w:hint="eastAsia" w:ascii="宋体" w:hAnsi="宋体" w:cs="宋体"/>
          <w:sz w:val="24"/>
          <w:szCs w:val="24"/>
        </w:rPr>
      </w:pPr>
      <w:r>
        <w:rPr>
          <w:rFonts w:hint="eastAsia" w:ascii="宋体" w:hAnsi="宋体" w:cs="宋体"/>
          <w:sz w:val="24"/>
          <w:szCs w:val="24"/>
        </w:rPr>
        <w:t>按照省网信、发改、数据资源管理、信创、保密、财政、政府采购等管理部门有关规范和申报流程要求，根据采购人信息化项目申报需要，协助编制项目建议书、可行性研究报告等项目申报相关材料。</w:t>
      </w:r>
    </w:p>
    <w:p w14:paraId="21495A33">
      <w:pPr>
        <w:spacing w:line="360" w:lineRule="auto"/>
        <w:ind w:firstLine="480" w:firstLineChars="200"/>
        <w:rPr>
          <w:rFonts w:hint="eastAsia" w:ascii="宋体" w:hAnsi="宋体" w:cs="宋体"/>
          <w:sz w:val="24"/>
          <w:szCs w:val="24"/>
        </w:rPr>
      </w:pPr>
      <w:r>
        <w:rPr>
          <w:rFonts w:hint="eastAsia" w:ascii="宋体" w:hAnsi="宋体" w:cs="宋体"/>
          <w:sz w:val="24"/>
          <w:szCs w:val="24"/>
        </w:rPr>
        <w:t>2.信息化咨询服务</w:t>
      </w:r>
    </w:p>
    <w:p w14:paraId="4F0D9896">
      <w:pPr>
        <w:spacing w:line="360" w:lineRule="auto"/>
        <w:ind w:firstLine="480" w:firstLineChars="200"/>
        <w:rPr>
          <w:rFonts w:hint="eastAsia" w:ascii="宋体" w:hAnsi="宋体" w:cs="宋体"/>
          <w:sz w:val="24"/>
          <w:szCs w:val="24"/>
        </w:rPr>
      </w:pPr>
      <w:r>
        <w:rPr>
          <w:rFonts w:hint="eastAsia" w:ascii="宋体" w:hAnsi="宋体" w:cs="宋体"/>
          <w:sz w:val="24"/>
          <w:szCs w:val="24"/>
        </w:rPr>
        <w:t>根据有关工作要求和实际需要，提供政务信息化政策相关咨询服务，配合采购人推进信息化项目规划和建设。</w:t>
      </w:r>
    </w:p>
    <w:p w14:paraId="50249642">
      <w:pPr>
        <w:pStyle w:val="3"/>
        <w:spacing w:before="183" w:line="219" w:lineRule="auto"/>
        <w:ind w:left="471"/>
        <w:outlineLvl w:val="1"/>
        <w:rPr>
          <w:rFonts w:hint="eastAsia" w:ascii="宋体" w:hAnsi="宋体" w:eastAsia="宋体" w:cs="宋体"/>
          <w:b/>
          <w:sz w:val="24"/>
          <w:lang w:val="en-US"/>
        </w:rPr>
      </w:pPr>
      <w:r>
        <w:rPr>
          <w:rFonts w:hint="eastAsia" w:ascii="宋体" w:hAnsi="宋体" w:eastAsia="宋体" w:cs="宋体"/>
          <w:b/>
          <w:sz w:val="24"/>
          <w:lang w:val="en-US"/>
        </w:rPr>
        <w:t>（二）服务内容</w:t>
      </w:r>
    </w:p>
    <w:p w14:paraId="5532FA7E">
      <w:pPr>
        <w:spacing w:line="360" w:lineRule="auto"/>
        <w:ind w:firstLine="480" w:firstLineChars="200"/>
        <w:rPr>
          <w:rFonts w:hint="eastAsia" w:ascii="宋体" w:hAnsi="宋体" w:cs="宋体"/>
          <w:sz w:val="24"/>
          <w:szCs w:val="24"/>
        </w:rPr>
      </w:pPr>
      <w:r>
        <w:rPr>
          <w:rFonts w:hint="eastAsia" w:ascii="宋体" w:hAnsi="宋体" w:cs="宋体"/>
          <w:sz w:val="24"/>
          <w:szCs w:val="24"/>
        </w:rPr>
        <w:t>成交供应商提供的服务内容及成果要求包括但不限于：</w:t>
      </w:r>
    </w:p>
    <w:p w14:paraId="4980ED53">
      <w:pPr>
        <w:spacing w:line="360" w:lineRule="auto"/>
        <w:ind w:firstLine="480" w:firstLineChars="200"/>
        <w:rPr>
          <w:rFonts w:hint="eastAsia"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701040</wp:posOffset>
                </wp:positionV>
                <wp:extent cx="5274310" cy="9525"/>
                <wp:effectExtent l="0" t="0" r="0" b="0"/>
                <wp:wrapNone/>
                <wp:docPr id="4" name="任意多边形 4"/>
                <wp:cNvGraphicFramePr/>
                <a:graphic xmlns:a="http://schemas.openxmlformats.org/drawingml/2006/main">
                  <a:graphicData uri="http://schemas.microsoft.com/office/word/2010/wordprocessingShape">
                    <wps:wsp>
                      <wps:cNvSpPr/>
                      <wps:spPr>
                        <a:xfrm>
                          <a:off x="0" y="0"/>
                          <a:ext cx="5274310" cy="9525"/>
                        </a:xfrm>
                        <a:custGeom>
                          <a:avLst/>
                          <a:gdLst/>
                          <a:ahLst/>
                          <a:cxnLst/>
                          <a:rect l="0" t="0" r="0" b="0"/>
                          <a:pathLst>
                            <a:path w="8305" h="15">
                              <a:moveTo>
                                <a:pt x="0" y="0"/>
                              </a:moveTo>
                              <a:lnTo>
                                <a:pt x="8305" y="0"/>
                              </a:lnTo>
                              <a:lnTo>
                                <a:pt x="8305" y="14"/>
                              </a:lnTo>
                              <a:lnTo>
                                <a:pt x="0" y="14"/>
                              </a:lnTo>
                              <a:lnTo>
                                <a:pt x="0" y="0"/>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90pt;margin-top:55.2pt;height:0.75pt;width:415.3pt;mso-position-horizontal-relative:page;mso-position-vertical-relative:page;z-index:251659264;mso-width-relative:page;mso-height-relative:page;" fillcolor="#000000" filled="t" stroked="f" coordsize="8305,15" o:allowincell="f" o:gfxdata="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jzy6RdkAAAAM&#10;AQAADwAAAAAAAAABACAAAAAiAAAAZHJzL2Rvd25yZXYueG1sUEsBAhQAFAAAAAgAh07iQOP3t9sb&#10;AgAAqgQAAA4AAAAAAAAAAQAgAAAAKAEAAGRycy9lMm9Eb2MueG1sUEsFBgAAAAAGAAYAWQEAALUF&#10;AAAAAA==&#10;" path="m0,0l8305,0,8305,14,0,14,0,0xe">
                <v:path/>
                <v:fill on="t" focussize="0,0"/>
                <v:stroke on="f"/>
                <v:imagedata o:title=""/>
                <o:lock v:ext="edit" aspectratio="f"/>
              </v:shape>
            </w:pict>
          </mc:Fallback>
        </mc:AlternateContent>
      </w:r>
      <w:r>
        <w:rPr>
          <w:rFonts w:hint="eastAsia" w:ascii="宋体" w:hAnsi="宋体" w:cs="宋体"/>
          <w:sz w:val="24"/>
          <w:szCs w:val="24"/>
        </w:rPr>
        <w:t>1.编制项目可行性研究报告（项目建议书）</w:t>
      </w:r>
    </w:p>
    <w:p w14:paraId="5E49B4CE">
      <w:pPr>
        <w:spacing w:line="360" w:lineRule="auto"/>
        <w:ind w:firstLine="480" w:firstLineChars="200"/>
        <w:rPr>
          <w:rFonts w:hint="eastAsia" w:ascii="宋体" w:hAnsi="宋体" w:cs="宋体"/>
          <w:sz w:val="24"/>
          <w:szCs w:val="24"/>
        </w:rPr>
      </w:pPr>
      <w:r>
        <w:rPr>
          <w:rFonts w:hint="eastAsia" w:ascii="宋体" w:hAnsi="宋体" w:cs="宋体"/>
          <w:sz w:val="24"/>
          <w:szCs w:val="24"/>
        </w:rPr>
        <w:t>成交供应商按照省数据资源等信息化项目管理部门有关要求为采购人实分项分册编制项目可行性研究报告（项目建议书）。具体需要编制的项目可行性研究报告（项目建议书）数量、内容由采购人实际项目规划情况以及《安徽省政务信息化项目建设管理办法》、《安徽省政务信息化项目建设管理办法实施细则（试行）》、《安徽省省级政务信息化项目概算编制及审核要点（试行）》等上级主管部门最新要求和项目额度、类型等情况确定。</w:t>
      </w:r>
    </w:p>
    <w:p w14:paraId="02AA1F83">
      <w:pPr>
        <w:spacing w:line="360" w:lineRule="auto"/>
        <w:ind w:firstLine="480" w:firstLineChars="200"/>
        <w:rPr>
          <w:rFonts w:hint="eastAsia" w:ascii="宋体" w:hAnsi="宋体" w:cs="宋体"/>
          <w:sz w:val="24"/>
          <w:szCs w:val="24"/>
        </w:rPr>
      </w:pPr>
      <w:r>
        <w:rPr>
          <w:rFonts w:hint="eastAsia" w:ascii="宋体" w:hAnsi="宋体" w:cs="宋体"/>
          <w:sz w:val="24"/>
          <w:szCs w:val="24"/>
        </w:rPr>
        <w:t>2.编制投资概算</w:t>
      </w:r>
    </w:p>
    <w:p w14:paraId="24E57DEB">
      <w:pPr>
        <w:spacing w:line="360" w:lineRule="auto"/>
        <w:ind w:firstLine="480" w:firstLineChars="200"/>
        <w:rPr>
          <w:rFonts w:hint="eastAsia" w:ascii="宋体" w:hAnsi="宋体" w:cs="宋体"/>
          <w:sz w:val="24"/>
          <w:szCs w:val="24"/>
        </w:rPr>
      </w:pPr>
      <w:r>
        <w:rPr>
          <w:rFonts w:hint="eastAsia" w:ascii="宋体" w:hAnsi="宋体" w:cs="宋体"/>
          <w:sz w:val="24"/>
          <w:szCs w:val="24"/>
        </w:rPr>
        <w:t>成交供应商按照省数据资源等管理部门有关要求，按照采购人实际工作需求，编制项目投资概算方案，合理测算项目所涉及到的详设设计费用、系统开发费用、运维培训费用、监理服务费用、安全保障费用及其他必要的费用支出，确保概算的全面性、前瞻性、科学性和可操作性。</w:t>
      </w:r>
    </w:p>
    <w:p w14:paraId="3DF50390">
      <w:pPr>
        <w:spacing w:line="360" w:lineRule="auto"/>
        <w:ind w:firstLine="480" w:firstLineChars="200"/>
        <w:rPr>
          <w:rFonts w:hint="eastAsia" w:ascii="宋体" w:hAnsi="宋体" w:cs="宋体"/>
          <w:sz w:val="24"/>
          <w:szCs w:val="24"/>
        </w:rPr>
      </w:pPr>
      <w:r>
        <w:rPr>
          <w:rFonts w:hint="eastAsia" w:ascii="宋体" w:hAnsi="宋体" w:cs="宋体"/>
          <w:sz w:val="24"/>
          <w:szCs w:val="24"/>
        </w:rPr>
        <w:t>3.咨询服务</w:t>
      </w:r>
    </w:p>
    <w:p w14:paraId="10A4CA7A">
      <w:pPr>
        <w:spacing w:line="360" w:lineRule="auto"/>
        <w:ind w:firstLine="480" w:firstLineChars="200"/>
        <w:rPr>
          <w:rFonts w:hint="eastAsia" w:ascii="宋体" w:hAnsi="宋体" w:cs="宋体"/>
          <w:sz w:val="24"/>
          <w:szCs w:val="24"/>
        </w:rPr>
      </w:pPr>
      <w:r>
        <w:rPr>
          <w:rFonts w:hint="eastAsia" w:ascii="宋体" w:hAnsi="宋体" w:cs="宋体"/>
          <w:sz w:val="24"/>
          <w:szCs w:val="24"/>
        </w:rPr>
        <w:t>根据有关工作要求和实际需要，提供政务信息化政策相关咨询服务，配合采购人推进信息化项目。</w:t>
      </w:r>
    </w:p>
    <w:p w14:paraId="45E42207">
      <w:pPr>
        <w:spacing w:line="360" w:lineRule="auto"/>
        <w:ind w:firstLine="482" w:firstLineChars="200"/>
        <w:rPr>
          <w:rFonts w:hint="eastAsia" w:ascii="宋体" w:hAnsi="宋体" w:cs="宋体"/>
          <w:b/>
          <w:sz w:val="24"/>
          <w:szCs w:val="24"/>
        </w:rPr>
      </w:pPr>
      <w:r>
        <w:rPr>
          <w:rFonts w:hint="eastAsia" w:ascii="宋体" w:hAnsi="宋体" w:cs="宋体"/>
          <w:b/>
          <w:sz w:val="24"/>
          <w:szCs w:val="24"/>
        </w:rPr>
        <w:t>四、项目服务要求</w:t>
      </w:r>
    </w:p>
    <w:p w14:paraId="36D21844">
      <w:pPr>
        <w:pStyle w:val="3"/>
        <w:spacing w:before="183" w:line="219" w:lineRule="auto"/>
        <w:ind w:left="471"/>
        <w:outlineLvl w:val="1"/>
        <w:rPr>
          <w:rFonts w:hint="eastAsia" w:ascii="宋体" w:hAnsi="宋体" w:eastAsia="宋体" w:cs="宋体"/>
          <w:b/>
          <w:sz w:val="24"/>
          <w:lang w:val="en-US"/>
        </w:rPr>
      </w:pPr>
      <w:r>
        <w:rPr>
          <w:rFonts w:hint="eastAsia" w:ascii="宋体" w:hAnsi="宋体" w:eastAsia="宋体" w:cs="宋体"/>
          <w:b/>
          <w:sz w:val="24"/>
          <w:lang w:val="en-US"/>
        </w:rPr>
        <w:t>（一）总体原则</w:t>
      </w:r>
    </w:p>
    <w:p w14:paraId="4C7E4DB7">
      <w:pPr>
        <w:spacing w:line="360" w:lineRule="auto"/>
        <w:ind w:firstLine="480" w:firstLineChars="200"/>
        <w:rPr>
          <w:rFonts w:hint="eastAsia" w:ascii="宋体" w:hAnsi="宋体" w:cs="宋体"/>
          <w:sz w:val="24"/>
          <w:szCs w:val="24"/>
        </w:rPr>
      </w:pPr>
      <w:r>
        <w:rPr>
          <w:rFonts w:hint="eastAsia" w:ascii="宋体" w:hAnsi="宋体" w:cs="宋体"/>
          <w:sz w:val="24"/>
          <w:szCs w:val="24"/>
        </w:rPr>
        <w:t>（1）规范性：规划设计成果完整且规范，具备可操作性和可实施性，符合国家、安徽省及相关行业主管部门相关规定和标准。</w:t>
      </w:r>
    </w:p>
    <w:p w14:paraId="1BFB4239">
      <w:pPr>
        <w:spacing w:line="360" w:lineRule="auto"/>
        <w:ind w:firstLine="480" w:firstLineChars="200"/>
        <w:rPr>
          <w:rFonts w:hint="eastAsia" w:ascii="宋体" w:hAnsi="宋体" w:cs="宋体"/>
          <w:sz w:val="24"/>
          <w:szCs w:val="24"/>
        </w:rPr>
      </w:pPr>
      <w:r>
        <w:rPr>
          <w:rFonts w:hint="eastAsia" w:ascii="宋体" w:hAnsi="宋体" w:cs="宋体"/>
          <w:sz w:val="24"/>
          <w:szCs w:val="24"/>
        </w:rPr>
        <w:t>（2）系统性：规划设计成果具有系统性，需要充分考虑已建内容和规划内容之间的逻辑关系，使各项建设内容达到合理、可靠、安全、经济的目的。</w:t>
      </w:r>
    </w:p>
    <w:p w14:paraId="76358B68">
      <w:pPr>
        <w:spacing w:line="360" w:lineRule="auto"/>
        <w:ind w:firstLine="480" w:firstLineChars="200"/>
        <w:rPr>
          <w:rFonts w:hint="eastAsia" w:ascii="宋体" w:hAnsi="宋体" w:cs="宋体"/>
          <w:sz w:val="24"/>
          <w:szCs w:val="24"/>
        </w:rPr>
      </w:pPr>
      <w:r>
        <w:rPr>
          <w:rFonts w:hint="eastAsia" w:ascii="宋体" w:hAnsi="宋体" w:cs="宋体"/>
          <w:sz w:val="24"/>
          <w:szCs w:val="24"/>
        </w:rPr>
        <w:t>（3）前瞻性：规划设计成果应具有一定的前瞻性，符合行业发展前景。</w:t>
      </w:r>
    </w:p>
    <w:p w14:paraId="6DCA5837">
      <w:pPr>
        <w:spacing w:line="360" w:lineRule="auto"/>
        <w:ind w:firstLine="480" w:firstLineChars="200"/>
        <w:rPr>
          <w:rFonts w:hint="eastAsia" w:ascii="宋体" w:hAnsi="宋体" w:cs="宋体"/>
          <w:sz w:val="24"/>
          <w:szCs w:val="24"/>
        </w:rPr>
      </w:pPr>
      <w:r>
        <w:rPr>
          <w:rFonts w:hint="eastAsia" w:ascii="宋体" w:hAnsi="宋体" w:cs="宋体"/>
          <w:sz w:val="24"/>
          <w:szCs w:val="24"/>
        </w:rPr>
        <w:t>（4）一体化：规划设计成果应符合安徽省政务信息化建设管理统一建设思路、总体架构和建设原则。</w:t>
      </w:r>
    </w:p>
    <w:p w14:paraId="2378099C">
      <w:pPr>
        <w:pStyle w:val="3"/>
        <w:spacing w:before="183" w:line="219" w:lineRule="auto"/>
        <w:ind w:left="471"/>
        <w:outlineLvl w:val="1"/>
        <w:rPr>
          <w:rFonts w:hint="eastAsia" w:ascii="宋体" w:hAnsi="宋体" w:eastAsia="宋体" w:cs="宋体"/>
          <w:b/>
          <w:sz w:val="24"/>
          <w:lang w:val="en-US"/>
        </w:rPr>
      </w:pPr>
      <w:r>
        <w:rPr>
          <w:rFonts w:hint="eastAsia" w:ascii="宋体" w:hAnsi="宋体" w:eastAsia="宋体" w:cs="宋体"/>
          <w:b/>
          <w:sz w:val="24"/>
          <w:lang w:val="en-US"/>
        </w:rPr>
        <w:t>（二）人员要求</w:t>
      </w:r>
    </w:p>
    <w:p w14:paraId="2D9FE47B">
      <w:pPr>
        <w:spacing w:line="360" w:lineRule="auto"/>
        <w:ind w:firstLine="480" w:firstLineChars="200"/>
        <w:rPr>
          <w:rFonts w:hint="eastAsia" w:ascii="宋体" w:hAnsi="宋体" w:cs="宋体"/>
          <w:sz w:val="24"/>
          <w:szCs w:val="24"/>
        </w:rPr>
      </w:pPr>
      <w:r>
        <w:rPr>
          <w:rFonts w:hint="eastAsia" w:ascii="宋体" w:hAnsi="宋体" w:cs="宋体"/>
          <w:sz w:val="24"/>
          <w:szCs w:val="24"/>
        </w:rPr>
        <w:t>成交供应商应成立专门负责本项目的团队，团队成员不少于3人（其中含项目经理1人，项目经理应具备丰富的信息化等相关行业规划设计经验，具有良好的沟通能力和管理能力，对本项目负全责）。</w:t>
      </w:r>
    </w:p>
    <w:p w14:paraId="049ACB57">
      <w:pPr>
        <w:spacing w:line="360" w:lineRule="auto"/>
        <w:ind w:firstLine="480" w:firstLineChars="200"/>
        <w:rPr>
          <w:rFonts w:hint="eastAsia" w:ascii="宋体" w:hAnsi="宋体" w:cs="宋体"/>
          <w:sz w:val="24"/>
          <w:szCs w:val="24"/>
        </w:rPr>
      </w:pPr>
      <w:r>
        <w:rPr>
          <w:rFonts w:hint="eastAsia" w:ascii="宋体" w:hAnsi="宋体" w:cs="宋体"/>
          <w:sz w:val="24"/>
          <w:szCs w:val="24"/>
        </w:rPr>
        <w:t>合同期内应保持团队成员的稳定，原则上不更换团队成员。如因不可抗力确需更换，成交供应商应至少提前1个月向采购人提出申请，经采购人同意后方可更换，更换后人员的资质及项目经验等不得低于更换前。</w:t>
      </w:r>
    </w:p>
    <w:p w14:paraId="00FDBA31">
      <w:pPr>
        <w:pStyle w:val="3"/>
        <w:spacing w:before="183" w:line="219" w:lineRule="auto"/>
        <w:ind w:left="471"/>
        <w:outlineLvl w:val="1"/>
        <w:rPr>
          <w:rFonts w:hint="eastAsia" w:ascii="宋体" w:hAnsi="宋体" w:eastAsia="宋体" w:cs="宋体"/>
          <w:b/>
          <w:sz w:val="24"/>
          <w:lang w:val="en-US"/>
        </w:rPr>
      </w:pPr>
      <w:r>
        <w:rPr>
          <w:rFonts w:hint="eastAsia" w:ascii="宋体" w:hAnsi="宋体" w:eastAsia="宋体" w:cs="宋体"/>
          <w:b/>
          <w:sz w:val="24"/>
          <w:lang w:val="en-US"/>
        </w:rPr>
        <w:t>（三）文档管理要求</w:t>
      </w:r>
    </w:p>
    <w:p w14:paraId="3F09F02E">
      <w:pPr>
        <w:spacing w:line="360" w:lineRule="auto"/>
        <w:ind w:firstLine="480" w:firstLineChars="200"/>
        <w:rPr>
          <w:rFonts w:hint="eastAsia" w:ascii="宋体" w:hAnsi="宋体" w:cs="宋体"/>
          <w:sz w:val="24"/>
          <w:szCs w:val="24"/>
        </w:rPr>
      </w:pPr>
      <w:r>
        <w:rPr>
          <w:rFonts w:hint="eastAsia" w:ascii="宋体" w:hAnsi="宋体" w:cs="宋体"/>
          <w:sz w:val="24"/>
          <w:szCs w:val="24"/>
        </w:rPr>
        <w:t>采购人制定并健全运维文档管理制度，成交供应商必须严格遵照执行。成交供应商应及时整理文档资料并按时提供给采购人。每个项目编制的可行性研究报告（项目建议书）至少含纸质文件3套、电子资料1套，具体数量根据工作任务数量确定。项目编制或报批实施过程中所需的文本文档资料，根据相关要求由成交供应商按需据实编印。</w:t>
      </w:r>
    </w:p>
    <w:p w14:paraId="5525B7F5">
      <w:pPr>
        <w:pStyle w:val="3"/>
        <w:spacing w:before="183" w:line="219" w:lineRule="auto"/>
        <w:ind w:left="471"/>
        <w:outlineLvl w:val="1"/>
        <w:rPr>
          <w:rFonts w:hint="eastAsia" w:ascii="宋体" w:hAnsi="宋体" w:eastAsia="宋体" w:cs="宋体"/>
          <w:b/>
          <w:sz w:val="24"/>
          <w:lang w:val="en-US"/>
        </w:rPr>
      </w:pPr>
      <w:r>
        <w:rPr>
          <w:rFonts w:hint="eastAsia" w:ascii="宋体" w:hAnsi="宋体" w:eastAsia="宋体" w:cs="宋体"/>
          <w:b/>
          <w:sz w:val="24"/>
          <w:lang w:val="en-US"/>
        </w:rPr>
        <w:t>（四）服务保障</w:t>
      </w:r>
    </w:p>
    <w:p w14:paraId="53B06869">
      <w:pPr>
        <w:spacing w:line="360" w:lineRule="auto"/>
        <w:ind w:firstLine="480" w:firstLineChars="200"/>
        <w:rPr>
          <w:rFonts w:hint="eastAsia" w:ascii="宋体" w:hAnsi="宋体" w:cs="宋体"/>
          <w:sz w:val="24"/>
          <w:szCs w:val="24"/>
        </w:rPr>
      </w:pPr>
      <w:r>
        <w:rPr>
          <w:rFonts w:hint="eastAsia" w:ascii="宋体" w:hAnsi="宋体" w:cs="宋体"/>
          <w:sz w:val="24"/>
          <w:szCs w:val="24"/>
        </w:rPr>
        <w:t>合同期内，成交供应商应按采购人要求提供提供7×24小时服务（含电话、微信等在线方式），必要时到采购人单位现场办公，按照采购人要求及时响应并提供本项目规定范围内的咨询服务与技术支持。</w:t>
      </w:r>
    </w:p>
    <w:p w14:paraId="00B08C7F">
      <w:pPr>
        <w:pStyle w:val="3"/>
        <w:spacing w:before="183" w:line="219" w:lineRule="auto"/>
        <w:ind w:left="471"/>
        <w:outlineLvl w:val="1"/>
        <w:rPr>
          <w:rFonts w:hint="eastAsia" w:ascii="宋体" w:hAnsi="宋体" w:eastAsia="宋体" w:cs="宋体"/>
          <w:b/>
          <w:sz w:val="24"/>
          <w:lang w:val="en-US"/>
        </w:rPr>
      </w:pPr>
      <w:r>
        <w:rPr>
          <w:rFonts w:hint="eastAsia" w:ascii="宋体" w:hAnsi="宋体" w:eastAsia="宋体" w:cs="宋体"/>
          <w:b/>
          <w:sz w:val="24"/>
          <w:lang w:val="en-US"/>
        </w:rPr>
        <w:t>（五）知识产权</w:t>
      </w:r>
    </w:p>
    <w:p w14:paraId="1FFB3C64">
      <w:pPr>
        <w:spacing w:line="360" w:lineRule="auto"/>
        <w:ind w:firstLine="480" w:firstLineChars="200"/>
        <w:rPr>
          <w:rFonts w:hint="eastAsia" w:ascii="宋体" w:hAnsi="宋体" w:cs="宋体"/>
          <w:sz w:val="24"/>
          <w:szCs w:val="24"/>
        </w:rPr>
      </w:pPr>
      <w:r>
        <w:rPr>
          <w:rFonts w:hint="eastAsia" w:ascii="宋体" w:hAnsi="宋体" w:cs="宋体"/>
          <w:sz w:val="24"/>
          <w:szCs w:val="24"/>
        </w:rPr>
        <w:t>采购人拥有本项目除第三方产品外所有工作件、交付品文档、定制软件、应用系统软件、数据资源及其他附属产品的知识产权，未经采购人许可，成交供应商不得用于第三方。项目实施过程中所收集、产生的所有与本项目相关文档、源代码、资料，包括文字、图片、表格、数字等各种形式所属权均归属采购人。</w:t>
      </w:r>
    </w:p>
    <w:p w14:paraId="3171EB54">
      <w:pPr>
        <w:spacing w:line="360" w:lineRule="auto"/>
        <w:ind w:firstLine="480" w:firstLineChars="200"/>
        <w:rPr>
          <w:rFonts w:hint="eastAsia" w:ascii="宋体" w:hAnsi="宋体" w:cs="宋体"/>
          <w:sz w:val="24"/>
          <w:szCs w:val="24"/>
        </w:rPr>
      </w:pPr>
      <w:r>
        <w:rPr>
          <w:rFonts w:hint="eastAsia" w:ascii="宋体" w:hAnsi="宋体" w:cs="宋体"/>
          <w:sz w:val="24"/>
          <w:szCs w:val="24"/>
        </w:rPr>
        <w:t>成交供应商应保证提供给采购人使用的货物及服务或其中的任何一部分时，免受第三方提出的侵犯其知识产权的索赔或诉讼。如有任何上述指控，成交供应商应独自承担可能发生的一切法律责任和费用。</w:t>
      </w:r>
    </w:p>
    <w:p w14:paraId="7EDB508B">
      <w:pPr>
        <w:pStyle w:val="3"/>
        <w:spacing w:before="183" w:line="219" w:lineRule="auto"/>
        <w:ind w:left="471"/>
        <w:outlineLvl w:val="1"/>
        <w:rPr>
          <w:rFonts w:hint="eastAsia" w:ascii="宋体" w:hAnsi="宋体" w:eastAsia="宋体" w:cs="宋体"/>
          <w:b/>
          <w:sz w:val="24"/>
          <w:lang w:val="en-US"/>
        </w:rPr>
      </w:pPr>
      <w:r>
        <w:rPr>
          <w:rFonts w:hint="eastAsia" w:ascii="宋体" w:hAnsi="宋体" w:eastAsia="宋体" w:cs="宋体"/>
          <w:b/>
          <w:sz w:val="24"/>
          <w:lang w:val="en-US"/>
        </w:rPr>
        <w:t>（六）保密要求</w:t>
      </w:r>
    </w:p>
    <w:p w14:paraId="47A0CABE">
      <w:pPr>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成交供应商必须对项目技术文件、采购人提供的所有内部资料、技术文档、系统数据（包含原始数据和衍生数据）和信息予以保密。成交供应商必须与采购人签订保密协议并严格遵守。</w:t>
      </w:r>
    </w:p>
    <w:p w14:paraId="0639BC3A">
      <w:pPr>
        <w:spacing w:line="360" w:lineRule="auto"/>
        <w:ind w:firstLine="437"/>
        <w:jc w:val="left"/>
        <w:rPr>
          <w:rFonts w:hint="eastAsia" w:ascii="宋体" w:hAnsi="宋体"/>
          <w:b/>
          <w:sz w:val="24"/>
          <w:szCs w:val="18"/>
        </w:rPr>
      </w:pPr>
      <w:r>
        <w:rPr>
          <w:rFonts w:hint="eastAsia" w:ascii="宋体" w:hAnsi="宋体"/>
          <w:b/>
          <w:sz w:val="24"/>
          <w:szCs w:val="18"/>
        </w:rPr>
        <w:t>五、项目验收</w:t>
      </w:r>
    </w:p>
    <w:p w14:paraId="0E9B0CE1">
      <w:pPr>
        <w:spacing w:line="360" w:lineRule="auto"/>
        <w:ind w:firstLine="480" w:firstLineChars="200"/>
        <w:rPr>
          <w:rFonts w:hint="eastAsia" w:ascii="宋体" w:hAnsi="宋体" w:cs="宋体"/>
          <w:sz w:val="24"/>
          <w:szCs w:val="24"/>
        </w:rPr>
      </w:pPr>
      <w:r>
        <w:rPr>
          <w:rFonts w:hint="eastAsia" w:ascii="宋体" w:hAnsi="宋体" w:cs="宋体"/>
          <w:sz w:val="24"/>
          <w:szCs w:val="24"/>
        </w:rPr>
        <w:t>本项目合同期结束前，成交供应商向采购人提出验收申请，采购人根据合同约定、磋商文件及采购人的相关管理制度等规定制定验收方案，明确项目验收的时间、方式、程序等内容，组织开展项目验收并根据验收结论、日常管理绩效考核结果等情况组织并确定最终结算金额。成交供应商应根据验收方案做好相应配合工作，及时完整收集、整理验收成果及关联的文档资料等。</w:t>
      </w:r>
    </w:p>
    <w:p w14:paraId="26F35B0D">
      <w:pPr>
        <w:spacing w:line="360" w:lineRule="auto"/>
        <w:ind w:firstLine="437"/>
        <w:jc w:val="left"/>
        <w:rPr>
          <w:rFonts w:hint="eastAsia" w:ascii="宋体" w:hAnsi="宋体"/>
          <w:b/>
          <w:sz w:val="24"/>
          <w:szCs w:val="18"/>
        </w:rPr>
      </w:pPr>
      <w:r>
        <w:rPr>
          <w:rFonts w:hint="eastAsia" w:ascii="宋体" w:hAnsi="宋体"/>
          <w:b/>
          <w:sz w:val="24"/>
          <w:szCs w:val="18"/>
        </w:rPr>
        <w:t>六、报价要求</w:t>
      </w:r>
    </w:p>
    <w:p w14:paraId="691E391A">
      <w:r>
        <w:rPr>
          <w:rFonts w:hint="eastAsia" w:ascii="宋体" w:hAnsi="宋体" w:cs="宋体"/>
          <w:sz w:val="24"/>
          <w:szCs w:val="24"/>
        </w:rPr>
        <w:t>本项目报总价，报价包含为完成本项目所需的一切费用，包括但不限于人工成本、设备费用、材料费用、差旅费用、培训费用、售后服务费用、税金及其他可能发生的全部费用。供应商应根据项目实际需求，综合考虑各项成本及风险因素，合理测算并谨慎报价</w:t>
      </w:r>
      <w:r>
        <w:rPr>
          <w:rFonts w:hint="eastAsia" w:ascii="宋体" w:hAnsi="宋体" w:cs="宋体"/>
          <w:sz w:val="24"/>
          <w:szCs w:val="24"/>
          <w:lang w:val="zh-CN"/>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A52054"/>
    <w:rsid w:val="52A52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宋体" w:cs="@仿宋_GB2312"/>
      <w:kern w:val="2"/>
      <w:sz w:val="21"/>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4">
    <w:name w:val="header"/>
    <w:basedOn w:val="1"/>
    <w:unhideWhenUsed/>
    <w:uiPriority w:val="0"/>
    <w:pPr>
      <w:pBdr>
        <w:bottom w:val="single" w:color="auto" w:sz="6" w:space="1"/>
      </w:pBdr>
      <w:tabs>
        <w:tab w:val="center" w:pos="4153"/>
        <w:tab w:val="right" w:pos="8306"/>
      </w:tabs>
      <w:snapToGrid w:val="0"/>
      <w:jc w:val="center"/>
    </w:pPr>
    <w:rPr>
      <w:sz w:val="18"/>
      <w:szCs w:val="18"/>
    </w:rPr>
  </w:style>
  <w:style w:type="paragraph" w:customStyle="1" w:styleId="7">
    <w:name w:val="D&amp;L"/>
    <w:basedOn w:val="4"/>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2026-03-04T06:00:00Z</dcterms:created>
  <dc:creator>森</dc:creator>
  <cp:lastModifiedBy>森</cp:lastModifiedBy>
  <dcterms:modified xsi:type="dcterms:W3CDTF">2026-03-04T06:09:38Z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B65B47407793441DA58F159855E16227_11</vt:lpwstr>
  </property>
  <property fmtid="{D5CDD505-2E9C-101B-9397-08002B2CF9AE}" pid="4" name="KSOTemplateDocerSaveRecord">
    <vt:lpwstr>eyJoZGlkIjoiOTc3M2Y5NzIzMDFlZjAyY2Q4Njk5ODkyYjFjNzBiNTQiLCJ1c2VySWQiOiI0MzAwMTYzNzkifQ==</vt:lpwstr>
  </property>
</Properties>
</file>