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3574F">
      <w:pPr>
        <w:pStyle w:val="2"/>
        <w:jc w:val="center"/>
        <w:rPr>
          <w:rFonts w:hint="eastAsia" w:ascii="华文中宋" w:hAnsi="华文中宋" w:eastAsia="华文中宋" w:cs="Times New Roman"/>
        </w:rPr>
      </w:pPr>
      <w:bookmarkStart w:id="0" w:name="_Toc2442"/>
      <w:r>
        <w:rPr>
          <w:rFonts w:hint="eastAsia" w:ascii="华文中宋" w:hAnsi="华文中宋" w:eastAsia="华文中宋" w:cs="Times New Roman"/>
        </w:rPr>
        <w:t>第三章  采购需求</w:t>
      </w:r>
      <w:bookmarkEnd w:id="0"/>
    </w:p>
    <w:p w14:paraId="193C8BD9">
      <w:pPr>
        <w:wordWrap w:val="0"/>
        <w:spacing w:line="360" w:lineRule="auto"/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前注：</w:t>
      </w:r>
    </w:p>
    <w:p w14:paraId="723235C7">
      <w:pPr>
        <w:wordWrap w:val="0"/>
        <w:spacing w:line="360" w:lineRule="auto"/>
        <w:ind w:firstLine="437"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本说明中提出的</w:t>
      </w:r>
      <w:r>
        <w:rPr>
          <w:rFonts w:hint="eastAsia" w:ascii="宋体" w:hAnsi="宋体" w:eastAsia="宋体"/>
          <w:sz w:val="24"/>
        </w:rPr>
        <w:t>技术</w:t>
      </w:r>
      <w:r>
        <w:rPr>
          <w:rFonts w:ascii="宋体" w:hAnsi="宋体" w:eastAsia="宋体"/>
          <w:sz w:val="24"/>
        </w:rPr>
        <w:t>方案仅为参考，如无明确限制，供应商可以进行优化，提供满足用户实际需要的更优（或者性能实质上不低于的）</w:t>
      </w:r>
      <w:r>
        <w:rPr>
          <w:rFonts w:hint="eastAsia" w:ascii="宋体" w:hAnsi="宋体" w:eastAsia="宋体"/>
          <w:sz w:val="24"/>
        </w:rPr>
        <w:t>技术</w:t>
      </w:r>
      <w:r>
        <w:rPr>
          <w:rFonts w:ascii="宋体" w:hAnsi="宋体" w:eastAsia="宋体"/>
          <w:sz w:val="24"/>
        </w:rPr>
        <w:t>方案，且此方案须经</w:t>
      </w:r>
      <w:r>
        <w:rPr>
          <w:rFonts w:hint="eastAsia" w:ascii="宋体" w:hAnsi="宋体" w:eastAsia="宋体"/>
          <w:sz w:val="24"/>
        </w:rPr>
        <w:t>比选</w:t>
      </w:r>
      <w:r>
        <w:rPr>
          <w:rFonts w:ascii="宋体" w:hAnsi="宋体" w:eastAsia="宋体"/>
          <w:sz w:val="24"/>
        </w:rPr>
        <w:t>小组评审认可</w:t>
      </w:r>
      <w:r>
        <w:rPr>
          <w:rFonts w:hint="eastAsia" w:ascii="宋体" w:hAnsi="宋体" w:eastAsia="宋体"/>
          <w:sz w:val="24"/>
        </w:rPr>
        <w:t>。</w:t>
      </w:r>
    </w:p>
    <w:p w14:paraId="37EC5E45">
      <w:pPr>
        <w:wordWrap w:val="0"/>
        <w:spacing w:line="360" w:lineRule="auto"/>
        <w:ind w:firstLine="437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br w:type="page"/>
      </w:r>
      <w:r>
        <w:rPr>
          <w:rFonts w:hint="eastAsia" w:ascii="宋体" w:hAnsi="宋体" w:eastAsia="宋体"/>
          <w:b/>
          <w:sz w:val="28"/>
          <w:szCs w:val="28"/>
        </w:rPr>
        <w:t>一、采购需求前附表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054"/>
        <w:gridCol w:w="5544"/>
      </w:tblGrid>
      <w:tr w14:paraId="5BE79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6A2C6196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2054" w:type="dxa"/>
            <w:noWrap w:val="0"/>
            <w:vAlign w:val="center"/>
          </w:tcPr>
          <w:p w14:paraId="73DB0238">
            <w:pPr>
              <w:pStyle w:val="7"/>
              <w:widowControl w:val="0"/>
              <w:wordWrap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5544" w:type="dxa"/>
            <w:noWrap w:val="0"/>
            <w:vAlign w:val="center"/>
          </w:tcPr>
          <w:p w14:paraId="5AFBA7CC">
            <w:pPr>
              <w:pStyle w:val="7"/>
              <w:widowControl w:val="0"/>
              <w:wordWrap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4803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0052DD92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2054" w:type="dxa"/>
            <w:noWrap w:val="0"/>
            <w:vAlign w:val="center"/>
          </w:tcPr>
          <w:p w14:paraId="24FAF30F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付款方式</w:t>
            </w:r>
          </w:p>
        </w:tc>
        <w:tc>
          <w:tcPr>
            <w:tcW w:w="5544" w:type="dxa"/>
            <w:noWrap w:val="0"/>
            <w:vAlign w:val="center"/>
          </w:tcPr>
          <w:p w14:paraId="7505F6A0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本项目据实结算。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合同执行完毕并经采购人验收合格后据实结算一次性付清。</w:t>
            </w:r>
          </w:p>
        </w:tc>
      </w:tr>
      <w:tr w14:paraId="607A2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66180AAC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2054" w:type="dxa"/>
            <w:noWrap w:val="0"/>
            <w:vAlign w:val="center"/>
          </w:tcPr>
          <w:p w14:paraId="51148DDA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供货及安装地点</w:t>
            </w:r>
          </w:p>
        </w:tc>
        <w:tc>
          <w:tcPr>
            <w:tcW w:w="5544" w:type="dxa"/>
            <w:noWrap w:val="0"/>
            <w:vAlign w:val="center"/>
          </w:tcPr>
          <w:p w14:paraId="1F742C94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安徽省疾病预防控制中心或采购人指定地点。</w:t>
            </w:r>
          </w:p>
        </w:tc>
      </w:tr>
      <w:tr w14:paraId="35DD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1067F6C9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2054" w:type="dxa"/>
            <w:noWrap w:val="0"/>
            <w:vAlign w:val="center"/>
          </w:tcPr>
          <w:p w14:paraId="6A7D5564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供货及安装期限</w:t>
            </w:r>
          </w:p>
        </w:tc>
        <w:tc>
          <w:tcPr>
            <w:tcW w:w="5544" w:type="dxa"/>
            <w:noWrap w:val="0"/>
            <w:vAlign w:val="center"/>
          </w:tcPr>
          <w:p w14:paraId="4CEC3371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合同签订生效后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60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日历天内完成供货并经验收合格。</w:t>
            </w:r>
          </w:p>
        </w:tc>
      </w:tr>
      <w:tr w14:paraId="6F51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noWrap w:val="0"/>
            <w:vAlign w:val="center"/>
          </w:tcPr>
          <w:p w14:paraId="5D4F0A9F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4</w:t>
            </w:r>
          </w:p>
        </w:tc>
        <w:tc>
          <w:tcPr>
            <w:tcW w:w="2054" w:type="dxa"/>
            <w:noWrap w:val="0"/>
            <w:vAlign w:val="center"/>
          </w:tcPr>
          <w:p w14:paraId="30D716EF">
            <w:pPr>
              <w:pStyle w:val="7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免费质保期</w:t>
            </w:r>
          </w:p>
        </w:tc>
        <w:tc>
          <w:tcPr>
            <w:tcW w:w="5544" w:type="dxa"/>
            <w:noWrap w:val="0"/>
            <w:vAlign w:val="center"/>
          </w:tcPr>
          <w:p w14:paraId="79C94AF6">
            <w:pPr>
              <w:pStyle w:val="7"/>
              <w:widowControl w:val="0"/>
              <w:spacing w:before="0" w:beforeAutospacing="0" w:after="0" w:afterAutospacing="0" w:line="360" w:lineRule="auto"/>
              <w:jc w:val="left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验收合格之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日起1年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sz w:val="24"/>
                <w:szCs w:val="24"/>
              </w:rPr>
              <w:t>如货物需求表中另有要求以货物需求表为准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）</w:t>
            </w:r>
          </w:p>
        </w:tc>
      </w:tr>
    </w:tbl>
    <w:p w14:paraId="573406C3">
      <w:pPr>
        <w:wordWrap w:val="0"/>
        <w:spacing w:line="360" w:lineRule="auto"/>
        <w:ind w:firstLine="56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二、货物需求</w:t>
      </w:r>
    </w:p>
    <w:p w14:paraId="5685FB55">
      <w:pPr>
        <w:spacing w:line="620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结核病预防控制所宣传用品物品清单</w:t>
      </w:r>
    </w:p>
    <w:tbl>
      <w:tblPr>
        <w:tblStyle w:val="4"/>
        <w:tblW w:w="85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855"/>
        <w:gridCol w:w="787"/>
        <w:gridCol w:w="783"/>
        <w:gridCol w:w="845"/>
        <w:gridCol w:w="822"/>
        <w:gridCol w:w="3893"/>
      </w:tblGrid>
      <w:tr w14:paraId="733EF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22A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48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品 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3C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43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2BE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内含物品名称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9AD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CDC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参数</w:t>
            </w:r>
          </w:p>
        </w:tc>
      </w:tr>
      <w:tr w14:paraId="2A97F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AE6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0E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宣传用品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（内含5种物品）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D1F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份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4D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不少于4500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5CE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pvc手提袋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10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AF2E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尺寸：不小于20*10*28厘米</w:t>
            </w:r>
          </w:p>
          <w:p w14:paraId="127EE439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手提袋上印结核病防治宣传内容和一个省疾控logo</w:t>
            </w:r>
          </w:p>
        </w:tc>
      </w:tr>
      <w:tr w14:paraId="5339F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0B5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2B62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3CA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F8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389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医用外科口罩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455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10只/份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51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1.符合（或不低于）YY 0469-2011《医用外科口罩技术要求》</w:t>
            </w:r>
          </w:p>
          <w:p w14:paraId="6A3ECC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2.结构组成：3层（内层吸水无纺布+中层过滤熔喷布+外层防水无纺布）；含口罩体、可塑性鼻夹(≥8.0cm)</w:t>
            </w:r>
          </w:p>
          <w:p w14:paraId="5380D5B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3.生产日期不早于2026年1月</w:t>
            </w:r>
          </w:p>
        </w:tc>
      </w:tr>
      <w:tr w14:paraId="19DE4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D0B7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C29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8D45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B137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A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酒精喷雾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21E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100ml75%/瓶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2A1B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1.规格：单瓶净含量100ml±5ml，便携装</w:t>
            </w:r>
          </w:p>
          <w:p w14:paraId="7CE7A6B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2.执行标准：符合《中华人民共和国药典》（现行版）医用乙醇相关标准，消毒效果符合GB 26373-2020《乙醇消毒剂卫生要求》</w:t>
            </w:r>
          </w:p>
          <w:p w14:paraId="45223A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3.生产日期不早于2026年1月</w:t>
            </w:r>
          </w:p>
        </w:tc>
      </w:tr>
      <w:tr w14:paraId="37DDA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4DB7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BA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371B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B1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AE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纯棉毛巾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4B2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B01C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1.质量等级：A类标准，一等品</w:t>
            </w:r>
          </w:p>
          <w:p w14:paraId="75DC5A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2.材质：100%纯棉（装饰及断档部分除外）</w:t>
            </w:r>
          </w:p>
          <w:p w14:paraId="62774F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3.尺寸：不小于74*35厘米</w:t>
            </w:r>
          </w:p>
          <w:p w14:paraId="45A3D6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4.颜色及图案:粉红色、粉蓝色、米黄色，简易图案或花纹</w:t>
            </w:r>
          </w:p>
          <w:p w14:paraId="30EA77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5.外包装：单条包装</w:t>
            </w:r>
          </w:p>
        </w:tc>
      </w:tr>
      <w:tr w14:paraId="6A38C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D207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246E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0846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7B1D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54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肥皂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4A3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9AE7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 规格：单块净含量125g±3g</w:t>
            </w:r>
          </w:p>
          <w:p w14:paraId="59F4B7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 执行标准：符合QB/T 2485-2023《香皂》行业标准，同时满足GB 38508-2020《洗涤用品安全技术规范》 有害物质限量要求；抗菌性能符合GB/T 19877.1-2015 相关检测标准</w:t>
            </w:r>
          </w:p>
          <w:p w14:paraId="664F8A2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3.生产日期不早于2026年1月</w:t>
            </w:r>
          </w:p>
        </w:tc>
      </w:tr>
    </w:tbl>
    <w:p w14:paraId="69875A44">
      <w:pPr>
        <w:wordWrap w:val="0"/>
        <w:spacing w:line="360" w:lineRule="auto"/>
        <w:ind w:firstLine="48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注：上述5样物品为一份宣传用品，本项目预算为9万元，即价格固定为9万元，数量不少于4500份。</w:t>
      </w:r>
    </w:p>
    <w:p w14:paraId="67397FB9">
      <w:pPr>
        <w:wordWrap w:val="0"/>
        <w:spacing w:line="360" w:lineRule="auto"/>
        <w:ind w:firstLine="56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三、报价要求</w:t>
      </w:r>
    </w:p>
    <w:p w14:paraId="71D1EABE">
      <w:pPr>
        <w:wordWrap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</w:rPr>
        <w:t>本项目报每份宣传用品单价（每份包含上述5种物品），据实结算，最终以9万元预算计算并确定可执行的最大采购数量。所报价格均包含完成本项目所需的全部费用，成交后采购人不再增加任何费用。</w:t>
      </w:r>
    </w:p>
    <w:p w14:paraId="774AD274">
      <w:pPr>
        <w:wordWrap w:val="0"/>
        <w:spacing w:line="360" w:lineRule="auto"/>
        <w:ind w:firstLine="562" w:firstLineChars="200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四、样品要求</w:t>
      </w:r>
    </w:p>
    <w:p w14:paraId="082B8886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1.比选样品是响应文件的组成部分。比选前，供应商应按比选文件规定准备比选样品。并在样品上标记以下信息：</w:t>
      </w:r>
    </w:p>
    <w:p w14:paraId="0BA8A535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2026年结核病预防控制所宣传用品采购</w:t>
      </w:r>
      <w:r>
        <w:rPr>
          <w:rFonts w:hint="eastAsia" w:ascii="宋体" w:hAnsi="宋体" w:eastAsia="宋体" w:cs="宋体"/>
          <w:sz w:val="24"/>
        </w:rPr>
        <w:t>”（供应商全称）样品；</w:t>
      </w:r>
    </w:p>
    <w:p w14:paraId="34C27ECE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2.比选时，供应商应提交样品并送达指定地点；响应文件提交截止时间后提交的样品，不予接收。</w:t>
      </w:r>
    </w:p>
    <w:p w14:paraId="1138959D">
      <w:pPr>
        <w:wordWrap w:val="0"/>
        <w:spacing w:line="360" w:lineRule="auto"/>
        <w:ind w:firstLine="480" w:firstLineChars="200"/>
        <w:jc w:val="left"/>
        <w:rPr>
          <w:rFonts w:ascii="宋体" w:hAnsi="宋体" w:eastAsia="宋体" w:cs="宋体"/>
          <w:color w:val="FF0000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</w:rPr>
        <w:t>3.比选样品送达地：</w:t>
      </w:r>
      <w:r>
        <w:rPr>
          <w:rFonts w:hint="eastAsia" w:ascii="宋体" w:hAnsi="宋体" w:eastAsia="宋体" w:cs="宋体"/>
          <w:color w:val="FF0000"/>
          <w:sz w:val="24"/>
          <w:u w:val="single"/>
        </w:rPr>
        <w:t>响应文件提交截止时间前一小时内（2026年</w:t>
      </w:r>
      <w:r>
        <w:rPr>
          <w:rFonts w:hint="eastAsia" w:ascii="宋体" w:hAnsi="宋体" w:eastAsia="宋体" w:cs="宋体"/>
          <w:color w:val="FF0000"/>
          <w:sz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color w:val="FF0000"/>
          <w:sz w:val="24"/>
          <w:u w:val="single"/>
        </w:rPr>
        <w:t>月</w:t>
      </w:r>
      <w:r>
        <w:rPr>
          <w:rFonts w:hint="eastAsia" w:ascii="宋体" w:hAnsi="宋体" w:eastAsia="宋体" w:cs="宋体"/>
          <w:color w:val="FF0000"/>
          <w:sz w:val="24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4"/>
          <w:u w:val="single"/>
        </w:rPr>
        <w:t>日13时00分至14时00分）递交样品，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</w:rPr>
        <w:t>鼎信数智技术集团股份有限公司20楼开标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</w:rPr>
        <w:t>室（安徽省合肥市经济技术开发区翡翠路港澳广场A座20层）。支持邮寄，请务必自行确认邮寄时间，因快递未送达导致的样品未递交情形，供应商自行承担相应后果。（邮寄地址：合肥市经济技术开发区翡翠路188号港澳广场A座18层1801室，宋工15256213650）</w:t>
      </w:r>
    </w:p>
    <w:p w14:paraId="3D5714E4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4.供应商未提供样品或提供样品不全的：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>响应无效。</w:t>
      </w:r>
    </w:p>
    <w:p w14:paraId="56A574DE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4.1本项目要求提供的样品如下：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209"/>
        <w:gridCol w:w="3420"/>
        <w:gridCol w:w="860"/>
        <w:gridCol w:w="871"/>
      </w:tblGrid>
      <w:tr w14:paraId="03BB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27" w:type="dxa"/>
            <w:noWrap w:val="0"/>
            <w:vAlign w:val="top"/>
          </w:tcPr>
          <w:p w14:paraId="029510C7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209" w:type="dxa"/>
            <w:noWrap w:val="0"/>
            <w:vAlign w:val="top"/>
          </w:tcPr>
          <w:p w14:paraId="7F4A1C31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样品名称</w:t>
            </w:r>
          </w:p>
        </w:tc>
        <w:tc>
          <w:tcPr>
            <w:tcW w:w="3420" w:type="dxa"/>
            <w:noWrap w:val="0"/>
            <w:vAlign w:val="top"/>
          </w:tcPr>
          <w:p w14:paraId="2FB9BECA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参数要求</w:t>
            </w:r>
          </w:p>
        </w:tc>
        <w:tc>
          <w:tcPr>
            <w:tcW w:w="860" w:type="dxa"/>
            <w:noWrap w:val="0"/>
            <w:vAlign w:val="top"/>
          </w:tcPr>
          <w:p w14:paraId="53B13F84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871" w:type="dxa"/>
            <w:noWrap w:val="0"/>
            <w:vAlign w:val="top"/>
          </w:tcPr>
          <w:p w14:paraId="1F454A68">
            <w:pPr>
              <w:spacing w:line="420" w:lineRule="exact"/>
              <w:jc w:val="center"/>
              <w:rPr>
                <w:rFonts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Arial"/>
                <w:b/>
                <w:bCs/>
                <w:sz w:val="22"/>
                <w:szCs w:val="22"/>
              </w:rPr>
              <w:t>数量</w:t>
            </w:r>
          </w:p>
        </w:tc>
      </w:tr>
      <w:tr w14:paraId="2A8B6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27" w:type="dxa"/>
            <w:noWrap w:val="0"/>
            <w:vAlign w:val="center"/>
          </w:tcPr>
          <w:p w14:paraId="50A43B05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209" w:type="dxa"/>
            <w:noWrap w:val="0"/>
            <w:vAlign w:val="center"/>
          </w:tcPr>
          <w:p w14:paraId="1DCFDFE8">
            <w:pPr>
              <w:spacing w:line="420" w:lineRule="exact"/>
              <w:jc w:val="center"/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  <w:t>pvc手提袋</w:t>
            </w:r>
          </w:p>
        </w:tc>
        <w:tc>
          <w:tcPr>
            <w:tcW w:w="3420" w:type="dxa"/>
            <w:noWrap w:val="0"/>
            <w:vAlign w:val="top"/>
          </w:tcPr>
          <w:p w14:paraId="2A3934FD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符合采购需求中货物参数要求（样品无须印结核病防治宣传内容和一个省疾控logo）</w:t>
            </w:r>
          </w:p>
        </w:tc>
        <w:tc>
          <w:tcPr>
            <w:tcW w:w="860" w:type="dxa"/>
            <w:noWrap w:val="0"/>
            <w:vAlign w:val="center"/>
          </w:tcPr>
          <w:p w14:paraId="2E9A1100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871" w:type="dxa"/>
            <w:noWrap w:val="0"/>
            <w:vAlign w:val="center"/>
          </w:tcPr>
          <w:p w14:paraId="419DC79C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2F1A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40784015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209" w:type="dxa"/>
            <w:noWrap w:val="0"/>
            <w:vAlign w:val="center"/>
          </w:tcPr>
          <w:p w14:paraId="6B20BB62">
            <w:pPr>
              <w:spacing w:line="420" w:lineRule="exact"/>
              <w:jc w:val="center"/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  <w:t>医用外科口罩</w:t>
            </w:r>
          </w:p>
        </w:tc>
        <w:tc>
          <w:tcPr>
            <w:tcW w:w="3420" w:type="dxa"/>
            <w:noWrap w:val="0"/>
            <w:vAlign w:val="top"/>
          </w:tcPr>
          <w:p w14:paraId="2DC047C2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6EF66869"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份</w:t>
            </w:r>
          </w:p>
        </w:tc>
        <w:tc>
          <w:tcPr>
            <w:tcW w:w="871" w:type="dxa"/>
            <w:noWrap w:val="0"/>
            <w:vAlign w:val="center"/>
          </w:tcPr>
          <w:p w14:paraId="14FC9311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1BB0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420714EF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209" w:type="dxa"/>
            <w:noWrap w:val="0"/>
            <w:vAlign w:val="center"/>
          </w:tcPr>
          <w:p w14:paraId="68089092">
            <w:pPr>
              <w:spacing w:line="420" w:lineRule="exact"/>
              <w:jc w:val="center"/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  <w:t>100ml 75%酒精喷雾</w:t>
            </w:r>
          </w:p>
        </w:tc>
        <w:tc>
          <w:tcPr>
            <w:tcW w:w="3420" w:type="dxa"/>
            <w:noWrap w:val="0"/>
            <w:vAlign w:val="top"/>
          </w:tcPr>
          <w:p w14:paraId="5B77B18E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3ABAB35B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瓶</w:t>
            </w:r>
          </w:p>
        </w:tc>
        <w:tc>
          <w:tcPr>
            <w:tcW w:w="871" w:type="dxa"/>
            <w:noWrap w:val="0"/>
            <w:vAlign w:val="center"/>
          </w:tcPr>
          <w:p w14:paraId="63E4A55B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1CFF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3BDA1384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209" w:type="dxa"/>
            <w:noWrap w:val="0"/>
            <w:vAlign w:val="center"/>
          </w:tcPr>
          <w:p w14:paraId="19BDDA26">
            <w:pPr>
              <w:spacing w:line="420" w:lineRule="exact"/>
              <w:jc w:val="center"/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  <w:t>纯棉毛巾</w:t>
            </w:r>
          </w:p>
        </w:tc>
        <w:tc>
          <w:tcPr>
            <w:tcW w:w="3420" w:type="dxa"/>
            <w:noWrap w:val="0"/>
            <w:vAlign w:val="top"/>
          </w:tcPr>
          <w:p w14:paraId="2F8F3F59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38F55F5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条</w:t>
            </w:r>
          </w:p>
        </w:tc>
        <w:tc>
          <w:tcPr>
            <w:tcW w:w="871" w:type="dxa"/>
            <w:noWrap w:val="0"/>
            <w:vAlign w:val="center"/>
          </w:tcPr>
          <w:p w14:paraId="181C1A2D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  <w:tr w14:paraId="4D69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27" w:type="dxa"/>
            <w:noWrap w:val="0"/>
            <w:vAlign w:val="center"/>
          </w:tcPr>
          <w:p w14:paraId="20ED102E">
            <w:pPr>
              <w:spacing w:line="360" w:lineRule="auto"/>
              <w:ind w:right="280"/>
              <w:jc w:val="center"/>
              <w:rPr>
                <w:rFonts w:hint="eastAsia" w:ascii="宋体" w:hAnsi="宋体" w:eastAsia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209" w:type="dxa"/>
            <w:noWrap w:val="0"/>
            <w:vAlign w:val="center"/>
          </w:tcPr>
          <w:p w14:paraId="34F78CED">
            <w:pPr>
              <w:spacing w:line="420" w:lineRule="exact"/>
              <w:jc w:val="center"/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b/>
                <w:bCs/>
                <w:sz w:val="22"/>
                <w:szCs w:val="22"/>
              </w:rPr>
              <w:t>肥皂</w:t>
            </w:r>
          </w:p>
        </w:tc>
        <w:tc>
          <w:tcPr>
            <w:tcW w:w="3420" w:type="dxa"/>
            <w:noWrap w:val="0"/>
            <w:vAlign w:val="top"/>
          </w:tcPr>
          <w:p w14:paraId="76DE0D10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符合采购需求中货物参数要求</w:t>
            </w:r>
          </w:p>
        </w:tc>
        <w:tc>
          <w:tcPr>
            <w:tcW w:w="860" w:type="dxa"/>
            <w:noWrap w:val="0"/>
            <w:vAlign w:val="center"/>
          </w:tcPr>
          <w:p w14:paraId="4D59BD6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块</w:t>
            </w:r>
          </w:p>
        </w:tc>
        <w:tc>
          <w:tcPr>
            <w:tcW w:w="871" w:type="dxa"/>
            <w:noWrap w:val="0"/>
            <w:vAlign w:val="center"/>
          </w:tcPr>
          <w:p w14:paraId="0418C27A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</w:tr>
    </w:tbl>
    <w:p w14:paraId="68A8365C">
      <w:pPr>
        <w:spacing w:line="360" w:lineRule="auto"/>
        <w:ind w:firstLine="437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4.2是否需要提交样品检测报告：否</w:t>
      </w:r>
    </w:p>
    <w:p w14:paraId="5B351F6D">
      <w:pPr>
        <w:spacing w:line="360" w:lineRule="auto"/>
        <w:ind w:firstLine="437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5.供应商提交的样品经比选小组评审认定不合格的：</w:t>
      </w:r>
      <w:r>
        <w:rPr>
          <w:rFonts w:hint="eastAsia" w:ascii="宋体" w:hAnsi="宋体" w:eastAsia="宋体" w:cs="宋体"/>
          <w:b/>
          <w:bCs/>
          <w:sz w:val="24"/>
        </w:rPr>
        <w:t>按照评审方法和标准进行扣分</w:t>
      </w:r>
    </w:p>
    <w:p w14:paraId="22616F88">
      <w:r>
        <w:rPr>
          <w:rFonts w:hint="eastAsia" w:ascii="宋体" w:hAnsi="宋体" w:eastAsia="宋体" w:cs="宋体"/>
          <w:sz w:val="24"/>
        </w:rPr>
        <w:t>6.成交供应商的样品将由采购单位封存作为履约验收的标准；其余供应商的样品，将在评审结束后退还。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altName w:val="仿宋"/>
    <w:panose1 w:val="02010600030101010101"/>
    <w:charset w:val="86"/>
    <w:family w:val="modern"/>
    <w:pitch w:val="default"/>
    <w:sig w:usb0="00000000" w:usb1="0000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CE6BF4"/>
    <w:multiLevelType w:val="singleLevel"/>
    <w:tmpl w:val="6ACE6B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26E16"/>
    <w:rsid w:val="38C2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&amp;L"/>
    <w:basedOn w:val="3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7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2026-02-28T06:37:00Z</dcterms:created>
  <dc:creator>森</dc:creator>
  <cp:lastModifiedBy>森</cp:lastModifiedBy>
  <dcterms:modified xsi:type="dcterms:W3CDTF">2026-02-28T06:37:26Z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BC0A2825A3E84852A1125F745379A290_11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