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A1017">
      <w:pPr>
        <w:spacing w:line="360" w:lineRule="auto"/>
        <w:jc w:val="center"/>
        <w:outlineLvl w:val="1"/>
        <w:rPr>
          <w:rFonts w:hint="eastAsia" w:ascii="宋体" w:hAnsi="宋体" w:cs="宋体"/>
          <w:b/>
          <w:sz w:val="28"/>
        </w:rPr>
      </w:pPr>
      <w:bookmarkStart w:id="0" w:name="_Toc18464"/>
      <w:r>
        <w:rPr>
          <w:rFonts w:hint="eastAsia" w:ascii="宋体" w:hAnsi="宋体" w:cs="宋体"/>
          <w:b/>
          <w:sz w:val="28"/>
        </w:rPr>
        <w:t>第三章  采购需求</w:t>
      </w:r>
      <w:bookmarkEnd w:id="0"/>
    </w:p>
    <w:p w14:paraId="5BA2E2E1">
      <w:pPr>
        <w:spacing w:line="360" w:lineRule="auto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前注：</w:t>
      </w:r>
    </w:p>
    <w:p w14:paraId="45ADED38">
      <w:pPr>
        <w:spacing w:line="360" w:lineRule="auto"/>
        <w:ind w:firstLine="43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1.本说明中提出的技术方案仅为参考，如无明确限制，参选人可以进行优化，提供满足用户实际需要的更优（或者性能实质上不低于）技术方案，且此方案须经评审小组评审认可；</w:t>
      </w:r>
    </w:p>
    <w:p w14:paraId="1AF77780">
      <w:pPr>
        <w:spacing w:line="360" w:lineRule="auto"/>
        <w:ind w:firstLine="43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为鼓励不同品牌的充分竞争，如某设备的某技术参数或要求属于个别品牌专有，则该技术参数及要求不具有限制性，参选人可对该参数或要求进行适当调整，并应当说明调整的理由，且此调整须经评审小组评审认可；</w:t>
      </w:r>
    </w:p>
    <w:p w14:paraId="713C1484">
      <w:pPr>
        <w:spacing w:line="360" w:lineRule="auto"/>
        <w:ind w:firstLine="437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为有助于参选人选择参选产品，项目说明中可能提供了推荐品牌（或型号）、参考品牌（或型号）等，这些品牌（或型号）仅供参考，并无限制性。参选人可以选择性能不低于推荐（或参考）的品牌（或型号）的其他品牌产品，但比选时应当提供有关技术证明资料，未提供的可能导致响应无效；</w:t>
      </w:r>
    </w:p>
    <w:p w14:paraId="032B613A">
      <w:pPr>
        <w:spacing w:line="360" w:lineRule="auto"/>
        <w:ind w:firstLine="437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4.下列采购需求中标注进口产品的货物均已履行相关论证手续，经核准采购进口产品，但不限制满足参选文件要求的国内产品参与竞争。未标注进口产品的货物均为拒绝采购进口产品。</w:t>
      </w:r>
      <w:r>
        <w:rPr>
          <w:rFonts w:hint="eastAsia" w:ascii="宋体" w:hAnsi="宋体" w:cs="宋体"/>
          <w:b/>
          <w:sz w:val="24"/>
          <w:szCs w:val="24"/>
        </w:rPr>
        <w:br w:type="page"/>
      </w:r>
      <w:r>
        <w:rPr>
          <w:rFonts w:hint="eastAsia" w:ascii="宋体" w:hAnsi="宋体" w:cs="宋体"/>
          <w:b/>
          <w:sz w:val="24"/>
          <w:szCs w:val="24"/>
        </w:rPr>
        <w:t xml:space="preserve">    一、采购需求前附表</w:t>
      </w:r>
    </w:p>
    <w:tbl>
      <w:tblPr>
        <w:tblStyle w:val="2"/>
        <w:tblW w:w="8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034"/>
        <w:gridCol w:w="5776"/>
      </w:tblGrid>
      <w:tr w14:paraId="2D38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3" w:type="dxa"/>
            <w:noWrap w:val="0"/>
            <w:vAlign w:val="center"/>
          </w:tcPr>
          <w:p w14:paraId="1EF20781"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2034" w:type="dxa"/>
            <w:noWrap w:val="0"/>
            <w:vAlign w:val="center"/>
          </w:tcPr>
          <w:p w14:paraId="0A943A0D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8"/>
              </w:rPr>
              <w:t>条款名称</w:t>
            </w:r>
          </w:p>
        </w:tc>
        <w:tc>
          <w:tcPr>
            <w:tcW w:w="5776" w:type="dxa"/>
            <w:noWrap w:val="0"/>
            <w:vAlign w:val="center"/>
          </w:tcPr>
          <w:p w14:paraId="77BA0257"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8"/>
              </w:rPr>
              <w:t>内容、说明与要求</w:t>
            </w:r>
          </w:p>
        </w:tc>
      </w:tr>
      <w:tr w14:paraId="3000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3" w:type="dxa"/>
            <w:noWrap w:val="0"/>
            <w:vAlign w:val="center"/>
          </w:tcPr>
          <w:p w14:paraId="4790854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1</w:t>
            </w:r>
          </w:p>
        </w:tc>
        <w:tc>
          <w:tcPr>
            <w:tcW w:w="2034" w:type="dxa"/>
            <w:noWrap w:val="0"/>
            <w:vAlign w:val="center"/>
          </w:tcPr>
          <w:p w14:paraId="4FE0771B">
            <w:pPr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8"/>
              </w:rPr>
              <w:t>付款方式</w:t>
            </w:r>
          </w:p>
        </w:tc>
        <w:tc>
          <w:tcPr>
            <w:tcW w:w="5776" w:type="dxa"/>
            <w:noWrap w:val="0"/>
            <w:vAlign w:val="center"/>
          </w:tcPr>
          <w:p w14:paraId="2E7D790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验收合格后一次性支付合同价款。</w:t>
            </w:r>
          </w:p>
        </w:tc>
      </w:tr>
      <w:tr w14:paraId="4EC1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3" w:type="dxa"/>
            <w:noWrap w:val="0"/>
            <w:vAlign w:val="center"/>
          </w:tcPr>
          <w:p w14:paraId="2174237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2</w:t>
            </w:r>
          </w:p>
        </w:tc>
        <w:tc>
          <w:tcPr>
            <w:tcW w:w="2034" w:type="dxa"/>
            <w:noWrap w:val="0"/>
            <w:vAlign w:val="center"/>
          </w:tcPr>
          <w:p w14:paraId="26AE8D0A">
            <w:pPr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8"/>
              </w:rPr>
              <w:t>供货及安装地点</w:t>
            </w:r>
          </w:p>
        </w:tc>
        <w:tc>
          <w:tcPr>
            <w:tcW w:w="5776" w:type="dxa"/>
            <w:noWrap w:val="0"/>
            <w:vAlign w:val="center"/>
          </w:tcPr>
          <w:p w14:paraId="5B435CF7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安徽省疾病预防控制中心或采购人指定地点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。</w:t>
            </w:r>
          </w:p>
        </w:tc>
      </w:tr>
      <w:tr w14:paraId="57F1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3" w:type="dxa"/>
            <w:noWrap w:val="0"/>
            <w:vAlign w:val="center"/>
          </w:tcPr>
          <w:p w14:paraId="61DB8C6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</w:t>
            </w:r>
          </w:p>
        </w:tc>
        <w:tc>
          <w:tcPr>
            <w:tcW w:w="2034" w:type="dxa"/>
            <w:noWrap w:val="0"/>
            <w:vAlign w:val="center"/>
          </w:tcPr>
          <w:p w14:paraId="3D8F78A0">
            <w:pPr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8"/>
              </w:rPr>
              <w:t>供货及安装期限</w:t>
            </w:r>
          </w:p>
        </w:tc>
        <w:tc>
          <w:tcPr>
            <w:tcW w:w="5776" w:type="dxa"/>
            <w:noWrap w:val="0"/>
            <w:vAlign w:val="center"/>
          </w:tcPr>
          <w:p w14:paraId="6FE23C38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合同签订后30个日历日内完成供货及安装。</w:t>
            </w:r>
          </w:p>
        </w:tc>
      </w:tr>
      <w:tr w14:paraId="38BCB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873" w:type="dxa"/>
            <w:noWrap w:val="0"/>
            <w:vAlign w:val="center"/>
          </w:tcPr>
          <w:p w14:paraId="5E3734A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4</w:t>
            </w:r>
          </w:p>
        </w:tc>
        <w:tc>
          <w:tcPr>
            <w:tcW w:w="2034" w:type="dxa"/>
            <w:noWrap w:val="0"/>
            <w:vAlign w:val="center"/>
          </w:tcPr>
          <w:p w14:paraId="73989DF0">
            <w:pPr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8"/>
              </w:rPr>
              <w:t>免费质保期</w:t>
            </w:r>
          </w:p>
        </w:tc>
        <w:tc>
          <w:tcPr>
            <w:tcW w:w="5776" w:type="dxa"/>
            <w:noWrap w:val="0"/>
            <w:vAlign w:val="center"/>
          </w:tcPr>
          <w:p w14:paraId="0B27480A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自验收合格之日起开始计算3年。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8"/>
              </w:rPr>
              <w:t>货物需求中另有要求的，以采购需求为准。</w:t>
            </w:r>
          </w:p>
        </w:tc>
      </w:tr>
    </w:tbl>
    <w:p w14:paraId="185A4722">
      <w:pPr>
        <w:spacing w:line="360" w:lineRule="auto"/>
        <w:ind w:firstLine="437"/>
        <w:jc w:val="left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二、货物需求</w:t>
      </w:r>
    </w:p>
    <w:p w14:paraId="3DF2FC0D">
      <w:pPr>
        <w:spacing w:line="360" w:lineRule="auto"/>
        <w:ind w:firstLine="437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（一）货物需求说明</w:t>
      </w:r>
    </w:p>
    <w:tbl>
      <w:tblPr>
        <w:tblStyle w:val="2"/>
        <w:tblW w:w="8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365"/>
        <w:gridCol w:w="5692"/>
      </w:tblGrid>
      <w:tr w14:paraId="2EB2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9" w:type="dxa"/>
            <w:noWrap w:val="0"/>
            <w:vAlign w:val="center"/>
          </w:tcPr>
          <w:p w14:paraId="6C9DB2B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标识重要性</w:t>
            </w:r>
          </w:p>
        </w:tc>
        <w:tc>
          <w:tcPr>
            <w:tcW w:w="1365" w:type="dxa"/>
            <w:noWrap w:val="0"/>
            <w:vAlign w:val="center"/>
          </w:tcPr>
          <w:p w14:paraId="614B870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标识符号</w:t>
            </w:r>
          </w:p>
        </w:tc>
        <w:tc>
          <w:tcPr>
            <w:tcW w:w="5692" w:type="dxa"/>
            <w:noWrap w:val="0"/>
            <w:vAlign w:val="center"/>
          </w:tcPr>
          <w:p w14:paraId="1F61906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8"/>
              </w:rPr>
              <w:t>代表意思</w:t>
            </w:r>
          </w:p>
        </w:tc>
      </w:tr>
      <w:tr w14:paraId="3FF5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649" w:type="dxa"/>
            <w:noWrap w:val="0"/>
            <w:vAlign w:val="center"/>
          </w:tcPr>
          <w:p w14:paraId="5F82AF4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8"/>
              </w:rPr>
              <w:t>实质性指标</w:t>
            </w:r>
          </w:p>
        </w:tc>
        <w:tc>
          <w:tcPr>
            <w:tcW w:w="1365" w:type="dxa"/>
            <w:noWrap w:val="0"/>
            <w:vAlign w:val="center"/>
          </w:tcPr>
          <w:p w14:paraId="0398F95F"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szCs w:val="18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●</w:t>
            </w:r>
          </w:p>
        </w:tc>
        <w:tc>
          <w:tcPr>
            <w:tcW w:w="5692" w:type="dxa"/>
            <w:noWrap w:val="0"/>
            <w:vAlign w:val="center"/>
          </w:tcPr>
          <w:p w14:paraId="661A1799"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8"/>
              </w:rPr>
              <w:t>实质性要求，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未响应（或负偏离）将导致响应无效。</w:t>
            </w:r>
          </w:p>
        </w:tc>
      </w:tr>
      <w:tr w14:paraId="11685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649" w:type="dxa"/>
            <w:noWrap w:val="0"/>
            <w:vAlign w:val="center"/>
          </w:tcPr>
          <w:p w14:paraId="79495B3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8"/>
              </w:rPr>
              <w:t>核心指标项</w:t>
            </w:r>
          </w:p>
        </w:tc>
        <w:tc>
          <w:tcPr>
            <w:tcW w:w="1365" w:type="dxa"/>
            <w:noWrap w:val="0"/>
            <w:vAlign w:val="center"/>
          </w:tcPr>
          <w:p w14:paraId="27024F2C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/>
                <w:bCs/>
                <w:sz w:val="24"/>
                <w:szCs w:val="18"/>
              </w:rPr>
              <w:t>★</w:t>
            </w:r>
          </w:p>
        </w:tc>
        <w:tc>
          <w:tcPr>
            <w:tcW w:w="5692" w:type="dxa"/>
            <w:noWrap w:val="0"/>
            <w:vAlign w:val="center"/>
          </w:tcPr>
          <w:p w14:paraId="79A4BC19"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作为评分项，详见“第四章 评标方法和标准”中评分细则。</w:t>
            </w:r>
          </w:p>
        </w:tc>
      </w:tr>
      <w:tr w14:paraId="1D88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649" w:type="dxa"/>
            <w:noWrap w:val="0"/>
            <w:vAlign w:val="center"/>
          </w:tcPr>
          <w:p w14:paraId="01EE2672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18"/>
              </w:rPr>
              <w:t>无标识项</w:t>
            </w:r>
          </w:p>
        </w:tc>
        <w:tc>
          <w:tcPr>
            <w:tcW w:w="1365" w:type="dxa"/>
            <w:noWrap w:val="0"/>
            <w:vAlign w:val="center"/>
          </w:tcPr>
          <w:p w14:paraId="2791E2F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692" w:type="dxa"/>
            <w:noWrap w:val="0"/>
            <w:vAlign w:val="center"/>
          </w:tcPr>
          <w:p w14:paraId="18E25ECF"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无标识项为基础指标项，全部满足得5分，有1条未响应（或负偏离）的得3分，有2条未响应（或负偏离）的得1分，有2条以上未响应（或负偏离）的不得分。</w:t>
            </w:r>
          </w:p>
        </w:tc>
      </w:tr>
      <w:tr w14:paraId="2366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06" w:type="dxa"/>
            <w:gridSpan w:val="3"/>
            <w:noWrap w:val="0"/>
            <w:vAlign w:val="center"/>
          </w:tcPr>
          <w:p w14:paraId="5F97D7E4">
            <w:pPr>
              <w:spacing w:line="360" w:lineRule="auto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注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：</w:t>
            </w:r>
          </w:p>
          <w:p w14:paraId="23568123">
            <w:pPr>
              <w:spacing w:line="36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（1）针对下表中标注★的指标项须按下列要求在参选文件中提供证明材料予以佐证。</w:t>
            </w:r>
          </w:p>
          <w:p w14:paraId="0763053B">
            <w:pPr>
              <w:spacing w:line="360" w:lineRule="auto"/>
              <w:jc w:val="left"/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1.采购需求中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zh-CN"/>
              </w:rPr>
              <w:t>明确要求提供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相关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zh-CN"/>
              </w:rPr>
              <w:t>材料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的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zh-CN"/>
              </w:rPr>
              <w:t>按采购需求要求提供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对应证明材料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val="zh-CN"/>
              </w:rPr>
              <w:t>；</w:t>
            </w:r>
          </w:p>
          <w:p w14:paraId="4EDD5A19">
            <w:pPr>
              <w:spacing w:line="360" w:lineRule="auto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2.采购需求中未明确要求提供证明材料的，参选人须自行提供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证明材料，包括产品技术白皮书、产品技术说明书、产品彩页（产品功能截图）、厂家（制造商）官网截图、第三方机构出具的带有CMA或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CNAS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标识的检测报告，提供其中之一即可。未按以上要求提供证明材料的视为负偏离或未响应（为便于评审，建议参选人对证明材料中的关键参数进行标注）。</w:t>
            </w:r>
          </w:p>
          <w:p w14:paraId="7837992D">
            <w:pPr>
              <w:spacing w:line="360" w:lineRule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（2）如某项标识中包含多条技术参数或要求，则该项标识所含内容均需满足或优于比选文件要求，否则不予认可。</w:t>
            </w:r>
          </w:p>
        </w:tc>
      </w:tr>
    </w:tbl>
    <w:p w14:paraId="6A030854">
      <w:pPr>
        <w:spacing w:line="360" w:lineRule="auto"/>
        <w:ind w:firstLine="437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（二）货物需求表</w:t>
      </w:r>
    </w:p>
    <w:tbl>
      <w:tblPr>
        <w:tblStyle w:val="2"/>
        <w:tblW w:w="9434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223"/>
        <w:gridCol w:w="5192"/>
        <w:gridCol w:w="1105"/>
        <w:gridCol w:w="1141"/>
      </w:tblGrid>
      <w:tr w14:paraId="0FE3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73" w:type="dxa"/>
            <w:noWrap w:val="0"/>
            <w:vAlign w:val="center"/>
          </w:tcPr>
          <w:p w14:paraId="456D3F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23" w:type="dxa"/>
            <w:noWrap w:val="0"/>
            <w:vAlign w:val="center"/>
          </w:tcPr>
          <w:p w14:paraId="43302B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货物名称</w:t>
            </w:r>
          </w:p>
        </w:tc>
        <w:tc>
          <w:tcPr>
            <w:tcW w:w="5192" w:type="dxa"/>
            <w:noWrap w:val="0"/>
            <w:vAlign w:val="center"/>
          </w:tcPr>
          <w:p w14:paraId="14C051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技术参数</w:t>
            </w:r>
          </w:p>
        </w:tc>
        <w:tc>
          <w:tcPr>
            <w:tcW w:w="1105" w:type="dxa"/>
            <w:noWrap w:val="0"/>
            <w:vAlign w:val="center"/>
          </w:tcPr>
          <w:p w14:paraId="1AC2B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数量</w:t>
            </w:r>
          </w:p>
          <w:p w14:paraId="47425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（单位）</w:t>
            </w:r>
          </w:p>
        </w:tc>
        <w:tc>
          <w:tcPr>
            <w:tcW w:w="1141" w:type="dxa"/>
            <w:noWrap w:val="0"/>
            <w:vAlign w:val="center"/>
          </w:tcPr>
          <w:p w14:paraId="794A0B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备注（进口或强制节能）</w:t>
            </w:r>
          </w:p>
        </w:tc>
      </w:tr>
      <w:tr w14:paraId="38AD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773" w:type="dxa"/>
            <w:noWrap w:val="0"/>
            <w:vAlign w:val="center"/>
          </w:tcPr>
          <w:p w14:paraId="02993E6A">
            <w:pPr>
              <w:pStyle w:val="4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1" w:name="_Hlk194587125"/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23" w:type="dxa"/>
            <w:noWrap w:val="0"/>
            <w:vAlign w:val="center"/>
          </w:tcPr>
          <w:p w14:paraId="0A9DE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多功能酶标仪</w:t>
            </w:r>
          </w:p>
        </w:tc>
        <w:tc>
          <w:tcPr>
            <w:tcW w:w="5192" w:type="dxa"/>
            <w:noWrap w:val="0"/>
            <w:vAlign w:val="center"/>
          </w:tcPr>
          <w:p w14:paraId="519B2684">
            <w:pPr>
              <w:pStyle w:val="4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一、技术要求</w:t>
            </w:r>
          </w:p>
          <w:p w14:paraId="25AABE6E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1.基本信息 </w:t>
            </w:r>
          </w:p>
          <w:p w14:paraId="513D8294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1.1支持板架：6-384孔</w:t>
            </w:r>
          </w:p>
          <w:p w14:paraId="430A04C2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1.2功能：吸收光检测、荧光检测、化学发光检测（辉光、闪光）</w:t>
            </w:r>
          </w:p>
          <w:p w14:paraId="68120486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  <w:r>
              <w:rPr>
                <w:rFonts w:hint="eastAsia"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测量模式：终点法、动力学、光谱扫描、孔扫描</w:t>
            </w:r>
          </w:p>
          <w:p w14:paraId="021B6BF6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2.吸收光</w:t>
            </w:r>
          </w:p>
          <w:p w14:paraId="6CCBFD9D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2.1光源：氙灯</w:t>
            </w:r>
          </w:p>
          <w:p w14:paraId="58268F39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2.2检测器：PD</w:t>
            </w:r>
          </w:p>
          <w:p w14:paraId="57CC9969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2.3波长</w:t>
            </w:r>
            <w:r>
              <w:rPr>
                <w:rFonts w:hint="eastAsia" w:ascii="Times New Roman" w:hAnsi="Times New Roman" w:cs="Times New Roman"/>
                <w:szCs w:val="24"/>
              </w:rPr>
              <w:t>精确度</w:t>
            </w:r>
            <w:r>
              <w:rPr>
                <w:rFonts w:ascii="Times New Roman" w:hAnsi="Times New Roman" w:cs="Times New Roman"/>
                <w:szCs w:val="24"/>
              </w:rPr>
              <w:t>：</w:t>
            </w:r>
            <w:r>
              <w:rPr>
                <w:rFonts w:hint="eastAsia" w:ascii="Times New Roman" w:hAnsi="Times New Roman" w:cs="Times New Roman"/>
                <w:szCs w:val="24"/>
              </w:rPr>
              <w:t>＜</w:t>
            </w:r>
            <w:r>
              <w:rPr>
                <w:rFonts w:ascii="Times New Roman" w:hAnsi="Times New Roman" w:cs="Times New Roman"/>
                <w:szCs w:val="24"/>
              </w:rPr>
              <w:t>2nm</w:t>
            </w:r>
          </w:p>
          <w:p w14:paraId="1E6E5ECE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2.4波长重</w:t>
            </w:r>
            <w:r>
              <w:rPr>
                <w:rFonts w:hint="eastAsia" w:ascii="Times New Roman" w:hAnsi="Times New Roman" w:cs="Times New Roman"/>
                <w:szCs w:val="24"/>
              </w:rPr>
              <w:t>现</w:t>
            </w:r>
            <w:r>
              <w:rPr>
                <w:rFonts w:ascii="Times New Roman" w:hAnsi="Times New Roman" w:cs="Times New Roman"/>
                <w:szCs w:val="24"/>
              </w:rPr>
              <w:t>性：</w:t>
            </w:r>
            <w:r>
              <w:rPr>
                <w:rFonts w:hint="eastAsia" w:ascii="Times New Roman" w:hAnsi="Times New Roman" w:cs="Times New Roman"/>
                <w:szCs w:val="24"/>
              </w:rPr>
              <w:t>±</w:t>
            </w:r>
            <w:r>
              <w:rPr>
                <w:rFonts w:ascii="Times New Roman" w:hAnsi="Times New Roman" w:cs="Times New Roman"/>
                <w:szCs w:val="24"/>
              </w:rPr>
              <w:t>0.2nm</w:t>
            </w:r>
          </w:p>
          <w:p w14:paraId="15DACB13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2.5半峰宽（FWHM）：＜2.5nm</w:t>
            </w:r>
          </w:p>
          <w:p w14:paraId="7AE9B6D9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2.6波长范围：200-1000nm，1nm步进</w:t>
            </w:r>
          </w:p>
          <w:p w14:paraId="254719E6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2.7测量范围：0-4 OD</w:t>
            </w:r>
          </w:p>
          <w:p w14:paraId="2CFBD851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2.8分辨率：</w:t>
            </w:r>
            <w:r>
              <w:rPr>
                <w:rFonts w:hint="eastAsia" w:ascii="Times New Roman" w:hAnsi="Times New Roman" w:cs="Times New Roman"/>
                <w:szCs w:val="24"/>
              </w:rPr>
              <w:t>不低于</w:t>
            </w:r>
            <w:r>
              <w:rPr>
                <w:rFonts w:ascii="Times New Roman" w:hAnsi="Times New Roman" w:cs="Times New Roman"/>
                <w:szCs w:val="24"/>
              </w:rPr>
              <w:t>0.0001 OD</w:t>
            </w:r>
          </w:p>
          <w:p w14:paraId="5E8F06C4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2.9准确性：96</w:t>
            </w:r>
            <w:r>
              <w:rPr>
                <w:rFonts w:hint="eastAsia" w:ascii="Times New Roman" w:hAnsi="Times New Roman" w:cs="Times New Roman"/>
                <w:szCs w:val="24"/>
              </w:rPr>
              <w:t>－</w:t>
            </w:r>
            <w:r>
              <w:rPr>
                <w:rFonts w:ascii="Times New Roman" w:hAnsi="Times New Roman" w:cs="Times New Roman"/>
                <w:szCs w:val="24"/>
              </w:rPr>
              <w:t>精确模式：±(1.0%+0.003Abs) @ (0.0-2.0Abs]；±2.0% @ (2.0-3.0Abs]</w:t>
            </w:r>
          </w:p>
          <w:p w14:paraId="6E359D64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2.10重复性：CV &lt; 1.0%或SD＜0.003 快速(0.0 - 3.0Abs]； </w:t>
            </w:r>
          </w:p>
          <w:p w14:paraId="6A9AB186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2.11杂散光：0.1%@220nm</w:t>
            </w:r>
          </w:p>
          <w:p w14:paraId="4C2C9B66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2.12线性：R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≥ 0.999 @ [0.0 - 3.0Abs]</w:t>
            </w:r>
          </w:p>
          <w:p w14:paraId="7C8FD7D6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2.13读数时间：96孔板：快速&lt;15s</w:t>
            </w:r>
          </w:p>
          <w:p w14:paraId="6936271D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2.14检测系统：拥有同源参比光路通道系统，优化算法</w:t>
            </w:r>
          </w:p>
          <w:p w14:paraId="15488506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3.荧光 </w:t>
            </w:r>
          </w:p>
          <w:p w14:paraId="3F1AF79C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3.1读数模式：顶读</w:t>
            </w:r>
          </w:p>
          <w:p w14:paraId="60871B41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3.2激发光源：氙灯</w:t>
            </w:r>
          </w:p>
          <w:p w14:paraId="3D38E55C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3.3检测器：PMT</w:t>
            </w:r>
          </w:p>
          <w:p w14:paraId="3B4D3A50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3.4波长范围：EX：200-1000nm；EM：270-850nm</w:t>
            </w:r>
          </w:p>
          <w:p w14:paraId="2DD111C1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3.5滤光片EX/EM：方便装配的模块化滤光片（3组）（485/530nm、523/564nm、624/692nm）</w:t>
            </w:r>
          </w:p>
          <w:p w14:paraId="764F705B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3.6检出限：</w:t>
            </w:r>
            <w:r>
              <w:rPr>
                <w:rFonts w:hint="eastAsia" w:ascii="Times New Roman" w:hAnsi="Times New Roman" w:cs="Times New Roman"/>
                <w:szCs w:val="24"/>
              </w:rPr>
              <w:t>不高于</w:t>
            </w:r>
            <w:r>
              <w:rPr>
                <w:rFonts w:ascii="Times New Roman" w:hAnsi="Times New Roman" w:cs="Times New Roman"/>
                <w:szCs w:val="24"/>
              </w:rPr>
              <w:t>1pM</w:t>
            </w:r>
          </w:p>
          <w:p w14:paraId="08B3DE71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3.7线性动态范围：</w:t>
            </w:r>
            <w:r>
              <w:rPr>
                <w:rFonts w:hint="eastAsia" w:ascii="Times New Roman" w:hAnsi="Times New Roman" w:cs="Times New Roman"/>
                <w:szCs w:val="24"/>
              </w:rPr>
              <w:t>≥</w:t>
            </w:r>
            <w:r>
              <w:rPr>
                <w:rFonts w:ascii="Times New Roman" w:hAnsi="Times New Roman" w:cs="Times New Roman"/>
                <w:szCs w:val="24"/>
              </w:rPr>
              <w:t xml:space="preserve">6 </w:t>
            </w:r>
            <w:r>
              <w:rPr>
                <w:rFonts w:hint="eastAsia" w:ascii="Times New Roman" w:hAnsi="Times New Roman" w:cs="Times New Roman"/>
                <w:szCs w:val="24"/>
              </w:rPr>
              <w:t>数量级</w:t>
            </w:r>
          </w:p>
          <w:p w14:paraId="22E6997D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4.化学发光 </w:t>
            </w:r>
          </w:p>
          <w:p w14:paraId="7DFB2850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4.1检测器：PMT</w:t>
            </w:r>
          </w:p>
          <w:p w14:paraId="1EE25AD5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4.2检出限：</w:t>
            </w:r>
            <w:r>
              <w:rPr>
                <w:rFonts w:hint="eastAsia" w:ascii="Times New Roman" w:hAnsi="Times New Roman" w:cs="Times New Roman"/>
                <w:szCs w:val="24"/>
              </w:rPr>
              <w:t>不高于</w:t>
            </w:r>
            <w:r>
              <w:rPr>
                <w:rFonts w:ascii="Times New Roman" w:hAnsi="Times New Roman" w:cs="Times New Roman"/>
                <w:szCs w:val="24"/>
              </w:rPr>
              <w:t>15amol/孔</w:t>
            </w:r>
          </w:p>
          <w:p w14:paraId="1083DAD6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4.3线性动态范围：</w:t>
            </w:r>
            <w:r>
              <w:rPr>
                <w:rFonts w:hint="eastAsia" w:ascii="Times New Roman" w:hAnsi="Times New Roman" w:cs="Times New Roman"/>
                <w:szCs w:val="24"/>
              </w:rPr>
              <w:t xml:space="preserve">≥ </w:t>
            </w:r>
            <w:r>
              <w:rPr>
                <w:rFonts w:ascii="Times New Roman" w:hAnsi="Times New Roman" w:cs="Times New Roman"/>
                <w:szCs w:val="24"/>
              </w:rPr>
              <w:t xml:space="preserve">6 </w:t>
            </w:r>
            <w:r>
              <w:rPr>
                <w:rFonts w:hint="eastAsia" w:ascii="Times New Roman" w:hAnsi="Times New Roman" w:cs="Times New Roman"/>
                <w:szCs w:val="24"/>
              </w:rPr>
              <w:t>数量级</w:t>
            </w:r>
          </w:p>
          <w:p w14:paraId="2AEA3D9B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★4.4串扰：≤ 0.005%，孔间干扰小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参选文件中须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提供彩页证明材料）</w:t>
            </w:r>
          </w:p>
          <w:p w14:paraId="05A7C204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5.振动&amp;孵育 </w:t>
            </w:r>
          </w:p>
          <w:p w14:paraId="0CC9DAD2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★5.1振动模式</w:t>
            </w:r>
            <w:r>
              <w:rPr>
                <w:rFonts w:hint="eastAsia" w:ascii="Times New Roman" w:hAnsi="Times New Roman" w:cs="Times New Roman"/>
                <w:szCs w:val="24"/>
              </w:rPr>
              <w:t>：</w:t>
            </w:r>
            <w:r>
              <w:rPr>
                <w:rFonts w:ascii="Times New Roman" w:hAnsi="Times New Roman" w:cs="Times New Roman"/>
                <w:szCs w:val="24"/>
              </w:rPr>
              <w:t>线性、环形、双环形，</w:t>
            </w:r>
            <w:r>
              <w:rPr>
                <w:rFonts w:hint="eastAsia" w:ascii="Times New Roman" w:hAnsi="Times New Roman" w:cs="Times New Roman"/>
                <w:szCs w:val="24"/>
              </w:rPr>
              <w:t>至少</w:t>
            </w:r>
            <w:r>
              <w:rPr>
                <w:rFonts w:ascii="Times New Roman" w:hAnsi="Times New Roman" w:cs="Times New Roman"/>
                <w:szCs w:val="24"/>
              </w:rPr>
              <w:t>3种速度可调并可选择rpm值，动力学过程中可执行背景振荡模式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参选文件中须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提供彩页证明材料）</w:t>
            </w:r>
          </w:p>
          <w:p w14:paraId="781AF88D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5.2孵育温度：</w:t>
            </w:r>
            <w:r>
              <w:rPr>
                <w:rFonts w:hint="eastAsia" w:ascii="Times New Roman" w:hAnsi="Times New Roman" w:cs="Times New Roman"/>
                <w:szCs w:val="24"/>
              </w:rPr>
              <w:t>室温</w:t>
            </w:r>
            <w:r>
              <w:rPr>
                <w:rFonts w:ascii="Times New Roman" w:hAnsi="Times New Roman" w:cs="Times New Roman"/>
                <w:szCs w:val="24"/>
              </w:rPr>
              <w:t>+4℃ 至 45℃</w:t>
            </w:r>
          </w:p>
          <w:p w14:paraId="32D1CA80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5.3温度均匀性：±0.5℃ @ 37℃</w:t>
            </w:r>
          </w:p>
          <w:p w14:paraId="1006B16E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6.软件 </w:t>
            </w:r>
          </w:p>
          <w:p w14:paraId="456F765C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★6.1孔扫描：单孔</w:t>
            </w:r>
            <w:r>
              <w:rPr>
                <w:rFonts w:hint="eastAsia" w:ascii="Times New Roman" w:hAnsi="Times New Roman" w:cs="Times New Roman"/>
                <w:szCs w:val="24"/>
              </w:rPr>
              <w:t>至少</w:t>
            </w:r>
            <w:r>
              <w:rPr>
                <w:rFonts w:ascii="Times New Roman" w:hAnsi="Times New Roman" w:cs="Times New Roman"/>
                <w:szCs w:val="24"/>
              </w:rPr>
              <w:t>可测900个点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参选文件中须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提供彩页证明材料）</w:t>
            </w:r>
          </w:p>
          <w:p w14:paraId="62BCBBA9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6.2用户界面：机器内置软件，独立使用</w:t>
            </w:r>
          </w:p>
          <w:p w14:paraId="43A0F6F5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6.3软件界面：中文/英文</w:t>
            </w:r>
          </w:p>
          <w:p w14:paraId="418C0E0B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6.4屏幕尺寸：液晶显示屏尺寸≥10寸，分辨率≥1920×1200，</w:t>
            </w:r>
          </w:p>
          <w:p w14:paraId="75D3D3EA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6.5可视化布板：未知、标品，空白，阳性对照，阴性对照，质控品等显示颜色不一样</w:t>
            </w:r>
          </w:p>
          <w:p w14:paraId="583B79A4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6.6用户管理系统：仪器内置可设置不同权限用户，账号安全保护</w:t>
            </w:r>
          </w:p>
          <w:p w14:paraId="4E80197F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6.7标准曲线库：标曲储存，无需每次现做标曲，调用即可进行浓度判断</w:t>
            </w:r>
          </w:p>
          <w:p w14:paraId="6E8ECB3F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6.8内置多种算法：减去空白、标曲、定性、定量、质控、动力学、光谱分析；算法自定义：根据需求增加所需算法</w:t>
            </w:r>
          </w:p>
          <w:p w14:paraId="78DD09C6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6.9共享库：程序、结果、标曲可以共享给另外一台多功能酶标仪</w:t>
            </w:r>
          </w:p>
          <w:p w14:paraId="3B49EE50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6.10操作显示：触屏输入，安卓系统，可外接键盘鼠标</w:t>
            </w:r>
          </w:p>
          <w:p w14:paraId="5A827E2A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6.11网络传输：检测数据报告可通过FTP上传至PC服务器</w:t>
            </w:r>
          </w:p>
          <w:p w14:paraId="51BC515C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★6.12二维码扫描：程序、标曲及滤光片信息可通过二维码扫描导入仪器</w:t>
            </w:r>
          </w:p>
          <w:p w14:paraId="41AEFAEB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6.13节能模式：设置任意时间，机器屏幕自动变暗进入节能模式，节约能量，任意按键退出节电模式。</w:t>
            </w:r>
          </w:p>
          <w:p w14:paraId="0C0623FC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6.14数据容量：</w:t>
            </w:r>
            <w:r>
              <w:rPr>
                <w:rFonts w:hint="eastAsia" w:ascii="Times New Roman" w:hAnsi="Times New Roman" w:cs="Times New Roman"/>
                <w:szCs w:val="24"/>
              </w:rPr>
              <w:t>≥</w:t>
            </w:r>
            <w:r>
              <w:rPr>
                <w:rFonts w:ascii="Times New Roman" w:hAnsi="Times New Roman" w:cs="Times New Roman"/>
                <w:szCs w:val="24"/>
              </w:rPr>
              <w:t>10GB，可存储</w:t>
            </w:r>
            <w:r>
              <w:rPr>
                <w:rFonts w:hint="eastAsia" w:ascii="Times New Roman" w:hAnsi="Times New Roman" w:cs="Times New Roman"/>
                <w:szCs w:val="24"/>
              </w:rPr>
              <w:t>不低于</w:t>
            </w:r>
            <w:r>
              <w:rPr>
                <w:rFonts w:ascii="Times New Roman" w:hAnsi="Times New Roman" w:cs="Times New Roman"/>
                <w:szCs w:val="24"/>
              </w:rPr>
              <w:t>20000条数据文件，数据导出格式：Excel、PDF、CSV格式</w:t>
            </w:r>
          </w:p>
          <w:p w14:paraId="18CD883E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★6.15机器配置四个物理按键，分别为启动，停止，板进板出，屏幕角度调节，其中启动，停止，板进板出的物理按键功能与显示屏内的启动，停止，板进板出的虚拟按键功能相对应，配置一个两用触摸笔，两种操作方式都可以实现板进板出、运行及停止。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参选文件中须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提供彩页证明材料）</w:t>
            </w:r>
          </w:p>
          <w:p w14:paraId="400FCD0F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6.16兼容性：支持PC软件，Win7至Win10 64位</w:t>
            </w:r>
          </w:p>
          <w:p w14:paraId="32ED575C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6.17通过LCD物理按键控制屏幕有两种角度，方便站立和坐下两种姿势操作机器，适应不同操作习惯。</w:t>
            </w:r>
          </w:p>
          <w:p w14:paraId="5CF8AC2D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6.18数据导出USB接口有防尘仓保护，防水防尘，有开关门设计。</w:t>
            </w:r>
          </w:p>
          <w:p w14:paraId="04A8EB84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7.其他 </w:t>
            </w:r>
          </w:p>
          <w:p w14:paraId="64C448DB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7.1仪器接口：</w:t>
            </w:r>
            <w:r>
              <w:rPr>
                <w:rFonts w:hint="eastAsia" w:ascii="Times New Roman" w:hAnsi="Times New Roman" w:cs="Times New Roman"/>
                <w:szCs w:val="24"/>
              </w:rPr>
              <w:t>至少包含</w:t>
            </w:r>
            <w:r>
              <w:rPr>
                <w:rFonts w:ascii="Times New Roman" w:hAnsi="Times New Roman" w:cs="Times New Roman"/>
                <w:szCs w:val="24"/>
              </w:rPr>
              <w:t>2个USB A型口、1个USB B型口、1个以太网口、RS232接口</w:t>
            </w:r>
          </w:p>
          <w:p w14:paraId="0465DEDA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  <w:r>
              <w:rPr>
                <w:rFonts w:hint="eastAsia"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电源：AC 100至240V，50至60Hz</w:t>
            </w:r>
          </w:p>
          <w:p w14:paraId="0C245F85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  <w:r>
              <w:rPr>
                <w:rFonts w:hint="eastAsia" w:ascii="Times New Roman" w:hAnsi="Times New Roman" w:cs="Times New Roman"/>
                <w:szCs w:val="24"/>
              </w:rPr>
              <w:t>3</w:t>
            </w:r>
            <w:r>
              <w:rPr>
                <w:rFonts w:ascii="Times New Roman" w:hAnsi="Times New Roman" w:cs="Times New Roman"/>
                <w:szCs w:val="24"/>
              </w:rPr>
              <w:t>重量：≤33kg</w:t>
            </w:r>
          </w:p>
          <w:p w14:paraId="4F8088AF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8. </w:t>
            </w:r>
            <w:r>
              <w:rPr>
                <w:rFonts w:hint="eastAsia" w:ascii="Times New Roman" w:hAnsi="Times New Roman" w:cs="Times New Roman"/>
                <w:szCs w:val="24"/>
              </w:rPr>
              <w:t>须支持</w:t>
            </w:r>
            <w:r>
              <w:rPr>
                <w:rFonts w:ascii="Times New Roman" w:hAnsi="Times New Roman" w:cs="Times New Roman"/>
                <w:szCs w:val="24"/>
              </w:rPr>
              <w:t>预留微量板接口，方便后期拓展这个功能</w:t>
            </w:r>
          </w:p>
          <w:p w14:paraId="71EC1852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8.1样本数量：1</w:t>
            </w:r>
            <w:r>
              <w:rPr>
                <w:rFonts w:hint="eastAsia" w:ascii="Times New Roman" w:hAnsi="Times New Roman" w:cs="Times New Roman"/>
                <w:szCs w:val="24"/>
              </w:rPr>
              <w:t>—</w:t>
            </w:r>
            <w:r>
              <w:rPr>
                <w:rFonts w:ascii="Times New Roman" w:hAnsi="Times New Roman" w:cs="Times New Roman"/>
                <w:szCs w:val="24"/>
              </w:rPr>
              <w:t>16个</w:t>
            </w:r>
          </w:p>
          <w:p w14:paraId="56DC6B0A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8.2样本检测量 2-4uL</w:t>
            </w:r>
          </w:p>
          <w:p w14:paraId="658BF5DF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8.3用微量板可以直接给出样品（DNA、蛋白等）浓度与纯度报告</w:t>
            </w:r>
          </w:p>
          <w:p w14:paraId="27E76C0B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9. </w:t>
            </w:r>
            <w:r>
              <w:rPr>
                <w:rFonts w:hint="eastAsia" w:ascii="Times New Roman" w:hAnsi="Times New Roman" w:cs="Times New Roman"/>
                <w:szCs w:val="24"/>
              </w:rPr>
              <w:t>须支持</w:t>
            </w:r>
            <w:r>
              <w:rPr>
                <w:rFonts w:ascii="Times New Roman" w:hAnsi="Times New Roman" w:cs="Times New Roman"/>
                <w:szCs w:val="24"/>
              </w:rPr>
              <w:t xml:space="preserve">预留自动加样器接口，方便后期拓展这个功能  </w:t>
            </w:r>
          </w:p>
          <w:p w14:paraId="6469252E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9.1数量：1</w:t>
            </w:r>
            <w:r>
              <w:rPr>
                <w:rFonts w:hint="eastAsia" w:ascii="Times New Roman" w:hAnsi="Times New Roman" w:cs="Times New Roman"/>
                <w:szCs w:val="24"/>
              </w:rPr>
              <w:t>或</w:t>
            </w:r>
            <w:r>
              <w:rPr>
                <w:rFonts w:ascii="Times New Roman" w:hAnsi="Times New Roman" w:cs="Times New Roman"/>
                <w:szCs w:val="24"/>
              </w:rPr>
              <w:t>2个</w:t>
            </w:r>
          </w:p>
          <w:p w14:paraId="226504F6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9.2分液体积：5-1000μL，1μL增量</w:t>
            </w:r>
          </w:p>
          <w:p w14:paraId="7B059B5C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9.3注液速度：125-500 μL/s</w:t>
            </w:r>
          </w:p>
          <w:p w14:paraId="7DE48BC7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9.4准确性：±1μL @ 5-50μL；±2% @ 51-1000μL</w:t>
            </w:r>
          </w:p>
          <w:p w14:paraId="69188212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9.5废液收集：</w:t>
            </w:r>
            <w:r>
              <w:rPr>
                <w:rFonts w:hint="eastAsia" w:ascii="Times New Roman" w:hAnsi="Times New Roman" w:cs="Times New Roman"/>
                <w:szCs w:val="24"/>
              </w:rPr>
              <w:t>≥</w:t>
            </w:r>
            <w:r>
              <w:rPr>
                <w:rFonts w:ascii="Times New Roman" w:hAnsi="Times New Roman" w:cs="Times New Roman"/>
                <w:szCs w:val="24"/>
              </w:rPr>
              <w:t>50mL</w:t>
            </w:r>
          </w:p>
          <w:p w14:paraId="55F545B6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</w:t>
            </w:r>
            <w:r>
              <w:rPr>
                <w:rFonts w:hint="eastAsia" w:ascii="Times New Roman" w:hAnsi="Times New Roman" w:cs="Times New Roman"/>
                <w:szCs w:val="24"/>
              </w:rPr>
              <w:t>须配备</w:t>
            </w:r>
            <w:r>
              <w:rPr>
                <w:rFonts w:ascii="Times New Roman" w:hAnsi="Times New Roman" w:cs="Times New Roman"/>
                <w:szCs w:val="24"/>
              </w:rPr>
              <w:t>PC软件接口</w:t>
            </w:r>
          </w:p>
          <w:p w14:paraId="15C13C31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10.1预装ReaderIt-II软件，支持电脑端和机器端两种不同操作模式</w:t>
            </w:r>
          </w:p>
        </w:tc>
        <w:tc>
          <w:tcPr>
            <w:tcW w:w="1105" w:type="dxa"/>
            <w:noWrap w:val="0"/>
            <w:vAlign w:val="center"/>
          </w:tcPr>
          <w:p w14:paraId="2936E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台</w:t>
            </w:r>
          </w:p>
        </w:tc>
        <w:tc>
          <w:tcPr>
            <w:tcW w:w="1141" w:type="dxa"/>
            <w:noWrap w:val="0"/>
            <w:vAlign w:val="center"/>
          </w:tcPr>
          <w:p w14:paraId="4BB8E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14:paraId="0F57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  <w:noWrap w:val="0"/>
            <w:vAlign w:val="center"/>
          </w:tcPr>
          <w:p w14:paraId="741BF617">
            <w:pPr>
              <w:pStyle w:val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23" w:type="dxa"/>
            <w:noWrap w:val="0"/>
            <w:vAlign w:val="center"/>
          </w:tcPr>
          <w:p w14:paraId="07BA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多功能化学发光图像分析系统</w:t>
            </w:r>
          </w:p>
        </w:tc>
        <w:tc>
          <w:tcPr>
            <w:tcW w:w="5192" w:type="dxa"/>
            <w:noWrap w:val="0"/>
            <w:vAlign w:val="center"/>
          </w:tcPr>
          <w:p w14:paraId="46D41A01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（一）</w:t>
            </w:r>
            <w:r>
              <w:rPr>
                <w:rFonts w:ascii="Times New Roman" w:hAnsi="Times New Roman" w:cs="Times New Roman"/>
                <w:szCs w:val="24"/>
              </w:rPr>
              <w:t>技术参数</w:t>
            </w:r>
          </w:p>
          <w:p w14:paraId="6A01A406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★1.核心功能：适用于核酸与蛋白凝胶成像：支持 DNA、RNA 及蛋白凝胶的高精度检测；免染蛋白成像技术：无需考马斯亮蓝染色，直接实现蛋白电泳结果的快速成像；化学发光检测：适配 Western/Southern/Northern/Dot blot 等发光实验；涵盖杂交膜、蛋白转印膜、培养皿菌落计数、酶标板、点杂交、蛋白芯片、电化学及自发光检测。</w:t>
            </w:r>
          </w:p>
          <w:p w14:paraId="472DAA9C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★2.成像核心：采用高分辨率低照度数码制冷型CCD（非CMOS相机），冷却温度≤-45℃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zCs w:val="24"/>
              </w:rPr>
              <w:t>参选文件中须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提供证明文件）</w:t>
            </w:r>
            <w:r>
              <w:rPr>
                <w:rFonts w:ascii="Times New Roman" w:hAnsi="Times New Roman" w:cs="Times New Roman"/>
                <w:szCs w:val="24"/>
              </w:rPr>
              <w:t>。</w:t>
            </w:r>
          </w:p>
          <w:p w14:paraId="05B2ADEF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3.物理分辨率：≥600万像素（2688×2200），原生非插值输出。</w:t>
            </w:r>
          </w:p>
          <w:p w14:paraId="4AA4E7DC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4.检测灵敏度：CCD量子效率≥75%，可检测阿克（attogram）级蛋白样品。</w:t>
            </w:r>
          </w:p>
          <w:p w14:paraId="37617216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5.成像分辨率：300/600/1200 DPI。</w:t>
            </w:r>
          </w:p>
          <w:p w14:paraId="4B6F6556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6.像素合并模式：1×1, 2×2, 4×4（兼容6×6，8×8，12×12，16×16，24×24）。</w:t>
            </w:r>
          </w:p>
          <w:p w14:paraId="205E3BAA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7.镜头接口：</w:t>
            </w:r>
            <w:r>
              <w:rPr>
                <w:rFonts w:hint="eastAsia" w:ascii="Times New Roman" w:hAnsi="Times New Roman" w:cs="Times New Roman"/>
                <w:szCs w:val="24"/>
              </w:rPr>
              <w:t>需配备</w:t>
            </w:r>
            <w:r>
              <w:rPr>
                <w:rFonts w:ascii="Times New Roman" w:hAnsi="Times New Roman" w:cs="Times New Roman"/>
                <w:szCs w:val="24"/>
              </w:rPr>
              <w:t>大尺寸M42接口（直径≥42mm，非C接口）。</w:t>
            </w:r>
          </w:p>
          <w:p w14:paraId="378DD23B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★8.电动镜头：原生F/0.80电动镜头，无需改装即可达到F0.80光圈。</w:t>
            </w:r>
          </w:p>
          <w:p w14:paraId="5E3D8D3E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9.样品台：双层设计，兼容厚度0.01mm</w:t>
            </w:r>
            <w:r>
              <w:rPr>
                <w:rFonts w:hint="eastAsia" w:ascii="Times New Roman" w:hAnsi="Times New Roman" w:cs="Times New Roman"/>
                <w:szCs w:val="24"/>
              </w:rPr>
              <w:t>～</w:t>
            </w:r>
            <w:r>
              <w:rPr>
                <w:rFonts w:ascii="Times New Roman" w:hAnsi="Times New Roman" w:cs="Times New Roman"/>
                <w:szCs w:val="24"/>
              </w:rPr>
              <w:t>10cm的各类样品。</w:t>
            </w:r>
          </w:p>
          <w:p w14:paraId="24457E0E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10.光源配置：集成302nm紫外光源。</w:t>
            </w:r>
          </w:p>
          <w:p w14:paraId="4501B6B5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11.分析软件：全中文操作界面，自动识别8bit/16bit图像及序列图像；支持自动曝光优化及图像序列保存。</w:t>
            </w:r>
          </w:p>
          <w:p w14:paraId="754556EC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★12.数据可视化：支持三维图像渲染呈现。</w:t>
            </w:r>
          </w:p>
          <w:p w14:paraId="185B51E7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13.电脑配置一台：</w:t>
            </w:r>
            <w:r>
              <w:rPr>
                <w:rFonts w:hint="eastAsia" w:ascii="Times New Roman" w:hAnsi="Times New Roman" w:cs="Times New Roman"/>
                <w:szCs w:val="24"/>
              </w:rPr>
              <w:t>不低于四核高性能</w:t>
            </w:r>
            <w:r>
              <w:rPr>
                <w:rFonts w:ascii="Times New Roman" w:hAnsi="Times New Roman" w:cs="Times New Roman"/>
                <w:szCs w:val="24"/>
              </w:rPr>
              <w:t>处理器，</w:t>
            </w:r>
            <w:r>
              <w:rPr>
                <w:rFonts w:hint="eastAsia" w:ascii="Times New Roman" w:hAnsi="Times New Roman" w:cs="Times New Roman"/>
                <w:szCs w:val="24"/>
              </w:rPr>
              <w:t>≥</w:t>
            </w:r>
            <w:r>
              <w:rPr>
                <w:rFonts w:ascii="Times New Roman" w:hAnsi="Times New Roman" w:cs="Times New Roman"/>
                <w:szCs w:val="24"/>
              </w:rPr>
              <w:t>16GB 内存 + 1TB ，≥21英寸显示器。</w:t>
            </w:r>
          </w:p>
          <w:p w14:paraId="23BECEA0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14.配套电泳系统要求：双槽互联结构；双槽一体化外壳，支持同步独立电压条件实验；槽盖具备电极防反插保护；槽体设计：蝶型槽底壳隔断凸起，实时观测凝胶电泳进程</w:t>
            </w:r>
            <w:r>
              <w:rPr>
                <w:rFonts w:hint="eastAsia" w:ascii="Times New Roman" w:hAnsi="Times New Roman" w:cs="Times New Roman"/>
                <w:szCs w:val="24"/>
              </w:rPr>
              <w:t>；</w:t>
            </w:r>
            <w:r>
              <w:rPr>
                <w:rFonts w:ascii="Times New Roman" w:hAnsi="Times New Roman" w:cs="Times New Roman"/>
                <w:szCs w:val="24"/>
              </w:rPr>
              <w:t>支持1</w:t>
            </w:r>
            <w:r>
              <w:rPr>
                <w:rFonts w:hint="eastAsia" w:ascii="Times New Roman" w:hAnsi="Times New Roman" w:cs="Times New Roman"/>
                <w:szCs w:val="24"/>
              </w:rPr>
              <w:t>～</w:t>
            </w:r>
            <w:r>
              <w:rPr>
                <w:rFonts w:ascii="Times New Roman" w:hAnsi="Times New Roman" w:cs="Times New Roman"/>
                <w:szCs w:val="24"/>
              </w:rPr>
              <w:t>4块10×10cm手灌胶/预制胶并行电泳。制胶模块：蝶式卡扣制胶器，支持玻璃板平躺定位；标配一体化U型隔条强化玻璃。</w:t>
            </w:r>
          </w:p>
        </w:tc>
        <w:tc>
          <w:tcPr>
            <w:tcW w:w="1105" w:type="dxa"/>
            <w:noWrap w:val="0"/>
            <w:vAlign w:val="center"/>
          </w:tcPr>
          <w:p w14:paraId="5204B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台</w:t>
            </w:r>
          </w:p>
        </w:tc>
        <w:tc>
          <w:tcPr>
            <w:tcW w:w="1141" w:type="dxa"/>
            <w:noWrap w:val="0"/>
            <w:vAlign w:val="center"/>
          </w:tcPr>
          <w:p w14:paraId="28297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14:paraId="6757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773" w:type="dxa"/>
            <w:noWrap w:val="0"/>
            <w:vAlign w:val="center"/>
          </w:tcPr>
          <w:p w14:paraId="5134535F">
            <w:pPr>
              <w:pStyle w:val="4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23" w:type="dxa"/>
            <w:noWrap w:val="0"/>
            <w:vAlign w:val="center"/>
          </w:tcPr>
          <w:p w14:paraId="70C2B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超低温冰箱</w:t>
            </w:r>
          </w:p>
        </w:tc>
        <w:tc>
          <w:tcPr>
            <w:tcW w:w="5192" w:type="dxa"/>
            <w:noWrap w:val="0"/>
            <w:vAlign w:val="center"/>
          </w:tcPr>
          <w:p w14:paraId="230EF366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★</w:t>
            </w:r>
            <w:r>
              <w:rPr>
                <w:rFonts w:hint="eastAsia" w:ascii="Times New Roman" w:hAnsi="Times New Roman" w:cs="Times New Roman"/>
                <w:szCs w:val="24"/>
              </w:rPr>
              <w:t>1.</w:t>
            </w:r>
            <w:r>
              <w:rPr>
                <w:rFonts w:ascii="Times New Roman" w:hAnsi="Times New Roman" w:cs="Times New Roman"/>
                <w:szCs w:val="24"/>
              </w:rPr>
              <w:t>容积与结构：有效容量不小于670升，采用单门立式设计。</w:t>
            </w:r>
          </w:p>
          <w:p w14:paraId="73754410">
            <w:pPr>
              <w:pStyle w:val="4"/>
              <w:tabs>
                <w:tab w:val="left" w:pos="312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2.</w:t>
            </w:r>
            <w:r>
              <w:rPr>
                <w:rFonts w:ascii="Times New Roman" w:hAnsi="Times New Roman" w:cs="Times New Roman"/>
                <w:szCs w:val="24"/>
              </w:rPr>
              <w:t>尺寸与布局：外形尺寸（宽×深×高）控制在1030mm×1000mm×2000mm以内；内腔深度≥700mm，</w:t>
            </w:r>
            <w:r>
              <w:rPr>
                <w:rFonts w:hint="eastAsia" w:ascii="Times New Roman" w:hAnsi="Times New Roman" w:cs="Times New Roman"/>
                <w:szCs w:val="24"/>
              </w:rPr>
              <w:t>至少</w:t>
            </w:r>
            <w:r>
              <w:rPr>
                <w:rFonts w:ascii="Times New Roman" w:hAnsi="Times New Roman" w:cs="Times New Roman"/>
                <w:szCs w:val="24"/>
              </w:rPr>
              <w:t>可容纳20组5×5规格冻存架或500个2英寸标准冻存盒。</w:t>
            </w:r>
          </w:p>
          <w:p w14:paraId="77E8AD64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3.材质特性：箱体外壳为耐腐蚀钢板，便于维护清洁；内胆通过镀锌喷涂处理，提升抗腐蚀性能。</w:t>
            </w:r>
            <w:r>
              <w:rPr>
                <w:rFonts w:ascii="Times New Roman" w:hAnsi="Times New Roman" w:cs="Times New Roman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Cs w:val="24"/>
              </w:rPr>
              <w:t>4.温控系统：配备微电脑控制单元，集成多重传感器，确保温度范围维持在-86°C</w:t>
            </w:r>
            <w:r>
              <w:rPr>
                <w:rFonts w:hint="eastAsia" w:ascii="Times New Roman" w:hAnsi="Times New Roman" w:cs="Times New Roman"/>
                <w:szCs w:val="24"/>
              </w:rPr>
              <w:t>至</w:t>
            </w:r>
            <w:r>
              <w:rPr>
                <w:rFonts w:ascii="Times New Roman" w:hAnsi="Times New Roman" w:cs="Times New Roman"/>
                <w:szCs w:val="24"/>
              </w:rPr>
              <w:t>-40°C内；LED显示屏精度</w:t>
            </w:r>
            <w:r>
              <w:rPr>
                <w:rFonts w:hint="eastAsia" w:ascii="Times New Roman" w:hAnsi="Times New Roman" w:cs="Times New Roman"/>
                <w:szCs w:val="24"/>
              </w:rPr>
              <w:t>不低于</w:t>
            </w:r>
            <w:r>
              <w:rPr>
                <w:rFonts w:ascii="Times New Roman" w:hAnsi="Times New Roman" w:cs="Times New Roman"/>
                <w:szCs w:val="24"/>
              </w:rPr>
              <w:t>0.1°C。</w:t>
            </w:r>
            <w:r>
              <w:rPr>
                <w:rFonts w:ascii="Times New Roman" w:hAnsi="Times New Roman" w:cs="Times New Roman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Cs w:val="24"/>
              </w:rPr>
              <w:t>5.制冷设计：压缩机系统采用低噪音风机技术，冷凝散热风机智能启停，匹配压缩机运行状态。</w:t>
            </w:r>
          </w:p>
          <w:p w14:paraId="3342AE89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★6.温控性能：制冷核心采用双压缩机配置。</w:t>
            </w:r>
          </w:p>
          <w:p w14:paraId="3BA03A48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7.能效指标：根据《CQC6104-2016低温保存箱节能环保认证技术规范》，24小时能耗≤12kWh。</w:t>
            </w:r>
          </w:p>
          <w:p w14:paraId="3141493C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8.温度稳定性：通过≥20点内部测试，温度分布均匀度≤3.5°C，波动幅度≤2.5°C。</w:t>
            </w:r>
          </w:p>
          <w:p w14:paraId="492883E7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9.安全防护：支持开机延时与停机间隔保护功能，强化运行可靠性；具备键盘锁定和密码保护机制，防止参数误操作。</w:t>
            </w:r>
          </w:p>
          <w:p w14:paraId="4298342A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10.报警机制：集成声光报警功能，覆盖高低温、开门、电压异常、断电、传感器故障、散热不良及系统故障等异常情况，提升物品安全性。</w:t>
            </w:r>
          </w:p>
          <w:p w14:paraId="7642A72D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11.数据功能：内置USB接口支持数据导出，连接U盘自动记录当月及上月历史数据。</w:t>
            </w:r>
          </w:p>
          <w:p w14:paraId="5C042A1F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12.后备电源：标配蓄电池，断电后可持续显示温度、报警提示及USB供电至少8小时。</w:t>
            </w:r>
          </w:p>
          <w:p w14:paraId="7816D70A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13.保温能力：保温层厚度≥127mm，整机配置≥6道门封条；断电后温度恢复至-50°C所需时间≥330分钟。</w:t>
            </w:r>
          </w:p>
          <w:p w14:paraId="71552274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14.恢复测试：在稳定状态下，开启外门及顶内门角度≥90°，开启1分钟后关闭，降温至-75°C的耗时≤35分钟。</w:t>
            </w:r>
          </w:p>
          <w:p w14:paraId="6C24479F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15.制冷剂与环保：使用环境友好型制冷工质，用量符合国家安全标准要求。</w:t>
            </w:r>
          </w:p>
          <w:p w14:paraId="2B0863CE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16.运行功率：功耗不高于750瓦。</w:t>
            </w:r>
          </w:p>
          <w:p w14:paraId="6367E454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17.噪音控制：正常工作噪声≤51dB</w:t>
            </w:r>
            <w:r>
              <w:rPr>
                <w:rFonts w:hint="eastAsia" w:ascii="Times New Roman" w:hAnsi="Times New Roman" w:cs="Times New Roman"/>
                <w:szCs w:val="24"/>
              </w:rPr>
              <w:t>（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>
              <w:rPr>
                <w:rFonts w:hint="eastAsia" w:ascii="Times New Roman" w:hAnsi="Times New Roman" w:cs="Times New Roman"/>
                <w:szCs w:val="24"/>
              </w:rPr>
              <w:t>）</w:t>
            </w:r>
            <w:r>
              <w:rPr>
                <w:rFonts w:ascii="Times New Roman" w:hAnsi="Times New Roman" w:cs="Times New Roman"/>
                <w:szCs w:val="24"/>
              </w:rPr>
              <w:t>。</w:t>
            </w:r>
          </w:p>
          <w:p w14:paraId="08DD3BAC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18.辅助功能：</w:t>
            </w:r>
            <w:r>
              <w:rPr>
                <w:rFonts w:hint="eastAsia" w:ascii="Times New Roman" w:hAnsi="Times New Roman" w:cs="Times New Roman"/>
                <w:szCs w:val="24"/>
              </w:rPr>
              <w:t>须配备至少</w:t>
            </w:r>
            <w:r>
              <w:rPr>
                <w:rFonts w:ascii="Times New Roman" w:hAnsi="Times New Roman" w:cs="Times New Roman"/>
                <w:szCs w:val="24"/>
              </w:rPr>
              <w:t>3个温度测试孔位，孔径≤30mm，便于安装探头进行温度采集。</w:t>
            </w:r>
          </w:p>
          <w:p w14:paraId="674518EF">
            <w:pPr>
              <w:pStyle w:val="4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●</w:t>
            </w:r>
            <w:r>
              <w:rPr>
                <w:rFonts w:ascii="Times New Roman" w:hAnsi="Times New Roman" w:cs="Times New Roman"/>
                <w:szCs w:val="24"/>
              </w:rPr>
              <w:t>19.产品认证：</w:t>
            </w:r>
            <w:r>
              <w:rPr>
                <w:rFonts w:hint="eastAsia" w:ascii="Times New Roman" w:hAnsi="Times New Roman" w:cs="Times New Roman"/>
                <w:szCs w:val="24"/>
              </w:rPr>
              <w:t>提供</w:t>
            </w:r>
            <w:r>
              <w:rPr>
                <w:rFonts w:ascii="Times New Roman" w:hAnsi="Times New Roman" w:cs="Times New Roman"/>
                <w:szCs w:val="24"/>
              </w:rPr>
              <w:t>医疗器械注册证书。</w:t>
            </w:r>
          </w:p>
        </w:tc>
        <w:tc>
          <w:tcPr>
            <w:tcW w:w="1105" w:type="dxa"/>
            <w:noWrap w:val="0"/>
            <w:vAlign w:val="center"/>
          </w:tcPr>
          <w:p w14:paraId="7101F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台</w:t>
            </w:r>
          </w:p>
        </w:tc>
        <w:tc>
          <w:tcPr>
            <w:tcW w:w="1141" w:type="dxa"/>
            <w:noWrap w:val="0"/>
            <w:vAlign w:val="center"/>
          </w:tcPr>
          <w:p w14:paraId="55F1E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bookmarkEnd w:id="1"/>
    </w:tbl>
    <w:p w14:paraId="131A0B22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三、报价要求</w:t>
      </w:r>
    </w:p>
    <w:p w14:paraId="7B684434">
      <w:r>
        <w:rPr>
          <w:rFonts w:hint="eastAsia" w:ascii="宋体" w:hAnsi="宋体" w:cs="宋体"/>
          <w:color w:val="000000"/>
          <w:sz w:val="24"/>
          <w:szCs w:val="24"/>
        </w:rPr>
        <w:t>本项目报总价，比选报价包括本项目需求（包含比选文件要求内容、参选文件承诺内容、评审过程澄清修改内容等）的全部货物及所需附件购置费、包装费、运输费、人工费、保险费、安装调试费、各种税费、资料费、售后服务费及完成项目应有的全部费用，中选后比选人不再另行支付任何费用，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比选分项报价表中须明确列出所投产品所含货物名称、品牌、型号规格、原产地及生产厂商，否则可能导致响应无效。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@仿宋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56A77"/>
    <w:rsid w:val="5305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宋体" w:cs="@仿宋_GB2312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 Char Char Char Char Char Char1 Char"/>
    <w:basedOn w:val="1"/>
    <w:qFormat/>
    <w:uiPriority w:val="0"/>
    <w:rPr>
      <w:rFonts w:ascii="Arial" w:hAnsi="Arial" w:eastAsia="宋体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2026-01-15T07:55:00Z</dcterms:created>
  <dc:creator>森</dc:creator>
  <cp:lastModifiedBy>森</cp:lastModifiedBy>
  <dcterms:modified xsi:type="dcterms:W3CDTF">2026-01-15T07:55:31Z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AAA74FB395DD4188B7D7D797AD5FA61B_11</vt:lpwstr>
  </property>
  <property fmtid="{D5CDD505-2E9C-101B-9397-08002B2CF9AE}" pid="4" name="KSOTemplateDocerSaveRecord">
    <vt:lpwstr>eyJoZGlkIjoiYjVkYWU1YmQ2ZGU0ZGU3ZjU5OGE3M2ZkZDMyNDE4MGMiLCJ1c2VySWQiOiI0MzAwMTYzNzkifQ==</vt:lpwstr>
  </property>
</Properties>
</file>