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5BBE">
      <w:pPr>
        <w:wordWrap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kern w:val="44"/>
          <w:sz w:val="44"/>
          <w:szCs w:val="44"/>
        </w:rPr>
      </w:pPr>
      <w:bookmarkStart w:id="0" w:name="_Toc17676"/>
      <w:bookmarkStart w:id="1" w:name="_Toc19992"/>
      <w:r>
        <w:rPr>
          <w:rFonts w:hint="eastAsia" w:ascii="仿宋" w:hAnsi="仿宋" w:eastAsia="仿宋" w:cs="仿宋"/>
          <w:b/>
          <w:bCs/>
          <w:kern w:val="44"/>
          <w:sz w:val="44"/>
          <w:szCs w:val="44"/>
        </w:rPr>
        <w:t>第三章  招标需求</w:t>
      </w:r>
      <w:bookmarkEnd w:id="0"/>
      <w:bookmarkEnd w:id="1"/>
    </w:p>
    <w:p w14:paraId="6BB4410B">
      <w:pPr>
        <w:wordWrap w:val="0"/>
        <w:spacing w:line="360" w:lineRule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前注：</w:t>
      </w:r>
    </w:p>
    <w:p w14:paraId="673810A0">
      <w:pPr>
        <w:wordWrap w:val="0"/>
        <w:spacing w:line="360" w:lineRule="auto"/>
        <w:ind w:firstLine="43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本说明中提出的技术方案仅为参考，如无明确限制，投标人可以进行优化，提供满足用户实际需要的更优（或者性能实质上不低于的）技术方案，且此方案须评标委员会评标认可。</w:t>
      </w:r>
    </w:p>
    <w:p w14:paraId="4B43E6A6">
      <w:pPr>
        <w:wordWrap w:val="0"/>
        <w:spacing w:line="360" w:lineRule="auto"/>
        <w:ind w:firstLine="437"/>
        <w:rPr>
          <w:rFonts w:hint="eastAsia" w:ascii="仿宋" w:hAnsi="仿宋" w:eastAsia="仿宋" w:cs="仿宋"/>
          <w:b/>
          <w:sz w:val="24"/>
          <w:szCs w:val="18"/>
        </w:rPr>
      </w:pPr>
    </w:p>
    <w:p w14:paraId="2598A0CE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 w14:paraId="48045F3D">
      <w:pPr>
        <w:pStyle w:val="5"/>
        <w:outlineLvl w:val="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一、采购需求前附表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54"/>
        <w:gridCol w:w="5795"/>
      </w:tblGrid>
      <w:tr w14:paraId="307F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724D6845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Cs w:val="24"/>
              </w:rPr>
              <w:t>序号</w:t>
            </w:r>
          </w:p>
        </w:tc>
        <w:tc>
          <w:tcPr>
            <w:tcW w:w="2054" w:type="dxa"/>
            <w:vAlign w:val="center"/>
          </w:tcPr>
          <w:p w14:paraId="28CAD9EE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条款名称</w:t>
            </w:r>
          </w:p>
        </w:tc>
        <w:tc>
          <w:tcPr>
            <w:tcW w:w="5795" w:type="dxa"/>
            <w:vAlign w:val="center"/>
          </w:tcPr>
          <w:p w14:paraId="682B29C7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内容、说明与要求</w:t>
            </w:r>
          </w:p>
        </w:tc>
      </w:tr>
      <w:tr w14:paraId="2E5B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0CD888A8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</w:rPr>
              <w:t>1</w:t>
            </w:r>
          </w:p>
        </w:tc>
        <w:tc>
          <w:tcPr>
            <w:tcW w:w="2054" w:type="dxa"/>
            <w:vAlign w:val="center"/>
          </w:tcPr>
          <w:p w14:paraId="396BFA0D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5795" w:type="dxa"/>
            <w:vAlign w:val="center"/>
          </w:tcPr>
          <w:p w14:paraId="2FFB0C1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合同签订后，按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招标人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要求的提货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券面值、数量及供货时间等制作商品提货券送至招标人处，经核验无误后，由中标人开具发票（发票要求见采购需求）送至招标人进行结算,验收合格后，一次性据实结算。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投标人提交的投标文件中如有关于付款条件的表述与招标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文件规定不符，将被视为实质性不响应，将导致响应无效。</w:t>
            </w:r>
          </w:p>
        </w:tc>
      </w:tr>
      <w:tr w14:paraId="7533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76BF49A5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</w:rPr>
              <w:t>2</w:t>
            </w:r>
          </w:p>
        </w:tc>
        <w:tc>
          <w:tcPr>
            <w:tcW w:w="2054" w:type="dxa"/>
            <w:vAlign w:val="center"/>
          </w:tcPr>
          <w:p w14:paraId="3A1D60DC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</w:rPr>
              <w:t>供货及安装地点</w:t>
            </w:r>
          </w:p>
        </w:tc>
        <w:tc>
          <w:tcPr>
            <w:tcW w:w="5795" w:type="dxa"/>
            <w:vAlign w:val="center"/>
          </w:tcPr>
          <w:p w14:paraId="73AC3EC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安徽理工大学或采购人指定地点。</w:t>
            </w:r>
          </w:p>
        </w:tc>
      </w:tr>
      <w:tr w14:paraId="6B1E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1A03CACB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</w:rPr>
              <w:t>3</w:t>
            </w:r>
          </w:p>
        </w:tc>
        <w:tc>
          <w:tcPr>
            <w:tcW w:w="2054" w:type="dxa"/>
            <w:vAlign w:val="center"/>
          </w:tcPr>
          <w:p w14:paraId="30938FB2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</w:rPr>
              <w:t>供货及安装期限</w:t>
            </w:r>
          </w:p>
        </w:tc>
        <w:tc>
          <w:tcPr>
            <w:tcW w:w="5795" w:type="dxa"/>
            <w:vAlign w:val="center"/>
          </w:tcPr>
          <w:p w14:paraId="3757D59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接到采购方通知后5日内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08A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0776F3D0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  <w:lang w:val="en-US" w:eastAsia="zh-CN"/>
              </w:rPr>
            </w:pPr>
            <w:bookmarkStart w:id="2" w:name="_Toc302804901"/>
            <w:bookmarkStart w:id="3" w:name="_Toc1693477008"/>
            <w:bookmarkStart w:id="4" w:name="_Toc58935147"/>
            <w:bookmarkStart w:id="5" w:name="_Toc1191965283_WPSOffice_Level2"/>
            <w:bookmarkStart w:id="6" w:name="_Toc717369146"/>
            <w:bookmarkStart w:id="7" w:name="_Toc1715351726"/>
            <w:bookmarkStart w:id="8" w:name="_Toc626387511"/>
            <w:bookmarkStart w:id="9" w:name="_Toc369119811"/>
            <w:r>
              <w:rPr>
                <w:rFonts w:hint="eastAsia" w:ascii="仿宋" w:hAnsi="仿宋" w:eastAsia="仿宋" w:cs="仿宋"/>
                <w:bCs/>
                <w:kern w:val="2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4" w:type="dxa"/>
            <w:vAlign w:val="center"/>
          </w:tcPr>
          <w:p w14:paraId="77D5A2A1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highlight w:val="none"/>
                <w:lang w:val="en-US" w:eastAsia="zh-CN"/>
              </w:rPr>
              <w:t>提货券有效期</w:t>
            </w:r>
          </w:p>
        </w:tc>
        <w:tc>
          <w:tcPr>
            <w:tcW w:w="5795" w:type="dxa"/>
            <w:vAlign w:val="center"/>
          </w:tcPr>
          <w:p w14:paraId="10BAACA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供券之日起不低于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个月，提货劵需注明开始及截止时间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提货劵过期，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供应商须提供免费更换服务，更换后的提货券有效期不得低于6个月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更换服务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每个月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统一集中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办理一次。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5A8A5A06">
      <w:pPr>
        <w:spacing w:line="340" w:lineRule="exact"/>
        <w:ind w:firstLine="464" w:firstLineChars="196"/>
        <w:rPr>
          <w:rFonts w:ascii="宋体" w:hAnsi="宋体" w:eastAsia="宋体" w:cs="宋体"/>
          <w:b/>
          <w:bCs/>
          <w:spacing w:val="-2"/>
          <w:sz w:val="24"/>
          <w:szCs w:val="20"/>
        </w:rPr>
      </w:pPr>
      <w:bookmarkStart w:id="10" w:name="_Toc1101062245"/>
      <w:bookmarkStart w:id="11" w:name="_Toc1061105159_WPSOffice_Level2"/>
      <w:bookmarkStart w:id="12" w:name="_Toc902728931"/>
      <w:bookmarkStart w:id="13" w:name="_Toc1900587714"/>
      <w:bookmarkStart w:id="14" w:name="_Toc49042126"/>
      <w:bookmarkStart w:id="15" w:name="_Toc1520309192"/>
      <w:bookmarkStart w:id="16" w:name="_Toc1814319857"/>
      <w:bookmarkStart w:id="17" w:name="_Toc13384869"/>
      <w:r>
        <w:rPr>
          <w:rFonts w:hint="eastAsia" w:ascii="宋体" w:hAnsi="宋体" w:eastAsia="宋体" w:cs="宋体"/>
          <w:b/>
          <w:bCs/>
          <w:spacing w:val="-2"/>
          <w:sz w:val="24"/>
          <w:szCs w:val="2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0"/>
        </w:rPr>
        <w:t>项目概况</w:t>
      </w:r>
    </w:p>
    <w:p w14:paraId="6EEF1649">
      <w:pPr>
        <w:spacing w:line="360" w:lineRule="auto"/>
        <w:ind w:firstLine="56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安徽理工大学2026年离退休教职工春节福利采购项目拟采购内容为面值100元的超市米面油及日用品提货券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每人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400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元（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人数：1327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人），总预算约人民币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53.08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万元。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（数量为估算，仅作参考，实际数量以最终结算为准）</w:t>
      </w:r>
    </w:p>
    <w:p w14:paraId="215B7776">
      <w:pPr>
        <w:spacing w:line="340" w:lineRule="exact"/>
        <w:ind w:firstLine="464" w:firstLineChars="196"/>
        <w:rPr>
          <w:rFonts w:hint="eastAsia" w:ascii="宋体" w:hAnsi="宋体" w:eastAsia="宋体" w:cs="宋体"/>
          <w:b/>
          <w:bCs/>
          <w:spacing w:val="-2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0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0"/>
        </w:rPr>
        <w:t>采购需求</w:t>
      </w:r>
    </w:p>
    <w:p w14:paraId="24576377">
      <w:pPr>
        <w:spacing w:line="360" w:lineRule="auto"/>
        <w:ind w:firstLine="56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1.投标人须报一个每份提货券的总优惠额度，此优惠额度返还在每份提货券中。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bidi="ar"/>
        </w:rPr>
        <w:t>如：投标人每份提货券的优惠额度为人民币10元，则中标人应提供每份人民币110元的提货券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，并按每份提货券向采购人结算人民币100元。提货券的具体总张数和每张提货券的面值在供货前由招标人确定。</w:t>
      </w:r>
    </w:p>
    <w:p w14:paraId="068D5118">
      <w:pPr>
        <w:spacing w:line="360" w:lineRule="auto"/>
        <w:ind w:firstLine="560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2.中标人均按采购人要求的提货券面值、数量及供货时间等制作商品提货券，经核验无误后，由中标人开具发票送至采购人进行结算。开具发票明细需为“米、面、油”或“日用品”。</w:t>
      </w:r>
    </w:p>
    <w:p w14:paraId="39072557">
      <w:pPr>
        <w:spacing w:line="360" w:lineRule="auto"/>
        <w:ind w:firstLine="56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3.为方便职工购买，中标人须一次性提供“商品提货券”，离退休教职工在规定的期限内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（供券之日起不低于12个月，提货劵需注明开始及截止时间）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持券自行提货。离退休教职工所采购的物品除米面油及日用品外，还可选购中标单位超市内其它与节日相关的日用品。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如提货劵当年过期了，可申请办理延期使用，每个月办理一次。</w:t>
      </w:r>
    </w:p>
    <w:p w14:paraId="24CB3FC5">
      <w:pPr>
        <w:spacing w:line="360" w:lineRule="auto"/>
        <w:ind w:firstLine="560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4.投标人所供所有商品必须为原品牌正品，保证正规进货渠道，确保产品真实和质量，非贴牌商品，无假货；否则采购人有权解除合同，造成的一切损失均由投标人自行负责并承担相关法律责任。</w:t>
      </w:r>
    </w:p>
    <w:p w14:paraId="41067BFF">
      <w:pPr>
        <w:spacing w:line="360" w:lineRule="auto"/>
        <w:ind w:firstLine="560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5.“商品提货券”享受超市即时所有商品价格优惠活动。</w:t>
      </w:r>
    </w:p>
    <w:p w14:paraId="5FC1ADFF">
      <w:pPr>
        <w:pStyle w:val="5"/>
        <w:outlineLvl w:val="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、报价要求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8EEDF4C"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bidi="ar"/>
        </w:rPr>
        <w:t>本项目报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  <w:t>单份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bidi="ar"/>
        </w:rPr>
        <w:t>提货券的总优惠额度，如：投标人每份提货券的优惠额度为人民币10元，则中标人应提供每份人民币110元的提货券，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此处的110元即为单份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bidi="ar"/>
        </w:rPr>
        <w:t>提货券的总优惠额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度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eastAsia="zh-CN" w:bidi="ar"/>
        </w:rPr>
        <w:t>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招标人按100元每份金额据实结算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该项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报价包含但不限于运输劳务、利润、税金、政策性文件规定及合同包含的所有风险、责任、义务等，即为完成招标文件要求的供货内容所包含的一切应有费用，采购人后期不再追加费用，投标人自行考虑投标风险，投标分项报价表中须明确列出所投产品所含货物名称、品牌、型号规格、原产地及生产厂商，否则可能导致投标无效。</w:t>
      </w:r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95D4F"/>
    <w:rsid w:val="638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6">
    <w:name w:val="D&amp;L"/>
    <w:basedOn w:val="2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7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2026-01-06T05:34:00Z</dcterms:created>
  <dc:creator>森</dc:creator>
  <cp:lastModifiedBy>森</cp:lastModifiedBy>
  <dcterms:modified xsi:type="dcterms:W3CDTF">2026-01-06T05:34:25Z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338E0724439E42E183F65F164F7C8E47_11</vt:lpwstr>
  </property>
  <property fmtid="{D5CDD505-2E9C-101B-9397-08002B2CF9AE}" pid="4" name="KSOTemplateDocerSaveRecord">
    <vt:lpwstr>eyJoZGlkIjoiNTQ1MDIyMzg5ZmZjZDQ2NzkxNzU1MjYyYjBhMmI5MDMiLCJ1c2VySWQiOiI0MzAwMTYzNzkifQ==</vt:lpwstr>
  </property>
</Properties>
</file>