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CBB475">
      <w:pPr>
        <w:spacing w:line="360" w:lineRule="auto"/>
        <w:jc w:val="center"/>
        <w:outlineLvl w:val="1"/>
        <w:rPr>
          <w:rFonts w:hint="eastAsia" w:ascii="宋体" w:hAnsi="宋体" w:cs="宋体"/>
          <w:b/>
          <w:sz w:val="28"/>
        </w:rPr>
      </w:pPr>
      <w:bookmarkStart w:id="0" w:name="_Toc18464"/>
      <w:r>
        <w:rPr>
          <w:rFonts w:hint="eastAsia" w:ascii="宋体" w:hAnsi="宋体" w:cs="宋体"/>
          <w:b/>
          <w:sz w:val="28"/>
        </w:rPr>
        <w:t xml:space="preserve">第三章  </w:t>
      </w:r>
      <w:bookmarkStart w:id="1" w:name="_GoBack"/>
      <w:r>
        <w:rPr>
          <w:rFonts w:hint="eastAsia" w:ascii="宋体" w:hAnsi="宋体" w:cs="宋体"/>
          <w:b/>
          <w:sz w:val="28"/>
        </w:rPr>
        <w:t>采购需求</w:t>
      </w:r>
      <w:bookmarkEnd w:id="1"/>
      <w:bookmarkEnd w:id="0"/>
    </w:p>
    <w:p w14:paraId="5E1756EA">
      <w:pPr>
        <w:spacing w:line="360" w:lineRule="auto"/>
        <w:jc w:val="left"/>
        <w:rPr>
          <w:rFonts w:hint="eastAsia" w:ascii="宋体" w:hAnsi="宋体" w:cs="宋体"/>
          <w:b/>
          <w:sz w:val="24"/>
          <w:szCs w:val="24"/>
        </w:rPr>
      </w:pPr>
      <w:r>
        <w:rPr>
          <w:rFonts w:hint="eastAsia" w:ascii="宋体" w:hAnsi="宋体" w:cs="宋体"/>
          <w:b/>
          <w:sz w:val="24"/>
          <w:szCs w:val="24"/>
        </w:rPr>
        <w:t>前注：</w:t>
      </w:r>
    </w:p>
    <w:p w14:paraId="603085A3">
      <w:pPr>
        <w:spacing w:line="360" w:lineRule="auto"/>
        <w:ind w:firstLine="437"/>
        <w:jc w:val="left"/>
        <w:rPr>
          <w:rFonts w:hint="eastAsia" w:ascii="宋体" w:hAnsi="宋体" w:cs="宋体"/>
          <w:sz w:val="24"/>
          <w:szCs w:val="24"/>
        </w:rPr>
      </w:pPr>
      <w:r>
        <w:rPr>
          <w:rFonts w:hint="eastAsia" w:ascii="宋体" w:hAnsi="宋体" w:cs="宋体"/>
          <w:sz w:val="24"/>
          <w:szCs w:val="24"/>
        </w:rPr>
        <w:t>1.本说明中提出的技术方案仅为参考，如无明确限制，参选人可以进行优化，提供满足用户实际需要的更优（或者性能实质上不低于的）技术方案，且此方案须经评审小组评审认可；</w:t>
      </w:r>
    </w:p>
    <w:p w14:paraId="3139FF14">
      <w:pPr>
        <w:spacing w:line="360" w:lineRule="auto"/>
        <w:ind w:firstLine="437"/>
        <w:jc w:val="left"/>
        <w:rPr>
          <w:rFonts w:hint="eastAsia" w:ascii="宋体" w:hAnsi="宋体" w:cs="宋体"/>
          <w:sz w:val="24"/>
          <w:szCs w:val="24"/>
        </w:rPr>
      </w:pPr>
      <w:r>
        <w:rPr>
          <w:rFonts w:hint="eastAsia" w:ascii="宋体" w:hAnsi="宋体" w:cs="宋体"/>
          <w:sz w:val="24"/>
          <w:szCs w:val="24"/>
        </w:rPr>
        <w:t>2.为鼓励不同品牌的充分竞争，如某设备的某技术参数或要求属于个别品牌专有，则该技术参数及要求不具有限制性，参选人可对该参数或要求进行适当调整，并应当说明调整的理由，且此调整须经评审小组评审认可；</w:t>
      </w:r>
    </w:p>
    <w:p w14:paraId="03D6AAE0">
      <w:pPr>
        <w:spacing w:line="360" w:lineRule="auto"/>
        <w:ind w:firstLine="437"/>
        <w:jc w:val="left"/>
        <w:rPr>
          <w:rFonts w:hint="eastAsia" w:ascii="宋体" w:hAnsi="宋体" w:cs="宋体"/>
          <w:sz w:val="24"/>
          <w:szCs w:val="24"/>
        </w:rPr>
      </w:pPr>
      <w:r>
        <w:rPr>
          <w:rFonts w:hint="eastAsia" w:ascii="宋体" w:hAnsi="宋体" w:cs="宋体"/>
          <w:sz w:val="24"/>
          <w:szCs w:val="24"/>
        </w:rPr>
        <w:t>3.为有助于参选人选择参选产品，项目说明中可能提供了推荐品牌（或型号）、参考品牌（或型号）等，这些品牌（或型号）仅供参考，并无限制性。参选人可以选择性能不低于推荐（或参考）的品牌（或型号）的其他品牌产品，但比选时应当提供有关技术证明资料，未提供的可能导致响应无效；</w:t>
      </w:r>
    </w:p>
    <w:p w14:paraId="03FA994B">
      <w:pPr>
        <w:spacing w:line="360" w:lineRule="auto"/>
        <w:ind w:firstLine="437"/>
        <w:jc w:val="left"/>
        <w:rPr>
          <w:rFonts w:hint="eastAsia" w:ascii="宋体" w:hAnsi="宋体" w:cs="宋体"/>
          <w:b/>
          <w:sz w:val="24"/>
          <w:szCs w:val="24"/>
        </w:rPr>
      </w:pPr>
      <w:r>
        <w:rPr>
          <w:rFonts w:hint="eastAsia" w:ascii="宋体" w:hAnsi="宋体" w:cs="宋体"/>
          <w:sz w:val="24"/>
          <w:szCs w:val="24"/>
        </w:rPr>
        <w:t>4.下列采购需求中标注进口产品的货物均已履行相关论证手续，经核准采购进口产品，但不限制满足参选文件要求的国内产品参与竞争。未标注进口产品的货物均为拒绝采购进口产品。</w:t>
      </w:r>
      <w:r>
        <w:rPr>
          <w:rFonts w:hint="eastAsia" w:ascii="宋体" w:hAnsi="宋体" w:cs="宋体"/>
          <w:b/>
          <w:sz w:val="24"/>
          <w:szCs w:val="24"/>
        </w:rPr>
        <w:br w:type="page"/>
      </w:r>
      <w:r>
        <w:rPr>
          <w:rFonts w:hint="eastAsia" w:ascii="宋体" w:hAnsi="宋体" w:cs="宋体"/>
          <w:b/>
          <w:sz w:val="24"/>
          <w:szCs w:val="24"/>
        </w:rPr>
        <w:t xml:space="preserve">    一、采购需求前附表</w:t>
      </w:r>
    </w:p>
    <w:tbl>
      <w:tblPr>
        <w:tblStyle w:val="2"/>
        <w:tblW w:w="86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2034"/>
        <w:gridCol w:w="5776"/>
      </w:tblGrid>
      <w:tr w14:paraId="0BEEC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757C87E1">
            <w:pPr>
              <w:jc w:val="center"/>
              <w:rPr>
                <w:rFonts w:hint="eastAsia" w:ascii="宋体" w:hAnsi="宋体" w:cs="宋体"/>
                <w:b/>
                <w:sz w:val="24"/>
              </w:rPr>
            </w:pPr>
            <w:r>
              <w:rPr>
                <w:rFonts w:hint="eastAsia" w:ascii="宋体" w:hAnsi="宋体" w:cs="宋体"/>
                <w:b/>
                <w:sz w:val="24"/>
              </w:rPr>
              <w:t>序号</w:t>
            </w:r>
          </w:p>
        </w:tc>
        <w:tc>
          <w:tcPr>
            <w:tcW w:w="2034" w:type="dxa"/>
            <w:noWrap w:val="0"/>
            <w:vAlign w:val="center"/>
          </w:tcPr>
          <w:p w14:paraId="20EDA3DA">
            <w:pPr>
              <w:spacing w:line="360" w:lineRule="auto"/>
              <w:jc w:val="center"/>
              <w:rPr>
                <w:rFonts w:hint="eastAsia" w:ascii="宋体" w:hAnsi="宋体" w:cs="宋体"/>
                <w:b/>
                <w:kern w:val="0"/>
                <w:sz w:val="24"/>
                <w:szCs w:val="28"/>
              </w:rPr>
            </w:pPr>
            <w:r>
              <w:rPr>
                <w:rFonts w:hint="eastAsia" w:ascii="宋体" w:hAnsi="宋体" w:cs="宋体"/>
                <w:b/>
                <w:kern w:val="0"/>
                <w:sz w:val="24"/>
                <w:szCs w:val="28"/>
              </w:rPr>
              <w:t>条款名称</w:t>
            </w:r>
          </w:p>
        </w:tc>
        <w:tc>
          <w:tcPr>
            <w:tcW w:w="5776" w:type="dxa"/>
            <w:noWrap w:val="0"/>
            <w:vAlign w:val="center"/>
          </w:tcPr>
          <w:p w14:paraId="1D8F680F">
            <w:pPr>
              <w:spacing w:line="360" w:lineRule="auto"/>
              <w:jc w:val="center"/>
              <w:rPr>
                <w:rFonts w:hint="eastAsia" w:ascii="宋体" w:hAnsi="宋体" w:cs="宋体"/>
                <w:b/>
                <w:kern w:val="0"/>
                <w:sz w:val="24"/>
                <w:szCs w:val="28"/>
              </w:rPr>
            </w:pPr>
            <w:r>
              <w:rPr>
                <w:rFonts w:hint="eastAsia" w:ascii="宋体" w:hAnsi="宋体" w:cs="宋体"/>
                <w:b/>
                <w:kern w:val="0"/>
                <w:sz w:val="24"/>
                <w:szCs w:val="28"/>
              </w:rPr>
              <w:t>内容、说明与要求</w:t>
            </w:r>
          </w:p>
        </w:tc>
      </w:tr>
      <w:tr w14:paraId="7C47D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542ABB09">
            <w:pPr>
              <w:jc w:val="center"/>
              <w:rPr>
                <w:rFonts w:hint="eastAsia" w:ascii="宋体" w:hAnsi="宋体" w:cs="宋体"/>
                <w:bCs/>
                <w:sz w:val="24"/>
              </w:rPr>
            </w:pPr>
            <w:r>
              <w:rPr>
                <w:rFonts w:hint="eastAsia" w:ascii="宋体" w:hAnsi="宋体" w:cs="宋体"/>
                <w:bCs/>
                <w:sz w:val="24"/>
              </w:rPr>
              <w:t>1</w:t>
            </w:r>
          </w:p>
        </w:tc>
        <w:tc>
          <w:tcPr>
            <w:tcW w:w="2034" w:type="dxa"/>
            <w:noWrap w:val="0"/>
            <w:vAlign w:val="center"/>
          </w:tcPr>
          <w:p w14:paraId="7706664C">
            <w:pPr>
              <w:spacing w:line="360" w:lineRule="auto"/>
              <w:jc w:val="center"/>
              <w:rPr>
                <w:rFonts w:hint="eastAsia" w:ascii="宋体" w:hAnsi="宋体" w:cs="宋体"/>
                <w:bCs/>
                <w:kern w:val="0"/>
                <w:sz w:val="24"/>
                <w:szCs w:val="28"/>
              </w:rPr>
            </w:pPr>
            <w:r>
              <w:rPr>
                <w:rFonts w:hint="eastAsia" w:ascii="宋体" w:hAnsi="宋体"/>
                <w:bCs/>
                <w:kern w:val="0"/>
                <w:sz w:val="24"/>
                <w:szCs w:val="28"/>
              </w:rPr>
              <w:t>付款方式</w:t>
            </w:r>
          </w:p>
        </w:tc>
        <w:tc>
          <w:tcPr>
            <w:tcW w:w="5776" w:type="dxa"/>
            <w:noWrap w:val="0"/>
            <w:vAlign w:val="center"/>
          </w:tcPr>
          <w:p w14:paraId="3B5EF050">
            <w:pPr>
              <w:spacing w:line="360" w:lineRule="auto"/>
              <w:jc w:val="left"/>
              <w:rPr>
                <w:rFonts w:hint="eastAsia" w:ascii="宋体" w:hAnsi="宋体" w:cs="宋体"/>
                <w:bCs/>
                <w:kern w:val="0"/>
                <w:sz w:val="24"/>
                <w:lang w:eastAsia="zh-CN"/>
              </w:rPr>
            </w:pPr>
            <w:r>
              <w:rPr>
                <w:rFonts w:hint="eastAsia" w:ascii="宋体" w:hAnsi="宋体" w:cs="宋体"/>
                <w:bCs/>
                <w:kern w:val="0"/>
                <w:sz w:val="24"/>
                <w:lang w:eastAsia="zh-CN"/>
              </w:rPr>
              <w:t>设备安装调试完毕且经验收合格后一次性付清全部合同价款。</w:t>
            </w:r>
          </w:p>
          <w:p w14:paraId="645B847C">
            <w:pPr>
              <w:spacing w:line="360" w:lineRule="auto"/>
              <w:jc w:val="left"/>
              <w:rPr>
                <w:rFonts w:hint="eastAsia" w:ascii="宋体" w:hAnsi="宋体" w:cs="宋体"/>
                <w:bCs/>
                <w:kern w:val="0"/>
                <w:sz w:val="24"/>
                <w:lang w:eastAsia="zh-CN"/>
              </w:rPr>
            </w:pPr>
            <w:r>
              <w:rPr>
                <w:rFonts w:hint="eastAsia" w:ascii="宋体" w:hAnsi="宋体" w:eastAsia="宋体"/>
                <w:b/>
                <w:bCs/>
                <w:sz w:val="24"/>
                <w:u w:val="none"/>
              </w:rPr>
              <w:t>备注：付款之前中标人需开具合法有效的符合采购人财务要求的对应金额发票</w:t>
            </w:r>
          </w:p>
        </w:tc>
      </w:tr>
      <w:tr w14:paraId="6FE18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4084362F">
            <w:pPr>
              <w:jc w:val="center"/>
              <w:rPr>
                <w:rFonts w:hint="eastAsia" w:ascii="宋体" w:hAnsi="宋体" w:cs="宋体"/>
                <w:bCs/>
                <w:sz w:val="24"/>
              </w:rPr>
            </w:pPr>
            <w:r>
              <w:rPr>
                <w:rFonts w:hint="eastAsia" w:ascii="宋体" w:hAnsi="宋体" w:cs="宋体"/>
                <w:bCs/>
                <w:sz w:val="24"/>
              </w:rPr>
              <w:t>2</w:t>
            </w:r>
          </w:p>
        </w:tc>
        <w:tc>
          <w:tcPr>
            <w:tcW w:w="2034" w:type="dxa"/>
            <w:noWrap w:val="0"/>
            <w:vAlign w:val="center"/>
          </w:tcPr>
          <w:p w14:paraId="2F6D60D7">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供货及安装地点</w:t>
            </w:r>
          </w:p>
        </w:tc>
        <w:tc>
          <w:tcPr>
            <w:tcW w:w="5776" w:type="dxa"/>
            <w:noWrap w:val="0"/>
            <w:vAlign w:val="center"/>
          </w:tcPr>
          <w:p w14:paraId="6D4EBE12">
            <w:pPr>
              <w:spacing w:line="360" w:lineRule="auto"/>
              <w:jc w:val="left"/>
              <w:rPr>
                <w:rFonts w:hint="eastAsia" w:ascii="宋体" w:hAnsi="宋体" w:eastAsia="宋体" w:cs="宋体"/>
                <w:sz w:val="24"/>
                <w:lang w:eastAsia="zh-CN"/>
              </w:rPr>
            </w:pPr>
            <w:r>
              <w:rPr>
                <w:rFonts w:hint="eastAsia" w:ascii="宋体" w:hAnsi="宋体"/>
                <w:sz w:val="24"/>
                <w:lang w:eastAsia="zh-CN"/>
              </w:rPr>
              <w:t>安徽医科大学新医科中心（新校区）或采购人指定地点。</w:t>
            </w:r>
          </w:p>
        </w:tc>
      </w:tr>
      <w:tr w14:paraId="70E04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5C39C4AA">
            <w:pPr>
              <w:jc w:val="center"/>
              <w:rPr>
                <w:rFonts w:hint="eastAsia" w:ascii="宋体" w:hAnsi="宋体" w:cs="宋体"/>
                <w:bCs/>
                <w:sz w:val="24"/>
              </w:rPr>
            </w:pPr>
            <w:r>
              <w:rPr>
                <w:rFonts w:hint="eastAsia" w:ascii="宋体" w:hAnsi="宋体" w:cs="宋体"/>
                <w:bCs/>
                <w:sz w:val="24"/>
              </w:rPr>
              <w:t>3</w:t>
            </w:r>
          </w:p>
        </w:tc>
        <w:tc>
          <w:tcPr>
            <w:tcW w:w="2034" w:type="dxa"/>
            <w:noWrap w:val="0"/>
            <w:vAlign w:val="center"/>
          </w:tcPr>
          <w:p w14:paraId="5FA16731">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供货及安装期限</w:t>
            </w:r>
          </w:p>
        </w:tc>
        <w:tc>
          <w:tcPr>
            <w:tcW w:w="5776" w:type="dxa"/>
            <w:noWrap w:val="0"/>
            <w:vAlign w:val="center"/>
          </w:tcPr>
          <w:p w14:paraId="420FA649">
            <w:pPr>
              <w:spacing w:line="360" w:lineRule="auto"/>
              <w:jc w:val="left"/>
              <w:rPr>
                <w:rFonts w:hint="eastAsia" w:ascii="宋体" w:hAnsi="宋体" w:cs="宋体"/>
                <w:sz w:val="24"/>
              </w:rPr>
            </w:pPr>
            <w:r>
              <w:rPr>
                <w:rFonts w:hint="eastAsia" w:ascii="宋体" w:hAnsi="宋体" w:cs="宋体"/>
                <w:sz w:val="24"/>
                <w:szCs w:val="24"/>
                <w:lang w:eastAsia="zh-CN"/>
              </w:rPr>
              <w:t>合同签订后 60个日历天内完成供货安装任务</w:t>
            </w:r>
            <w:r>
              <w:rPr>
                <w:rFonts w:hint="eastAsia" w:ascii="宋体" w:hAnsi="宋体" w:cs="宋体"/>
                <w:bCs/>
                <w:kern w:val="0"/>
                <w:sz w:val="24"/>
                <w:szCs w:val="28"/>
              </w:rPr>
              <w:t>。</w:t>
            </w:r>
          </w:p>
        </w:tc>
      </w:tr>
      <w:tr w14:paraId="6A983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631089E6">
            <w:pPr>
              <w:jc w:val="center"/>
              <w:rPr>
                <w:rFonts w:hint="eastAsia" w:ascii="宋体" w:hAnsi="宋体" w:cs="宋体"/>
                <w:bCs/>
                <w:sz w:val="24"/>
              </w:rPr>
            </w:pPr>
            <w:r>
              <w:rPr>
                <w:rFonts w:hint="eastAsia" w:ascii="宋体" w:hAnsi="宋体" w:cs="宋体"/>
                <w:bCs/>
                <w:sz w:val="24"/>
              </w:rPr>
              <w:t>4</w:t>
            </w:r>
          </w:p>
        </w:tc>
        <w:tc>
          <w:tcPr>
            <w:tcW w:w="2034" w:type="dxa"/>
            <w:noWrap w:val="0"/>
            <w:vAlign w:val="center"/>
          </w:tcPr>
          <w:p w14:paraId="40624140">
            <w:pPr>
              <w:spacing w:line="360" w:lineRule="auto"/>
              <w:jc w:val="center"/>
              <w:rPr>
                <w:rFonts w:hint="eastAsia" w:ascii="宋体" w:hAnsi="宋体" w:cs="宋体"/>
                <w:bCs/>
                <w:kern w:val="0"/>
                <w:sz w:val="24"/>
                <w:szCs w:val="28"/>
              </w:rPr>
            </w:pPr>
            <w:r>
              <w:rPr>
                <w:rFonts w:hint="eastAsia" w:ascii="宋体" w:hAnsi="宋体"/>
                <w:bCs/>
                <w:kern w:val="0"/>
                <w:sz w:val="24"/>
                <w:szCs w:val="28"/>
              </w:rPr>
              <w:t>免费质保期</w:t>
            </w:r>
          </w:p>
        </w:tc>
        <w:tc>
          <w:tcPr>
            <w:tcW w:w="5776" w:type="dxa"/>
            <w:noWrap w:val="0"/>
            <w:vAlign w:val="center"/>
          </w:tcPr>
          <w:p w14:paraId="2547043F">
            <w:pPr>
              <w:spacing w:line="360" w:lineRule="auto"/>
              <w:jc w:val="left"/>
              <w:rPr>
                <w:rFonts w:ascii="宋体" w:hAnsi="宋体" w:cs="宋体"/>
                <w:sz w:val="24"/>
              </w:rPr>
            </w:pPr>
            <w:r>
              <w:rPr>
                <w:rFonts w:hint="eastAsia" w:ascii="宋体" w:hAnsi="宋体"/>
                <w:sz w:val="24"/>
                <w:szCs w:val="24"/>
              </w:rPr>
              <w:t>自验收合格之日起3</w:t>
            </w:r>
            <w:r>
              <w:rPr>
                <w:rFonts w:hint="eastAsia" w:ascii="宋体" w:hAnsi="宋体" w:cs="宋体"/>
                <w:sz w:val="24"/>
              </w:rPr>
              <w:t>年。</w:t>
            </w:r>
            <w:r>
              <w:rPr>
                <w:rFonts w:hint="eastAsia" w:ascii="宋体" w:hAnsi="宋体" w:cs="宋体"/>
                <w:b/>
                <w:kern w:val="0"/>
                <w:sz w:val="24"/>
                <w:szCs w:val="28"/>
              </w:rPr>
              <w:t>货物需求中另有要求的，以采购需求为准。</w:t>
            </w:r>
          </w:p>
        </w:tc>
      </w:tr>
    </w:tbl>
    <w:p w14:paraId="7B665B32">
      <w:pPr>
        <w:spacing w:line="360" w:lineRule="auto"/>
        <w:ind w:firstLine="437"/>
        <w:jc w:val="left"/>
        <w:rPr>
          <w:rFonts w:hint="eastAsia" w:ascii="宋体" w:hAnsi="宋体" w:cs="宋体"/>
          <w:b/>
          <w:sz w:val="24"/>
          <w:szCs w:val="24"/>
        </w:rPr>
      </w:pPr>
      <w:r>
        <w:rPr>
          <w:rFonts w:hint="eastAsia" w:ascii="宋体" w:hAnsi="宋体" w:cs="宋体"/>
          <w:b/>
          <w:sz w:val="24"/>
          <w:szCs w:val="24"/>
        </w:rPr>
        <w:t>二、货物需求</w:t>
      </w:r>
    </w:p>
    <w:p w14:paraId="5302CDD6">
      <w:pPr>
        <w:widowControl/>
        <w:spacing w:line="360" w:lineRule="auto"/>
        <w:ind w:firstLine="437"/>
        <w:jc w:val="left"/>
        <w:rPr>
          <w:rFonts w:hint="eastAsia" w:ascii="宋体" w:hAnsi="宋体" w:cs="宋体"/>
          <w:b/>
          <w:sz w:val="24"/>
          <w:szCs w:val="24"/>
        </w:rPr>
      </w:pPr>
      <w:r>
        <w:rPr>
          <w:rFonts w:hint="eastAsia" w:ascii="宋体" w:hAnsi="宋体" w:cs="宋体"/>
          <w:b/>
          <w:sz w:val="24"/>
          <w:szCs w:val="24"/>
        </w:rPr>
        <w:t>（一）货物指标要求</w:t>
      </w:r>
    </w:p>
    <w:tbl>
      <w:tblPr>
        <w:tblStyle w:val="2"/>
        <w:tblW w:w="50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8"/>
        <w:gridCol w:w="1290"/>
        <w:gridCol w:w="5249"/>
      </w:tblGrid>
      <w:tr w14:paraId="60302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197" w:type="pct"/>
            <w:noWrap w:val="0"/>
            <w:vAlign w:val="center"/>
          </w:tcPr>
          <w:p w14:paraId="2407466E">
            <w:pPr>
              <w:spacing w:line="360" w:lineRule="auto"/>
              <w:jc w:val="center"/>
              <w:rPr>
                <w:rFonts w:ascii="Times New Roman" w:hAnsi="Times New Roman" w:eastAsia="宋体" w:cs="Times New Roman"/>
                <w:b/>
                <w:bCs/>
                <w:sz w:val="24"/>
                <w:szCs w:val="18"/>
              </w:rPr>
            </w:pPr>
            <w:r>
              <w:rPr>
                <w:rFonts w:ascii="Times New Roman" w:hAnsi="Times New Roman" w:eastAsia="宋体" w:cs="Times New Roman"/>
                <w:b/>
                <w:bCs/>
                <w:sz w:val="24"/>
                <w:szCs w:val="18"/>
              </w:rPr>
              <w:t>标识重要性</w:t>
            </w:r>
          </w:p>
        </w:tc>
        <w:tc>
          <w:tcPr>
            <w:tcW w:w="750" w:type="pct"/>
            <w:noWrap w:val="0"/>
            <w:vAlign w:val="center"/>
          </w:tcPr>
          <w:p w14:paraId="1A84451A">
            <w:pPr>
              <w:spacing w:line="360" w:lineRule="auto"/>
              <w:jc w:val="center"/>
              <w:rPr>
                <w:rFonts w:ascii="Times New Roman" w:hAnsi="Times New Roman" w:eastAsia="宋体" w:cs="Times New Roman"/>
                <w:b/>
                <w:bCs/>
                <w:sz w:val="24"/>
                <w:szCs w:val="18"/>
              </w:rPr>
            </w:pPr>
            <w:r>
              <w:rPr>
                <w:rFonts w:ascii="Times New Roman" w:hAnsi="Times New Roman" w:eastAsia="宋体" w:cs="Times New Roman"/>
                <w:b/>
                <w:bCs/>
                <w:sz w:val="24"/>
                <w:szCs w:val="18"/>
              </w:rPr>
              <w:t>标识符号</w:t>
            </w:r>
          </w:p>
        </w:tc>
        <w:tc>
          <w:tcPr>
            <w:tcW w:w="3052" w:type="pct"/>
            <w:noWrap w:val="0"/>
            <w:vAlign w:val="center"/>
          </w:tcPr>
          <w:p w14:paraId="31DA3F84">
            <w:pPr>
              <w:spacing w:line="360" w:lineRule="auto"/>
              <w:jc w:val="center"/>
              <w:rPr>
                <w:rFonts w:ascii="Times New Roman" w:hAnsi="Times New Roman" w:eastAsia="宋体" w:cs="Times New Roman"/>
                <w:b/>
                <w:bCs/>
                <w:sz w:val="24"/>
                <w:szCs w:val="18"/>
              </w:rPr>
            </w:pPr>
            <w:r>
              <w:rPr>
                <w:rFonts w:ascii="Times New Roman" w:hAnsi="Times New Roman" w:eastAsia="宋体" w:cs="Times New Roman"/>
                <w:b/>
                <w:bCs/>
                <w:sz w:val="24"/>
                <w:szCs w:val="18"/>
              </w:rPr>
              <w:t>代表意思</w:t>
            </w:r>
          </w:p>
        </w:tc>
      </w:tr>
      <w:tr w14:paraId="7206A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7" w:type="pct"/>
            <w:noWrap w:val="0"/>
            <w:vAlign w:val="center"/>
          </w:tcPr>
          <w:p w14:paraId="5B3EB2DA">
            <w:pPr>
              <w:spacing w:line="360" w:lineRule="auto"/>
              <w:jc w:val="center"/>
              <w:rPr>
                <w:rFonts w:ascii="Times New Roman" w:hAnsi="Times New Roman" w:eastAsia="宋体" w:cs="Times New Roman"/>
                <w:sz w:val="24"/>
                <w:szCs w:val="18"/>
              </w:rPr>
            </w:pPr>
            <w:r>
              <w:rPr>
                <w:rFonts w:ascii="Times New Roman" w:hAnsi="Times New Roman" w:eastAsia="宋体" w:cs="Times New Roman"/>
                <w:sz w:val="24"/>
                <w:szCs w:val="18"/>
              </w:rPr>
              <w:t>重要指标项</w:t>
            </w:r>
          </w:p>
        </w:tc>
        <w:tc>
          <w:tcPr>
            <w:tcW w:w="750" w:type="pct"/>
            <w:noWrap w:val="0"/>
            <w:vAlign w:val="center"/>
          </w:tcPr>
          <w:p w14:paraId="4B989A83">
            <w:pPr>
              <w:spacing w:line="360" w:lineRule="auto"/>
              <w:jc w:val="center"/>
              <w:rPr>
                <w:rFonts w:ascii="Times New Roman" w:hAnsi="Times New Roman" w:eastAsia="宋体" w:cs="Times New Roman"/>
                <w:bCs/>
                <w:sz w:val="24"/>
                <w:szCs w:val="24"/>
              </w:rPr>
            </w:pPr>
            <w:r>
              <w:rPr>
                <w:rFonts w:hint="eastAsia" w:ascii="宋体" w:hAnsi="宋体" w:eastAsia="宋体" w:cs="宋体"/>
                <w:sz w:val="24"/>
                <w:szCs w:val="24"/>
              </w:rPr>
              <w:t>★</w:t>
            </w:r>
          </w:p>
        </w:tc>
        <w:tc>
          <w:tcPr>
            <w:tcW w:w="3052" w:type="pct"/>
            <w:noWrap w:val="0"/>
            <w:vAlign w:val="center"/>
          </w:tcPr>
          <w:p w14:paraId="5042D3C6">
            <w:pPr>
              <w:spacing w:line="360" w:lineRule="auto"/>
              <w:jc w:val="center"/>
              <w:rPr>
                <w:rFonts w:ascii="Times New Roman" w:hAnsi="Times New Roman" w:eastAsia="宋体" w:cs="Times New Roman"/>
                <w:sz w:val="24"/>
                <w:szCs w:val="18"/>
              </w:rPr>
            </w:pPr>
            <w:r>
              <w:rPr>
                <w:rFonts w:ascii="Times New Roman" w:hAnsi="Times New Roman" w:eastAsia="宋体" w:cs="Times New Roman"/>
                <w:sz w:val="24"/>
                <w:szCs w:val="18"/>
              </w:rPr>
              <w:t>评分项，详见评分细则</w:t>
            </w:r>
          </w:p>
        </w:tc>
      </w:tr>
      <w:tr w14:paraId="52AD0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197" w:type="pct"/>
            <w:noWrap w:val="0"/>
            <w:vAlign w:val="center"/>
          </w:tcPr>
          <w:p w14:paraId="19EA514C">
            <w:pPr>
              <w:spacing w:line="360" w:lineRule="auto"/>
              <w:jc w:val="center"/>
              <w:rPr>
                <w:rFonts w:ascii="Times New Roman" w:hAnsi="Times New Roman" w:eastAsia="宋体" w:cs="Times New Roman"/>
                <w:b/>
                <w:bCs/>
                <w:sz w:val="24"/>
                <w:szCs w:val="18"/>
              </w:rPr>
            </w:pPr>
            <w:r>
              <w:rPr>
                <w:rFonts w:ascii="Times New Roman" w:hAnsi="Times New Roman" w:eastAsia="宋体" w:cs="Times New Roman"/>
                <w:b/>
                <w:bCs/>
                <w:sz w:val="24"/>
                <w:szCs w:val="18"/>
              </w:rPr>
              <w:t>无标识项</w:t>
            </w:r>
          </w:p>
        </w:tc>
        <w:tc>
          <w:tcPr>
            <w:tcW w:w="750" w:type="pct"/>
            <w:noWrap w:val="0"/>
            <w:vAlign w:val="center"/>
          </w:tcPr>
          <w:p w14:paraId="3960C2DE">
            <w:pPr>
              <w:spacing w:line="360" w:lineRule="auto"/>
              <w:jc w:val="center"/>
              <w:rPr>
                <w:rFonts w:ascii="Times New Roman" w:hAnsi="Times New Roman" w:eastAsia="宋体" w:cs="Times New Roman"/>
                <w:b/>
                <w:bCs/>
                <w:sz w:val="24"/>
                <w:szCs w:val="18"/>
              </w:rPr>
            </w:pPr>
          </w:p>
        </w:tc>
        <w:tc>
          <w:tcPr>
            <w:tcW w:w="3052" w:type="pct"/>
            <w:noWrap w:val="0"/>
            <w:vAlign w:val="center"/>
          </w:tcPr>
          <w:p w14:paraId="0FAB4F9D">
            <w:pPr>
              <w:spacing w:line="360" w:lineRule="auto"/>
              <w:jc w:val="center"/>
              <w:rPr>
                <w:rFonts w:ascii="Times New Roman" w:hAnsi="Times New Roman" w:eastAsia="宋体" w:cs="Times New Roman"/>
                <w:b/>
                <w:bCs/>
                <w:sz w:val="24"/>
                <w:szCs w:val="18"/>
              </w:rPr>
            </w:pPr>
            <w:r>
              <w:rPr>
                <w:rFonts w:hint="eastAsia" w:ascii="Times New Roman" w:hAnsi="Times New Roman" w:eastAsia="宋体" w:cs="Times New Roman"/>
                <w:b/>
                <w:bCs/>
                <w:sz w:val="24"/>
                <w:szCs w:val="18"/>
              </w:rPr>
              <w:t>作为基础指标项，</w:t>
            </w:r>
            <w:r>
              <w:rPr>
                <w:rFonts w:hint="eastAsia" w:ascii="Times New Roman" w:hAnsi="Times New Roman" w:eastAsia="宋体" w:cs="Times New Roman"/>
                <w:b/>
                <w:bCs/>
                <w:sz w:val="24"/>
                <w:szCs w:val="18"/>
                <w:lang w:val="en-US" w:eastAsia="zh-CN"/>
              </w:rPr>
              <w:t>5</w:t>
            </w:r>
            <w:r>
              <w:rPr>
                <w:rFonts w:hint="eastAsia" w:ascii="Times New Roman" w:hAnsi="Times New Roman" w:eastAsia="宋体" w:cs="Times New Roman"/>
                <w:b/>
                <w:bCs/>
                <w:sz w:val="24"/>
                <w:szCs w:val="18"/>
              </w:rPr>
              <w:t>项及以上（含</w:t>
            </w:r>
            <w:r>
              <w:rPr>
                <w:rFonts w:hint="eastAsia" w:ascii="Times New Roman" w:hAnsi="Times New Roman" w:eastAsia="宋体" w:cs="Times New Roman"/>
                <w:b/>
                <w:bCs/>
                <w:sz w:val="24"/>
                <w:szCs w:val="18"/>
                <w:lang w:val="en-US" w:eastAsia="zh-CN"/>
              </w:rPr>
              <w:t>5</w:t>
            </w:r>
            <w:r>
              <w:rPr>
                <w:rFonts w:hint="eastAsia" w:ascii="Times New Roman" w:hAnsi="Times New Roman" w:eastAsia="宋体" w:cs="Times New Roman"/>
                <w:b/>
                <w:bCs/>
                <w:sz w:val="24"/>
                <w:szCs w:val="18"/>
              </w:rPr>
              <w:t>项）负偏离或未响应，将导致响应无效。</w:t>
            </w:r>
          </w:p>
        </w:tc>
      </w:tr>
      <w:tr w14:paraId="3DF15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noWrap w:val="0"/>
            <w:vAlign w:val="center"/>
          </w:tcPr>
          <w:p w14:paraId="02582C6C">
            <w:pPr>
              <w:spacing w:line="360" w:lineRule="auto"/>
              <w:rPr>
                <w:rFonts w:ascii="Times New Roman" w:hAnsi="Times New Roman" w:eastAsia="宋体" w:cs="Times New Roman"/>
                <w:b/>
                <w:sz w:val="24"/>
                <w:szCs w:val="24"/>
              </w:rPr>
            </w:pPr>
            <w:r>
              <w:rPr>
                <w:rFonts w:ascii="Times New Roman" w:hAnsi="Times New Roman" w:eastAsia="宋体" w:cs="Times New Roman"/>
                <w:b/>
                <w:sz w:val="24"/>
                <w:szCs w:val="24"/>
              </w:rPr>
              <w:t>注：如某项标识中包含多条技术参数或要求，则该项标识所含内容均需满足或优于招标文件要求，否则不予认可。</w:t>
            </w:r>
          </w:p>
        </w:tc>
      </w:tr>
    </w:tbl>
    <w:p w14:paraId="43EFBC52">
      <w:pPr>
        <w:widowControl/>
        <w:spacing w:line="360" w:lineRule="auto"/>
        <w:ind w:firstLine="437"/>
        <w:jc w:val="left"/>
        <w:rPr>
          <w:rFonts w:hint="eastAsia" w:ascii="宋体" w:hAnsi="宋体" w:cs="宋体"/>
          <w:b/>
          <w:sz w:val="24"/>
          <w:szCs w:val="24"/>
        </w:rPr>
      </w:pPr>
      <w:r>
        <w:rPr>
          <w:rFonts w:hint="eastAsia" w:ascii="宋体" w:hAnsi="宋体" w:cs="宋体"/>
          <w:b/>
          <w:sz w:val="24"/>
          <w:szCs w:val="24"/>
        </w:rPr>
        <w:t>（二）货物需求清单</w:t>
      </w:r>
    </w:p>
    <w:tbl>
      <w:tblPr>
        <w:tblStyle w:val="2"/>
        <w:tblW w:w="506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8"/>
        <w:gridCol w:w="1288"/>
        <w:gridCol w:w="5662"/>
        <w:gridCol w:w="1101"/>
      </w:tblGrid>
      <w:tr w14:paraId="79A4D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5" w:type="pct"/>
            <w:noWrap w:val="0"/>
            <w:vAlign w:val="center"/>
          </w:tcPr>
          <w:p w14:paraId="171AABB1">
            <w:pPr>
              <w:spacing w:line="360" w:lineRule="auto"/>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746" w:type="pct"/>
            <w:noWrap w:val="0"/>
            <w:vAlign w:val="center"/>
          </w:tcPr>
          <w:p w14:paraId="583B186C">
            <w:pPr>
              <w:spacing w:line="360" w:lineRule="auto"/>
              <w:jc w:val="center"/>
              <w:rPr>
                <w:rFonts w:ascii="宋体" w:hAnsi="宋体" w:eastAsia="宋体" w:cs="宋体"/>
                <w:b/>
                <w:bCs/>
                <w:sz w:val="24"/>
                <w:szCs w:val="24"/>
              </w:rPr>
            </w:pPr>
            <w:r>
              <w:rPr>
                <w:rFonts w:hint="eastAsia" w:ascii="宋体" w:hAnsi="宋体" w:eastAsia="宋体" w:cs="宋体"/>
                <w:b/>
                <w:bCs/>
                <w:sz w:val="24"/>
                <w:szCs w:val="24"/>
              </w:rPr>
              <w:t>货物名称</w:t>
            </w:r>
          </w:p>
        </w:tc>
        <w:tc>
          <w:tcPr>
            <w:tcW w:w="3280" w:type="pct"/>
            <w:noWrap w:val="0"/>
            <w:vAlign w:val="center"/>
          </w:tcPr>
          <w:p w14:paraId="3FCFAF81">
            <w:pPr>
              <w:spacing w:line="360" w:lineRule="auto"/>
              <w:jc w:val="center"/>
              <w:rPr>
                <w:rFonts w:ascii="宋体" w:hAnsi="宋体" w:eastAsia="宋体" w:cs="宋体"/>
                <w:b/>
                <w:bCs/>
                <w:sz w:val="24"/>
                <w:szCs w:val="24"/>
              </w:rPr>
            </w:pPr>
            <w:r>
              <w:rPr>
                <w:rFonts w:hint="eastAsia" w:ascii="宋体" w:hAnsi="宋体" w:eastAsia="宋体" w:cs="宋体"/>
                <w:b/>
                <w:bCs/>
                <w:sz w:val="24"/>
                <w:szCs w:val="24"/>
              </w:rPr>
              <w:t>技术参数及要求</w:t>
            </w:r>
          </w:p>
        </w:tc>
        <w:tc>
          <w:tcPr>
            <w:tcW w:w="638" w:type="pct"/>
            <w:noWrap w:val="0"/>
            <w:vAlign w:val="center"/>
          </w:tcPr>
          <w:p w14:paraId="6216032F">
            <w:pPr>
              <w:spacing w:line="360" w:lineRule="auto"/>
              <w:jc w:val="center"/>
              <w:rPr>
                <w:rFonts w:ascii="宋体" w:hAnsi="宋体" w:eastAsia="宋体" w:cs="宋体"/>
                <w:b/>
                <w:bCs/>
                <w:sz w:val="24"/>
                <w:szCs w:val="24"/>
              </w:rPr>
            </w:pPr>
            <w:r>
              <w:rPr>
                <w:rFonts w:hint="eastAsia" w:ascii="宋体" w:hAnsi="宋体" w:eastAsia="宋体" w:cs="宋体"/>
                <w:b/>
                <w:bCs/>
                <w:sz w:val="24"/>
                <w:szCs w:val="24"/>
              </w:rPr>
              <w:t>数量</w:t>
            </w:r>
          </w:p>
          <w:p w14:paraId="048141B0">
            <w:pPr>
              <w:spacing w:line="360" w:lineRule="auto"/>
              <w:jc w:val="center"/>
              <w:rPr>
                <w:rFonts w:ascii="宋体" w:hAnsi="宋体" w:eastAsia="宋体" w:cs="宋体"/>
                <w:b/>
                <w:bCs/>
                <w:sz w:val="24"/>
                <w:szCs w:val="24"/>
              </w:rPr>
            </w:pPr>
            <w:r>
              <w:rPr>
                <w:rFonts w:hint="eastAsia" w:ascii="宋体" w:hAnsi="宋体" w:eastAsia="宋体" w:cs="宋体"/>
                <w:b/>
                <w:bCs/>
                <w:sz w:val="24"/>
                <w:szCs w:val="24"/>
              </w:rPr>
              <w:t>（单位）</w:t>
            </w:r>
          </w:p>
        </w:tc>
      </w:tr>
      <w:tr w14:paraId="309A6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5" w:type="pct"/>
            <w:noWrap w:val="0"/>
            <w:vAlign w:val="center"/>
          </w:tcPr>
          <w:p w14:paraId="0877A0E5">
            <w:pPr>
              <w:spacing w:line="360" w:lineRule="auto"/>
              <w:jc w:val="center"/>
              <w:rPr>
                <w:rFonts w:ascii="宋体" w:hAnsi="宋体" w:eastAsia="宋体" w:cs="宋体"/>
                <w:sz w:val="24"/>
                <w:szCs w:val="24"/>
              </w:rPr>
            </w:pPr>
            <w:r>
              <w:rPr>
                <w:rFonts w:hint="eastAsia" w:ascii="宋体" w:hAnsi="宋体" w:eastAsia="宋体" w:cs="宋体"/>
                <w:sz w:val="24"/>
                <w:szCs w:val="24"/>
              </w:rPr>
              <w:t>1</w:t>
            </w:r>
          </w:p>
        </w:tc>
        <w:tc>
          <w:tcPr>
            <w:tcW w:w="746" w:type="pct"/>
            <w:noWrap w:val="0"/>
            <w:vAlign w:val="center"/>
          </w:tcPr>
          <w:p w14:paraId="685E61EC">
            <w:pPr>
              <w:spacing w:line="360" w:lineRule="auto"/>
              <w:jc w:val="center"/>
              <w:rPr>
                <w:rFonts w:ascii="宋体" w:hAnsi="宋体" w:eastAsia="宋体" w:cs="宋体"/>
                <w:bCs/>
                <w:sz w:val="24"/>
                <w:szCs w:val="24"/>
              </w:rPr>
            </w:pPr>
            <w:r>
              <w:rPr>
                <w:rFonts w:hint="eastAsia" w:ascii="宋体" w:hAnsi="宋体" w:eastAsia="宋体" w:cs="宋体"/>
                <w:bCs/>
                <w:sz w:val="24"/>
                <w:szCs w:val="24"/>
              </w:rPr>
              <w:t xml:space="preserve">固定式课桌椅 </w:t>
            </w:r>
          </w:p>
        </w:tc>
        <w:tc>
          <w:tcPr>
            <w:tcW w:w="3280" w:type="pct"/>
            <w:noWrap w:val="0"/>
            <w:vAlign w:val="center"/>
          </w:tcPr>
          <w:p w14:paraId="1999AE62">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1.尺寸：单人位桌面 600mm×350mm，厚度≥18mm，桌面高度约750mm，座板不小于450mm×380mm，厚度≥15mm；中心距≥600mm。</w:t>
            </w:r>
          </w:p>
          <w:p w14:paraId="270DC690">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2.材质：桌面板、背板为实木复合板，采用ENF级多层实木板基材，三聚氰胺饰面板。板材四周采用PP材质注塑封边一次成型，表面作防火处理。整体框架为铝合金，保证课桌椅牢固耐用。</w:t>
            </w:r>
          </w:p>
          <w:p w14:paraId="415D106E">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3.固定式课桌椅为2人位或3人位组合，可采用竖向和横向支撑组合，其中竖向支撑不少于2个；可采用独立竖向支撑方式，其中2人位组合使用3个竖向支撑，3人位组合使用4个竖向支撑。所有安装方式必须保证课桌椅牢固耐用。</w:t>
            </w:r>
          </w:p>
          <w:p w14:paraId="4258EF8D">
            <w:pPr>
              <w:adjustRightInd w:val="0"/>
              <w:snapToGrid w:val="0"/>
              <w:spacing w:line="360" w:lineRule="auto"/>
              <w:rPr>
                <w:rFonts w:hint="eastAsia" w:ascii="宋体" w:hAnsi="宋体" w:eastAsia="宋体" w:cs="宋体"/>
                <w:b/>
                <w:bCs/>
                <w:sz w:val="24"/>
                <w:szCs w:val="24"/>
              </w:rPr>
            </w:pPr>
            <w:r>
              <w:rPr>
                <w:rFonts w:hint="eastAsia" w:ascii="宋体" w:hAnsi="宋体" w:eastAsia="宋体" w:cs="宋体"/>
                <w:sz w:val="24"/>
                <w:szCs w:val="24"/>
              </w:rPr>
              <w:t>★4.整体性能检测报告：检测依据 QB/T4071-2021、GB/T35607-2024。检测结果要求：金属件喷涂层抗冲击（3.92J）无剥落、裂纹、皱纹现象，产品有害物质（甲醛释放量、苯、甲苯、二甲苯、总挥发性有机化合物等）符合标准要求，家具涂层可迁移元素（铅、镉、铬汞、锑、钡、硒、砷）检测合格。</w:t>
            </w:r>
            <w:r>
              <w:rPr>
                <w:rFonts w:hint="eastAsia" w:ascii="宋体" w:hAnsi="宋体" w:eastAsia="宋体" w:cs="宋体"/>
                <w:b/>
                <w:bCs/>
                <w:sz w:val="24"/>
                <w:szCs w:val="24"/>
              </w:rPr>
              <w:t>（合同签订后供货前向采购人提供第三方有权机构出具的带有 CMA 或 CNAS 标识的检测报告扫描件。如供货前未提供，采购人有权追究违约责任）</w:t>
            </w:r>
          </w:p>
          <w:p w14:paraId="0D39B51B">
            <w:pPr>
              <w:adjustRightInd w:val="0"/>
              <w:snapToGrid w:val="0"/>
              <w:spacing w:line="360" w:lineRule="auto"/>
              <w:rPr>
                <w:rFonts w:hint="eastAsia" w:ascii="宋体" w:hAnsi="宋体" w:eastAsia="宋体" w:cs="宋体"/>
                <w:b/>
                <w:bCs/>
                <w:sz w:val="24"/>
                <w:szCs w:val="24"/>
              </w:rPr>
            </w:pPr>
            <w:r>
              <w:rPr>
                <w:rFonts w:hint="eastAsia" w:ascii="宋体" w:hAnsi="宋体" w:eastAsia="宋体" w:cs="宋体"/>
                <w:sz w:val="24"/>
                <w:szCs w:val="24"/>
              </w:rPr>
              <w:t>★5.铝合金：检测依据：GB/T 3325-2024、GB/T 228.1-2021，检测结果要求：涂层应无漏喷、锈蚀和脱色、掉色现象，涂层应光滑均匀、色泽一致，应无流挂、疙瘩、皱皮、飞漆等缺陷：抗拉强度&gt;400MPa，断后伸长率&gt;15%，下屈服强度≥300MPa，规定塑性延伸强度&gt;300MPa，弹性模量&gt;80GPa。</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响应文件</w:t>
            </w:r>
            <w:r>
              <w:rPr>
                <w:rFonts w:hint="eastAsia" w:ascii="宋体" w:hAnsi="宋体" w:eastAsia="宋体" w:cs="宋体"/>
                <w:b/>
                <w:bCs/>
                <w:sz w:val="24"/>
                <w:szCs w:val="24"/>
              </w:rPr>
              <w:t>中</w:t>
            </w:r>
            <w:r>
              <w:rPr>
                <w:rFonts w:hint="eastAsia" w:ascii="宋体" w:hAnsi="宋体" w:eastAsia="宋体" w:cs="宋体"/>
                <w:b/>
                <w:bCs/>
                <w:sz w:val="24"/>
                <w:szCs w:val="24"/>
                <w:lang w:val="en-US" w:eastAsia="zh-CN"/>
              </w:rPr>
              <w:t>须</w:t>
            </w:r>
            <w:r>
              <w:rPr>
                <w:rFonts w:hint="eastAsia" w:ascii="宋体" w:hAnsi="宋体" w:eastAsia="宋体" w:cs="宋体"/>
                <w:b/>
                <w:bCs/>
                <w:sz w:val="24"/>
                <w:szCs w:val="24"/>
              </w:rPr>
              <w:t>提供第三方有权机构出具的带有CMA或CNAS标识的检测报告扫描件）</w:t>
            </w:r>
          </w:p>
          <w:p w14:paraId="4FD0ECB3">
            <w:pPr>
              <w:adjustRightInd w:val="0"/>
              <w:snapToGrid w:val="0"/>
              <w:spacing w:line="360" w:lineRule="auto"/>
              <w:rPr>
                <w:rFonts w:hint="eastAsia" w:ascii="宋体" w:hAnsi="宋体" w:eastAsia="宋体" w:cs="宋体"/>
                <w:b/>
                <w:bCs/>
                <w:sz w:val="24"/>
                <w:szCs w:val="24"/>
              </w:rPr>
            </w:pPr>
            <w:r>
              <w:rPr>
                <w:rFonts w:hint="eastAsia" w:ascii="宋体" w:hAnsi="宋体" w:eastAsia="宋体" w:cs="宋体"/>
                <w:sz w:val="24"/>
                <w:szCs w:val="24"/>
              </w:rPr>
              <w:t>★6.胶合板：检测依据：GB/T9846-2015、GB/T39600-2021，检测结果要求：含水率为III类含水率&lt;9%，胶合强度≥0.7MPa，静曲强度顺纹&gt;35MPa，横纹&gt;30MPa，弹性模量顺纹&gt;6200MPa，横纹&gt;5000MPa，以上项目检测合格率均达100%，甲醛释放量≤0.025mg/m3，符合ENF 级标准要求。</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响应文件</w:t>
            </w:r>
            <w:r>
              <w:rPr>
                <w:rFonts w:hint="eastAsia" w:ascii="宋体" w:hAnsi="宋体" w:eastAsia="宋体" w:cs="宋体"/>
                <w:b/>
                <w:bCs/>
                <w:sz w:val="24"/>
                <w:szCs w:val="24"/>
              </w:rPr>
              <w:t>中</w:t>
            </w:r>
            <w:r>
              <w:rPr>
                <w:rFonts w:hint="eastAsia" w:ascii="宋体" w:hAnsi="宋体" w:eastAsia="宋体" w:cs="宋体"/>
                <w:b/>
                <w:bCs/>
                <w:sz w:val="24"/>
                <w:szCs w:val="24"/>
                <w:lang w:val="en-US" w:eastAsia="zh-CN"/>
              </w:rPr>
              <w:t>须</w:t>
            </w:r>
            <w:r>
              <w:rPr>
                <w:rFonts w:hint="eastAsia" w:ascii="宋体" w:hAnsi="宋体" w:eastAsia="宋体" w:cs="宋体"/>
                <w:b/>
                <w:bCs/>
                <w:sz w:val="24"/>
                <w:szCs w:val="24"/>
              </w:rPr>
              <w:t>提供第三方有权机构出具的带有CMA或CNAS标识的检测报告扫描件）</w:t>
            </w:r>
          </w:p>
          <w:p w14:paraId="1CA8599B">
            <w:pPr>
              <w:adjustRightInd w:val="0"/>
              <w:snapToGrid w:val="0"/>
              <w:spacing w:line="360" w:lineRule="auto"/>
              <w:rPr>
                <w:rFonts w:hint="eastAsia" w:ascii="宋体" w:hAnsi="宋体" w:eastAsia="宋体" w:cs="宋体"/>
                <w:b/>
                <w:bCs/>
                <w:sz w:val="24"/>
                <w:szCs w:val="24"/>
              </w:rPr>
            </w:pPr>
            <w:r>
              <w:rPr>
                <w:rFonts w:hint="eastAsia" w:ascii="宋体" w:hAnsi="宋体" w:eastAsia="宋体" w:cs="宋体"/>
                <w:sz w:val="24"/>
                <w:szCs w:val="24"/>
              </w:rPr>
              <w:t>★7.胶合板阻燃性能</w:t>
            </w:r>
            <w:r>
              <w:rPr>
                <w:rFonts w:hint="default" w:ascii="宋体" w:hAnsi="宋体" w:eastAsia="宋体" w:cs="宋体"/>
                <w:sz w:val="24"/>
                <w:szCs w:val="24"/>
                <w:lang w:val="en-US"/>
              </w:rPr>
              <w:t>达</w:t>
            </w:r>
            <w:r>
              <w:rPr>
                <w:rFonts w:hint="eastAsia" w:ascii="宋体" w:hAnsi="宋体" w:eastAsia="宋体" w:cs="宋体"/>
                <w:sz w:val="24"/>
                <w:szCs w:val="24"/>
                <w:lang w:val="en-US" w:eastAsia="zh-CN"/>
              </w:rPr>
              <w:t>不低于</w:t>
            </w:r>
            <w:r>
              <w:rPr>
                <w:rFonts w:hint="eastAsia" w:ascii="宋体" w:hAnsi="宋体" w:eastAsia="宋体" w:cs="宋体"/>
                <w:sz w:val="24"/>
                <w:szCs w:val="24"/>
              </w:rPr>
              <w:t xml:space="preserve"> B1级。</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响应文件</w:t>
            </w:r>
            <w:r>
              <w:rPr>
                <w:rFonts w:hint="eastAsia" w:ascii="宋体" w:hAnsi="宋体" w:eastAsia="宋体" w:cs="宋体"/>
                <w:b/>
                <w:bCs/>
                <w:sz w:val="24"/>
                <w:szCs w:val="24"/>
              </w:rPr>
              <w:t>中</w:t>
            </w:r>
            <w:r>
              <w:rPr>
                <w:rFonts w:hint="eastAsia" w:ascii="宋体" w:hAnsi="宋体" w:eastAsia="宋体" w:cs="宋体"/>
                <w:b/>
                <w:bCs/>
                <w:sz w:val="24"/>
                <w:szCs w:val="24"/>
                <w:lang w:val="en-US" w:eastAsia="zh-CN"/>
              </w:rPr>
              <w:t>须</w:t>
            </w:r>
            <w:r>
              <w:rPr>
                <w:rFonts w:hint="eastAsia" w:ascii="宋体" w:hAnsi="宋体" w:eastAsia="宋体" w:cs="宋体"/>
                <w:b/>
                <w:bCs/>
                <w:sz w:val="24"/>
                <w:szCs w:val="24"/>
              </w:rPr>
              <w:t>提供第三方有权机构出具的带有CMA或CNAS标识的检测报告扫描件）</w:t>
            </w:r>
          </w:p>
          <w:p w14:paraId="7DFEBC9D">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★8.实木复合板：多层实木板基材，三聚氰胺饰面板，表面作防火处理。背板材质达ENF级环保要求，强度高。</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响应文件</w:t>
            </w:r>
            <w:r>
              <w:rPr>
                <w:rFonts w:hint="eastAsia" w:ascii="宋体" w:hAnsi="宋体" w:eastAsia="宋体" w:cs="宋体"/>
                <w:b/>
                <w:bCs/>
                <w:sz w:val="24"/>
                <w:szCs w:val="24"/>
              </w:rPr>
              <w:t>中</w:t>
            </w:r>
            <w:r>
              <w:rPr>
                <w:rFonts w:hint="eastAsia" w:ascii="宋体" w:hAnsi="宋体" w:eastAsia="宋体" w:cs="宋体"/>
                <w:b/>
                <w:bCs/>
                <w:sz w:val="24"/>
                <w:szCs w:val="24"/>
                <w:lang w:val="en-US" w:eastAsia="zh-CN"/>
              </w:rPr>
              <w:t>须</w:t>
            </w:r>
            <w:r>
              <w:rPr>
                <w:rFonts w:hint="eastAsia" w:ascii="宋体" w:hAnsi="宋体" w:eastAsia="宋体" w:cs="宋体"/>
                <w:b/>
                <w:bCs/>
                <w:sz w:val="24"/>
                <w:szCs w:val="24"/>
              </w:rPr>
              <w:t>提供第三方有权机构出具的带有CMA或CNAS标识的检测报告扫描件）</w:t>
            </w:r>
          </w:p>
          <w:p w14:paraId="46FAD35D">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★9.钢板符合 GB/T3325-2024 标准，金属喷漆（塑）涂层理化性能包含金属喷漆（塑）涂层：硬度、冲击强度、耐盐浴、附着力检测合格。</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响应文件</w:t>
            </w:r>
            <w:r>
              <w:rPr>
                <w:rFonts w:hint="eastAsia" w:ascii="宋体" w:hAnsi="宋体" w:eastAsia="宋体" w:cs="宋体"/>
                <w:b/>
                <w:bCs/>
                <w:sz w:val="24"/>
                <w:szCs w:val="24"/>
              </w:rPr>
              <w:t>中</w:t>
            </w:r>
            <w:r>
              <w:rPr>
                <w:rFonts w:hint="eastAsia" w:ascii="宋体" w:hAnsi="宋体" w:eastAsia="宋体" w:cs="宋体"/>
                <w:b/>
                <w:bCs/>
                <w:sz w:val="24"/>
                <w:szCs w:val="24"/>
                <w:lang w:val="en-US" w:eastAsia="zh-CN"/>
              </w:rPr>
              <w:t>须</w:t>
            </w:r>
            <w:r>
              <w:rPr>
                <w:rFonts w:hint="eastAsia" w:ascii="宋体" w:hAnsi="宋体" w:eastAsia="宋体" w:cs="宋体"/>
                <w:b/>
                <w:bCs/>
                <w:sz w:val="24"/>
                <w:szCs w:val="24"/>
              </w:rPr>
              <w:t>提供第三方有权机构出具的带有CMA或CNAS标识的检测报告扫描件）</w:t>
            </w:r>
          </w:p>
          <w:p w14:paraId="6F127750">
            <w:pPr>
              <w:numPr>
                <w:ilvl w:val="0"/>
                <w:numId w:val="0"/>
              </w:num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10.站脚：站脚主体采用铝合金一次成型，壁厚≥2mm，表面做防氧化处理后，高温喷涂处理，实用牢固，承受力大。站脚总高度可以调整阶梯高度150mm以内的写字板面板升高问题；与地面采用长度不小于10cm的M10膨胀螺丝固定，且配有脚盖内塞。</w:t>
            </w:r>
          </w:p>
          <w:p w14:paraId="3252AA93">
            <w:pPr>
              <w:numPr>
                <w:ilvl w:val="0"/>
                <w:numId w:val="0"/>
              </w:num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11.</w:t>
            </w:r>
            <w:r>
              <w:rPr>
                <w:rFonts w:hint="eastAsia" w:ascii="宋体" w:hAnsi="宋体" w:eastAsia="宋体" w:cs="宋体"/>
                <w:sz w:val="24"/>
                <w:szCs w:val="24"/>
              </w:rPr>
              <w:t>座板支撑组件：</w:t>
            </w:r>
          </w:p>
          <w:p w14:paraId="49D2E1BD">
            <w:pPr>
              <w:numPr>
                <w:ilvl w:val="0"/>
                <w:numId w:val="0"/>
              </w:numPr>
              <w:adjustRightInd w:val="0"/>
              <w:snapToGrid w:val="0"/>
              <w:spacing w:line="360" w:lineRule="auto"/>
              <w:rPr>
                <w:rFonts w:hint="eastAsia" w:ascii="宋体" w:hAnsi="宋体" w:eastAsia="宋体" w:cs="宋体"/>
                <w:b/>
                <w:bCs/>
                <w:sz w:val="24"/>
                <w:szCs w:val="24"/>
              </w:rPr>
            </w:pPr>
            <w:r>
              <w:rPr>
                <w:rFonts w:hint="eastAsia" w:ascii="宋体" w:hAnsi="宋体" w:eastAsia="宋体" w:cs="宋体"/>
                <w:sz w:val="24"/>
                <w:szCs w:val="24"/>
              </w:rPr>
              <w:t>★①座板支撑组件采用铝合金与塑料件结合的方式，功能上：带有防座板脱落挂钩，挂钩与座板支撑件采用铝合金一体压铸成型，保证牢固耐用、具体尺寸为：22</w:t>
            </w:r>
            <w:r>
              <w:rPr>
                <w:rFonts w:hint="eastAsia" w:ascii="宋体" w:hAnsi="宋体" w:eastAsia="宋体" w:cs="宋体"/>
                <w:sz w:val="24"/>
                <w:szCs w:val="24"/>
                <w:lang w:eastAsia="zh-CN"/>
              </w:rPr>
              <w:t>5</w:t>
            </w:r>
            <w:r>
              <w:rPr>
                <w:rFonts w:hint="eastAsia" w:ascii="宋体" w:hAnsi="宋体" w:eastAsia="宋体" w:cs="宋体"/>
                <w:sz w:val="24"/>
                <w:szCs w:val="24"/>
              </w:rPr>
              <w:t>mm±5mm*106mm±3mm*55mm±2mm、座板支撑件外有塑料件能够嵌入座板支撑件内且能盖住螺丝孔，保证美观、防尘及人为松动座板连接螺丝，座板支撑件装饰盖尺寸为：188mm±3mm*33mm±3mm*15mm±1mm。</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响应文件中须提供实物测量彩色照片，至少包含正面、侧面及俯视角度，合同签订后供货前提供样品供采购人核实）。</w:t>
            </w:r>
          </w:p>
          <w:p w14:paraId="4EC79C63">
            <w:pPr>
              <w:numPr>
                <w:ilvl w:val="0"/>
                <w:numId w:val="0"/>
              </w:num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★②站脚连接件：采用铝合金一体压铸成型，具体尺寸为：86mm±2mm*69mm±1mm*21mm±1mm。</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响应文件中须提供实物测量彩色照片，至少包含正面、侧面及俯视角度，合同签订后供货前提供样品供采购人核实）。</w:t>
            </w:r>
          </w:p>
          <w:p w14:paraId="282526BD">
            <w:pPr>
              <w:numPr>
                <w:ilvl w:val="0"/>
                <w:numId w:val="0"/>
              </w:num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★③站脚连接件塑料盖消音垫：采用ABS材料经模具注塑成，保证美观、防尘及防止座板滑落。具体尺寸为：85mm±2mm*45 mm±1mm*15mm±1mm</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响应文件中须提供实物测量彩色照片，至少包含正面、侧面及俯视角度，合同签订后供货前提供样品供采购人核实）。</w:t>
            </w:r>
          </w:p>
          <w:p w14:paraId="6C550FD3">
            <w:pPr>
              <w:numPr>
                <w:ilvl w:val="0"/>
                <w:numId w:val="0"/>
              </w:num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11.书斗：可采用直径不小于4mm金属圆条经折弯、组合焊接成型，表面做防氧化处理后，高温喷涂处理；或采用厚度≥15mm的多层实木板。</w:t>
            </w:r>
          </w:p>
          <w:p w14:paraId="459DE958">
            <w:pPr>
              <w:numPr>
                <w:ilvl w:val="0"/>
                <w:numId w:val="0"/>
              </w:num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12.受力横管：用优质</w:t>
            </w:r>
            <w:r>
              <w:rPr>
                <w:rFonts w:hint="eastAsia" w:ascii="宋体" w:hAnsi="宋体" w:eastAsia="宋体" w:cs="宋体"/>
                <w:sz w:val="24"/>
                <w:szCs w:val="24"/>
                <w:lang w:val="en-US" w:eastAsia="zh-CN"/>
              </w:rPr>
              <w:t>钢管</w:t>
            </w:r>
            <w:r>
              <w:rPr>
                <w:rFonts w:hint="eastAsia" w:ascii="宋体" w:hAnsi="宋体" w:eastAsia="宋体" w:cs="宋体"/>
                <w:sz w:val="24"/>
                <w:szCs w:val="24"/>
              </w:rPr>
              <w:t>经模具冲压成形，壁厚≥2mm，表面采用防锈静电喷</w:t>
            </w:r>
            <w:r>
              <w:rPr>
                <w:rFonts w:hint="eastAsia" w:ascii="宋体" w:hAnsi="宋体" w:eastAsia="宋体" w:cs="宋体"/>
                <w:sz w:val="24"/>
                <w:szCs w:val="24"/>
                <w:lang w:val="en-US" w:eastAsia="zh-CN"/>
              </w:rPr>
              <w:t>涂</w:t>
            </w:r>
            <w:r>
              <w:rPr>
                <w:rFonts w:hint="eastAsia" w:ascii="宋体" w:hAnsi="宋体" w:eastAsia="宋体" w:cs="宋体"/>
                <w:sz w:val="24"/>
                <w:szCs w:val="24"/>
              </w:rPr>
              <w:t>处理。</w:t>
            </w:r>
          </w:p>
          <w:p w14:paraId="71B33FB6">
            <w:pPr>
              <w:numPr>
                <w:ilvl w:val="0"/>
                <w:numId w:val="0"/>
              </w:numPr>
              <w:adjustRightInd w:val="0"/>
              <w:snapToGrid w:val="0"/>
              <w:spacing w:line="360" w:lineRule="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★13.</w:t>
            </w:r>
            <w:r>
              <w:rPr>
                <w:rFonts w:hint="eastAsia" w:ascii="宋体" w:hAnsi="宋体" w:eastAsia="宋体" w:cs="宋体"/>
                <w:b/>
                <w:bCs/>
                <w:sz w:val="24"/>
                <w:szCs w:val="24"/>
                <w:lang w:val="en-US" w:eastAsia="zh-CN"/>
              </w:rPr>
              <w:t>响应文件中须</w:t>
            </w:r>
            <w:r>
              <w:rPr>
                <w:rFonts w:hint="eastAsia" w:ascii="宋体" w:hAnsi="宋体" w:eastAsia="宋体" w:cs="宋体"/>
                <w:b/>
                <w:bCs/>
                <w:sz w:val="24"/>
                <w:szCs w:val="24"/>
              </w:rPr>
              <w:t>提供第三方有权机构出具的带有CMA或CNAS标识的</w:t>
            </w:r>
            <w:r>
              <w:rPr>
                <w:rFonts w:hint="eastAsia" w:ascii="宋体" w:hAnsi="宋体" w:eastAsia="宋体" w:cs="宋体"/>
                <w:b/>
                <w:bCs/>
                <w:sz w:val="24"/>
                <w:szCs w:val="24"/>
                <w:lang w:val="en-US" w:eastAsia="zh-CN"/>
              </w:rPr>
              <w:t>钢管检测报告扫描件</w:t>
            </w:r>
            <w:r>
              <w:rPr>
                <w:rFonts w:hint="eastAsia" w:ascii="宋体" w:hAnsi="宋体" w:eastAsia="宋体" w:cs="宋体"/>
                <w:sz w:val="24"/>
                <w:szCs w:val="24"/>
                <w:lang w:val="en-US" w:eastAsia="zh-CN"/>
              </w:rPr>
              <w:t>：GB/T 3325-2024、GB/T 10125-2021、GB/T 6461-2002、HJ 2547-2016、GB/T 1741-2020、QB/T 4371-2012。检测内容包含以下各项，检测结论为合格或满足相关标准要求：（1）外观性能、硬度、附着力、冲击强度、耐盐浴≥300h（2）可迁移元素含量。</w:t>
            </w:r>
          </w:p>
          <w:p w14:paraId="73716440">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4</w:t>
            </w:r>
            <w:r>
              <w:rPr>
                <w:rFonts w:hint="eastAsia" w:ascii="宋体" w:hAnsi="宋体" w:eastAsia="宋体" w:cs="宋体"/>
                <w:sz w:val="24"/>
                <w:szCs w:val="24"/>
              </w:rPr>
              <w:t>.座板回复结构：采用壁厚≥2mm的钢塑组合的回复机构，重力回位，无声响，安全稳定。</w:t>
            </w:r>
          </w:p>
          <w:p w14:paraId="124CF1C4">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5</w:t>
            </w:r>
            <w:r>
              <w:rPr>
                <w:rFonts w:hint="eastAsia" w:ascii="宋体" w:hAnsi="宋体" w:eastAsia="宋体" w:cs="宋体"/>
                <w:sz w:val="24"/>
                <w:szCs w:val="24"/>
              </w:rPr>
              <w:t>.颜色由学校根据实际需求确定。</w:t>
            </w:r>
          </w:p>
        </w:tc>
        <w:tc>
          <w:tcPr>
            <w:tcW w:w="638" w:type="pct"/>
            <w:noWrap w:val="0"/>
            <w:vAlign w:val="center"/>
          </w:tcPr>
          <w:p w14:paraId="17F692EF">
            <w:pPr>
              <w:spacing w:line="360" w:lineRule="auto"/>
              <w:jc w:val="center"/>
              <w:rPr>
                <w:rFonts w:ascii="宋体" w:hAnsi="宋体" w:eastAsia="宋体" w:cs="宋体"/>
                <w:bCs/>
                <w:sz w:val="24"/>
                <w:szCs w:val="24"/>
              </w:rPr>
            </w:pPr>
            <w:r>
              <w:rPr>
                <w:rFonts w:hint="eastAsia" w:ascii="宋体" w:hAnsi="宋体" w:eastAsia="宋体" w:cs="宋体"/>
                <w:bCs/>
                <w:sz w:val="24"/>
                <w:szCs w:val="24"/>
                <w:lang w:val="en-US" w:eastAsia="zh-CN"/>
              </w:rPr>
              <w:t>252</w:t>
            </w:r>
            <w:r>
              <w:rPr>
                <w:rFonts w:hint="eastAsia" w:ascii="宋体" w:hAnsi="宋体" w:eastAsia="宋体" w:cs="宋体"/>
                <w:bCs/>
                <w:sz w:val="24"/>
                <w:szCs w:val="24"/>
              </w:rPr>
              <w:t>位</w:t>
            </w:r>
          </w:p>
        </w:tc>
      </w:tr>
      <w:tr w14:paraId="10E59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5" w:type="pct"/>
            <w:noWrap w:val="0"/>
            <w:vAlign w:val="center"/>
          </w:tcPr>
          <w:p w14:paraId="4385B84B">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746" w:type="pct"/>
            <w:noWrap w:val="0"/>
            <w:vAlign w:val="center"/>
          </w:tcPr>
          <w:p w14:paraId="44A97096">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活动课桌椅</w:t>
            </w:r>
          </w:p>
        </w:tc>
        <w:tc>
          <w:tcPr>
            <w:tcW w:w="3280" w:type="pct"/>
            <w:noWrap w:val="0"/>
            <w:vAlign w:val="center"/>
          </w:tcPr>
          <w:p w14:paraId="5093D38F">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1.尺寸：桌面 650mm×</w:t>
            </w:r>
            <w:r>
              <w:rPr>
                <w:rFonts w:hint="eastAsia" w:ascii="宋体" w:hAnsi="宋体" w:eastAsia="宋体" w:cs="宋体"/>
                <w:sz w:val="24"/>
                <w:szCs w:val="24"/>
                <w:lang w:val="en-US" w:eastAsia="zh-CN"/>
              </w:rPr>
              <w:t>500</w:t>
            </w:r>
            <w:r>
              <w:rPr>
                <w:rFonts w:hint="eastAsia" w:ascii="宋体" w:hAnsi="宋体" w:eastAsia="宋体" w:cs="宋体"/>
                <w:sz w:val="24"/>
                <w:szCs w:val="24"/>
              </w:rPr>
              <w:t>mm×20mm，厚度≥18mm，桌面高度约750mm，座板尺寸不小于450mm×400mm×15mm。</w:t>
            </w:r>
          </w:p>
          <w:p w14:paraId="1CD093BD">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2.材质：实木复合桌面，桌面为三聚氰胺饰面板、多层实木板基材，板材四周采用PP材质注塑封边一次成型，表面作防火处理；整体框架为铝合金，保证课桌椅牢固耐用。桌前挡板采用钢板。</w:t>
            </w:r>
          </w:p>
          <w:p w14:paraId="658864C2">
            <w:pPr>
              <w:adjustRightInd w:val="0"/>
              <w:snapToGrid w:val="0"/>
              <w:spacing w:line="360" w:lineRule="auto"/>
              <w:rPr>
                <w:rFonts w:hint="eastAsia" w:ascii="宋体" w:hAnsi="宋体" w:eastAsia="宋体" w:cs="宋体"/>
                <w:b/>
                <w:bCs/>
                <w:sz w:val="24"/>
                <w:szCs w:val="24"/>
              </w:rPr>
            </w:pPr>
            <w:r>
              <w:rPr>
                <w:rFonts w:hint="eastAsia" w:ascii="宋体" w:hAnsi="宋体" w:eastAsia="宋体" w:cs="宋体"/>
                <w:sz w:val="24"/>
                <w:szCs w:val="24"/>
              </w:rPr>
              <w:t>★3.课桌椅整体技术要求：符合桌类主要尺寸、椅凳类主要尺寸、桌椅主要尺寸配合、产品外型尺寸偏差合格；外观性能要求合格；理化性能要求：金属喷漆塑涂层：硬度、冲击强度、耐腐蚀、附着力合格；中性盐雾、乙酸盐雾（200h）合格；课桌力学性能：桌面垂直静载荷、桌面垂直冲击、桌面水平静载荷合格；课椅力学性能椅子向前、向后倾翻试验、座面侧向静载荷、椅腿向前静载荷、椅腿侧向静载荷合格；燃烧性能等级 B1 级；产品有害物质：甲醛释放量、苯、甲苯、二甲苯、总挥发性有机化合物、表面涂层可迁移元素检测结果符合GB /T 35607—2024中绿色产品值要求；化学成分合格；力学性能：抗拉强度、屈服强度、断后伸长率合格；硬度、弯曲试验、抗菌性能、耐霉菌性合格。</w:t>
            </w:r>
            <w:r>
              <w:rPr>
                <w:rFonts w:hint="eastAsia" w:ascii="宋体" w:hAnsi="宋体" w:eastAsia="宋体" w:cs="宋体"/>
                <w:b/>
                <w:bCs/>
                <w:sz w:val="24"/>
                <w:szCs w:val="24"/>
              </w:rPr>
              <w:t>（合同签订后供货前向采购人提供第三方有权机构出具的带有CMA或CNAS 标识的检测报告扫描件。如供货前未提供，采购人有权追究违约责任。）</w:t>
            </w:r>
          </w:p>
          <w:p w14:paraId="0640E492">
            <w:pPr>
              <w:adjustRightInd w:val="0"/>
              <w:snapToGrid w:val="0"/>
              <w:spacing w:line="360" w:lineRule="auto"/>
              <w:rPr>
                <w:rFonts w:hint="eastAsia" w:ascii="宋体" w:hAnsi="宋体" w:eastAsia="宋体" w:cs="宋体"/>
                <w:b/>
                <w:bCs/>
                <w:sz w:val="24"/>
                <w:szCs w:val="24"/>
              </w:rPr>
            </w:pPr>
            <w:r>
              <w:rPr>
                <w:rFonts w:hint="eastAsia" w:ascii="宋体" w:hAnsi="宋体" w:eastAsia="宋体" w:cs="宋体"/>
                <w:sz w:val="24"/>
                <w:szCs w:val="24"/>
              </w:rPr>
              <w:t>★4.多层实木板：检测依据：GB/T9846-2015、GB/T39600-2021，检测结果要求：含水率为III类含水率&lt;9%，胶合强度≥0.7MPa，静曲强度顺纹&gt;35MPa，横纹&gt;30MPa，弹性模量顺纹&gt;6200MPa，横纹&gt;5000MPa，以上项目检测合格率均需达100%，甲醛释放量≤0.025mg/m3，符合 ENF 级标准要求。</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响应文件</w:t>
            </w:r>
            <w:r>
              <w:rPr>
                <w:rFonts w:hint="eastAsia" w:ascii="宋体" w:hAnsi="宋体" w:eastAsia="宋体" w:cs="宋体"/>
                <w:b/>
                <w:bCs/>
                <w:sz w:val="24"/>
                <w:szCs w:val="24"/>
              </w:rPr>
              <w:t>中</w:t>
            </w:r>
            <w:r>
              <w:rPr>
                <w:rFonts w:hint="eastAsia" w:ascii="宋体" w:hAnsi="宋体" w:eastAsia="宋体" w:cs="宋体"/>
                <w:b/>
                <w:bCs/>
                <w:sz w:val="24"/>
                <w:szCs w:val="24"/>
                <w:lang w:val="en-US" w:eastAsia="zh-CN"/>
              </w:rPr>
              <w:t>须</w:t>
            </w:r>
            <w:r>
              <w:rPr>
                <w:rFonts w:hint="eastAsia" w:ascii="宋体" w:hAnsi="宋体" w:eastAsia="宋体" w:cs="宋体"/>
                <w:b/>
                <w:bCs/>
                <w:sz w:val="24"/>
                <w:szCs w:val="24"/>
              </w:rPr>
              <w:t>提供第三方有权机构出具的带有CMA或CNAS标识的检测报告扫描件）</w:t>
            </w:r>
          </w:p>
          <w:p w14:paraId="43D5919E">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★5.胶合板阻燃性能</w:t>
            </w:r>
            <w:r>
              <w:rPr>
                <w:rFonts w:hint="eastAsia" w:ascii="宋体" w:hAnsi="宋体" w:eastAsia="宋体" w:cs="宋体"/>
                <w:sz w:val="24"/>
                <w:szCs w:val="24"/>
                <w:lang w:val="en-US" w:eastAsia="zh-CN"/>
              </w:rPr>
              <w:t>不低于</w:t>
            </w:r>
            <w:r>
              <w:rPr>
                <w:rFonts w:hint="eastAsia" w:ascii="宋体" w:hAnsi="宋体" w:eastAsia="宋体" w:cs="宋体"/>
                <w:sz w:val="24"/>
                <w:szCs w:val="24"/>
              </w:rPr>
              <w:t xml:space="preserve"> B1级。</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响应文件</w:t>
            </w:r>
            <w:r>
              <w:rPr>
                <w:rFonts w:hint="eastAsia" w:ascii="宋体" w:hAnsi="宋体" w:eastAsia="宋体" w:cs="宋体"/>
                <w:b/>
                <w:bCs/>
                <w:sz w:val="24"/>
                <w:szCs w:val="24"/>
              </w:rPr>
              <w:t>中</w:t>
            </w:r>
            <w:r>
              <w:rPr>
                <w:rFonts w:hint="eastAsia" w:ascii="宋体" w:hAnsi="宋体" w:eastAsia="宋体" w:cs="宋体"/>
                <w:b/>
                <w:bCs/>
                <w:sz w:val="24"/>
                <w:szCs w:val="24"/>
                <w:lang w:val="en-US" w:eastAsia="zh-CN"/>
              </w:rPr>
              <w:t>须</w:t>
            </w:r>
            <w:r>
              <w:rPr>
                <w:rFonts w:hint="eastAsia" w:ascii="宋体" w:hAnsi="宋体" w:eastAsia="宋体" w:cs="宋体"/>
                <w:b/>
                <w:bCs/>
                <w:sz w:val="24"/>
                <w:szCs w:val="24"/>
              </w:rPr>
              <w:t>提供第三方有权机构出具的带有CMA或CNAS标识的检测报告扫描件）</w:t>
            </w:r>
          </w:p>
          <w:p w14:paraId="3C873828">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★6.三聚氰胺饰面板检测依据：GB/T39600-2021，检测结果要求：甲醛释放量≤0.025mg/m3（ENF级）</w:t>
            </w:r>
            <w:r>
              <w:rPr>
                <w:rFonts w:hint="eastAsia" w:ascii="宋体" w:hAnsi="宋体" w:eastAsia="宋体" w:cs="宋体"/>
                <w:b/>
                <w:bCs/>
                <w:sz w:val="24"/>
                <w:szCs w:val="24"/>
              </w:rPr>
              <w:t>（投标文件中提供第三方有权机构出具的带有CMA或CNAS标识的检测报告扫描件）</w:t>
            </w:r>
          </w:p>
          <w:p w14:paraId="3F66C429">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7.桌腿：规格不小于450mm×35mm×750mm采用优质铝合金材料经模具一次性整体压铸成型，立脚分左右，两侧为平面带凹筋设计，内侧中空。铝合金经防氧化表面喷涂处理，耐腐蚀，方便清洁，实用牢固，承受力大</w:t>
            </w:r>
            <w:r>
              <w:rPr>
                <w:rFonts w:hint="eastAsia" w:ascii="宋体" w:hAnsi="宋体" w:eastAsia="宋体" w:cs="宋体"/>
                <w:sz w:val="24"/>
                <w:szCs w:val="24"/>
                <w:lang w:eastAsia="zh-CN"/>
              </w:rPr>
              <w:t>，</w:t>
            </w:r>
            <w:r>
              <w:rPr>
                <w:rFonts w:hint="eastAsia" w:ascii="宋体" w:hAnsi="宋体" w:eastAsia="宋体" w:cs="宋体"/>
                <w:sz w:val="24"/>
                <w:szCs w:val="24"/>
              </w:rPr>
              <w:t>底部带一体成型塑料垫，移动时起消音、保护地面的作用。</w:t>
            </w:r>
          </w:p>
          <w:p w14:paraId="6AEC1350">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8. 钢板：采用不小于 1.2mm 优质冷扎钢板经模具一次性冲压成型，两端与立脚采用螺栓连接。符合 GB/T3325-2024 标准，金属喷漆（塑）涂层理化性能包含金属喷漆（塑）涂层：硬度、冲击强度、耐盐浴、附着力检测合格。</w:t>
            </w:r>
          </w:p>
          <w:p w14:paraId="447C0B22">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9.书斗：采用不小于1.5mm厚冷轧钢板一次成型，表面作防氧化处理经高温喷涂处理，耐腐蚀，抗老化，表面光滑。</w:t>
            </w:r>
          </w:p>
          <w:p w14:paraId="776AB368">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10.桌下拉杆：采用不小于1.2mm 厚优质椭圆管，两端焊接冲压件与立脚采用螺栓连接。</w:t>
            </w:r>
          </w:p>
          <w:p w14:paraId="70B8A334">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★11.椅：</w:t>
            </w:r>
            <w:r>
              <w:rPr>
                <w:rFonts w:hint="eastAsia" w:ascii="宋体" w:hAnsi="宋体" w:eastAsia="宋体" w:cs="宋体"/>
                <w:sz w:val="24"/>
                <w:szCs w:val="24"/>
                <w:lang w:val="en-US" w:eastAsia="zh-CN"/>
              </w:rPr>
              <w:t>椅座板</w:t>
            </w:r>
            <w:r>
              <w:rPr>
                <w:rFonts w:hint="eastAsia" w:ascii="宋体" w:hAnsi="宋体"/>
                <w:sz w:val="24"/>
                <w:szCs w:val="24"/>
              </w:rPr>
              <w:t>435mm（±5mm）*418mm（±5mm）*395mm（±5mm）</w:t>
            </w:r>
            <w:r>
              <w:rPr>
                <w:rFonts w:hint="eastAsia" w:ascii="宋体" w:hAnsi="宋体"/>
                <w:sz w:val="24"/>
                <w:szCs w:val="24"/>
                <w:lang w:eastAsia="zh-CN"/>
              </w:rPr>
              <w:t>，</w:t>
            </w:r>
            <w:r>
              <w:rPr>
                <w:rFonts w:hint="eastAsia" w:ascii="宋体" w:hAnsi="宋体" w:eastAsia="宋体" w:cs="宋体"/>
                <w:sz w:val="24"/>
                <w:szCs w:val="24"/>
              </w:rPr>
              <w:t>采用改性聚丙烯一次注塑成型，坐板两端微翘，椅面前沿向下的有一定弧度；</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响应文件中须提供实物测量彩色照片，至少包含正面、侧面及俯视角度，合同签订后供货前提供样品供采购人核实）。</w:t>
            </w:r>
            <w:r>
              <w:rPr>
                <w:rFonts w:hint="eastAsia" w:ascii="宋体" w:hAnsi="宋体" w:eastAsia="宋体" w:cs="宋体"/>
                <w:sz w:val="24"/>
                <w:szCs w:val="24"/>
              </w:rPr>
              <w:t>背板硬度高，韧性强，耐磨，耐划伤，抗压抗冲击。靠背设计提手孔。整体性能稳固、耐用。</w:t>
            </w:r>
          </w:p>
          <w:p w14:paraId="21338C92">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★12.椅侧脚架：</w:t>
            </w:r>
            <w:r>
              <w:rPr>
                <w:rFonts w:hint="eastAsia" w:ascii="宋体" w:hAnsi="宋体" w:eastAsia="宋体" w:cs="宋体"/>
                <w:sz w:val="24"/>
              </w:rPr>
              <w:t>规格460mm（±2mm）*84/25mm（±2mm）*410mm（±2mm），</w:t>
            </w:r>
            <w:r>
              <w:rPr>
                <w:rFonts w:hint="eastAsia" w:ascii="宋体" w:hAnsi="宋体" w:eastAsia="宋体" w:cs="宋体"/>
                <w:sz w:val="24"/>
                <w:szCs w:val="24"/>
              </w:rPr>
              <w:t>整体采用铝合金一次压铸成型</w:t>
            </w:r>
            <w:r>
              <w:rPr>
                <w:rFonts w:hint="eastAsia" w:ascii="宋体" w:hAnsi="宋体" w:eastAsia="宋体" w:cs="宋体"/>
                <w:sz w:val="24"/>
                <w:szCs w:val="24"/>
                <w:lang w:eastAsia="zh-CN"/>
              </w:rPr>
              <w:t>，</w:t>
            </w:r>
            <w:r>
              <w:rPr>
                <w:rFonts w:hint="eastAsia" w:ascii="宋体" w:hAnsi="宋体" w:eastAsia="宋体" w:cs="宋体"/>
                <w:sz w:val="24"/>
              </w:rPr>
              <w:t>立脚分左右，两侧为平面带凹筋设计，内侧中空。</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响应文件中须提供实物测量彩色照片，至少包含正面、侧面及俯视角度，合同签订后供货前提供样品供采购人核实）。</w:t>
            </w:r>
            <w:r>
              <w:rPr>
                <w:rFonts w:hint="eastAsia" w:ascii="宋体" w:hAnsi="宋体" w:eastAsia="宋体" w:cs="宋体"/>
                <w:sz w:val="24"/>
                <w:szCs w:val="24"/>
              </w:rPr>
              <w:t>脚架配套塑料垫，移动时消音、保护地面。表面喷涂处理，耐腐蚀，实用牢固。</w:t>
            </w:r>
          </w:p>
          <w:p w14:paraId="59D09102">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13.颜色由学校根据实际需求确定。</w:t>
            </w:r>
          </w:p>
        </w:tc>
        <w:tc>
          <w:tcPr>
            <w:tcW w:w="638" w:type="pct"/>
            <w:noWrap w:val="0"/>
            <w:vAlign w:val="center"/>
          </w:tcPr>
          <w:p w14:paraId="1F993F93">
            <w:pPr>
              <w:spacing w:line="360" w:lineRule="auto"/>
              <w:jc w:val="center"/>
              <w:rPr>
                <w:rFonts w:hint="eastAsia" w:ascii="宋体" w:hAnsi="宋体" w:eastAsia="宋体" w:cs="宋体"/>
                <w:bCs/>
                <w:sz w:val="24"/>
                <w:szCs w:val="24"/>
              </w:rPr>
            </w:pPr>
          </w:p>
        </w:tc>
      </w:tr>
    </w:tbl>
    <w:p w14:paraId="4C9D986D">
      <w:pPr>
        <w:pStyle w:val="4"/>
        <w:ind w:firstLine="482"/>
        <w:rPr>
          <w:rFonts w:hint="eastAsia"/>
          <w:b/>
          <w:szCs w:val="24"/>
        </w:rPr>
      </w:pPr>
      <w:r>
        <w:rPr>
          <w:rFonts w:hint="eastAsia"/>
          <w:b/>
          <w:szCs w:val="24"/>
        </w:rPr>
        <w:t>三、报价要求</w:t>
      </w:r>
    </w:p>
    <w:p w14:paraId="4A15A2F0">
      <w:pPr>
        <w:spacing w:line="360" w:lineRule="auto"/>
        <w:ind w:firstLine="480" w:firstLineChars="200"/>
        <w:outlineLvl w:val="9"/>
        <w:rPr>
          <w:rFonts w:hint="eastAsia" w:ascii="宋体" w:hAnsi="宋体" w:cs="宋体"/>
          <w:b/>
          <w:bCs/>
          <w:color w:val="000000"/>
          <w:sz w:val="24"/>
          <w:szCs w:val="24"/>
        </w:rPr>
      </w:pPr>
      <w:r>
        <w:rPr>
          <w:rFonts w:hint="eastAsia" w:ascii="宋体" w:hAnsi="宋体" w:cs="宋体"/>
          <w:color w:val="000000"/>
          <w:sz w:val="24"/>
          <w:szCs w:val="24"/>
        </w:rPr>
        <w:t>本项目报总价，比选报价包括本项目需求（包含比选文件要求内容、参选文件承诺内容、评审过程澄清修改内容等）的全部货物及所需附件购置费、包装费、运输费、人工费、保险费、不同系统平台间对接费用、安装调试费、各种税费、资料费、售后服务费及完成项目应有的全部费用，中选后比选人不再另行支付任何费用，</w:t>
      </w:r>
      <w:r>
        <w:rPr>
          <w:rFonts w:hint="eastAsia" w:ascii="宋体" w:hAnsi="宋体" w:cs="宋体"/>
          <w:b/>
          <w:bCs/>
          <w:color w:val="000000"/>
          <w:sz w:val="24"/>
          <w:szCs w:val="24"/>
        </w:rPr>
        <w:t>比选分项报价表中须明确列出所投产品所含货物名称、品牌、型号规格、原产地及生产厂商，否则可能导致响应无效。</w:t>
      </w:r>
    </w:p>
    <w:p w14:paraId="0BE1AE99">
      <w:pPr>
        <w:pStyle w:val="4"/>
        <w:ind w:firstLine="482"/>
        <w:rPr>
          <w:rFonts w:hint="eastAsia" w:ascii="宋体" w:hAnsi="宋体" w:eastAsia="宋体" w:cs="宋体"/>
          <w:b/>
          <w:szCs w:val="24"/>
        </w:rPr>
      </w:pPr>
      <w:r>
        <w:rPr>
          <w:rFonts w:hint="eastAsia" w:ascii="宋体" w:hAnsi="宋体" w:eastAsia="宋体" w:cs="宋体"/>
          <w:b/>
          <w:szCs w:val="24"/>
        </w:rPr>
        <w:t>四</w:t>
      </w:r>
      <w:r>
        <w:rPr>
          <w:rFonts w:hint="eastAsia" w:ascii="宋体" w:hAnsi="宋体" w:eastAsia="宋体" w:cs="宋体"/>
          <w:b/>
          <w:szCs w:val="24"/>
          <w:lang w:eastAsia="zh-CN"/>
        </w:rPr>
        <w:t>、</w:t>
      </w:r>
      <w:r>
        <w:rPr>
          <w:rFonts w:hint="eastAsia" w:ascii="宋体" w:hAnsi="宋体" w:eastAsia="宋体" w:cs="宋体"/>
          <w:b/>
          <w:szCs w:val="24"/>
        </w:rPr>
        <w:t>其他要求</w:t>
      </w:r>
    </w:p>
    <w:p w14:paraId="447EF700">
      <w:pPr>
        <w:spacing w:line="360" w:lineRule="auto"/>
        <w:ind w:firstLine="480" w:firstLineChars="200"/>
      </w:pPr>
      <w:r>
        <w:rPr>
          <w:rFonts w:hint="eastAsia" w:ascii="宋体" w:hAnsi="宋体" w:eastAsia="宋体" w:cs="宋体"/>
          <w:sz w:val="24"/>
          <w:szCs w:val="24"/>
          <w:lang w:eastAsia="zh-CN"/>
        </w:rPr>
        <w:t>1.</w:t>
      </w:r>
      <w:r>
        <w:rPr>
          <w:rFonts w:hint="eastAsia" w:ascii="宋体" w:hAnsi="宋体" w:eastAsia="宋体" w:cs="宋体"/>
          <w:sz w:val="24"/>
          <w:szCs w:val="24"/>
        </w:rPr>
        <w:t>课桌椅的</w:t>
      </w:r>
      <w:r>
        <w:rPr>
          <w:rFonts w:ascii="宋体" w:hAnsi="宋体" w:eastAsia="宋体" w:cs="宋体"/>
          <w:sz w:val="24"/>
          <w:szCs w:val="24"/>
        </w:rPr>
        <w:t>高度、宽度、深度等尺寸</w:t>
      </w:r>
      <w:r>
        <w:rPr>
          <w:rFonts w:hint="eastAsia" w:ascii="宋体" w:hAnsi="宋体" w:eastAsia="宋体" w:cs="宋体"/>
          <w:sz w:val="24"/>
          <w:szCs w:val="24"/>
        </w:rPr>
        <w:t>等</w:t>
      </w:r>
      <w:r>
        <w:rPr>
          <w:rFonts w:ascii="宋体" w:hAnsi="宋体" w:eastAsia="宋体" w:cs="宋体"/>
          <w:sz w:val="24"/>
          <w:szCs w:val="24"/>
        </w:rPr>
        <w:t>参数要求尺寸安装不符合</w:t>
      </w:r>
      <w:r>
        <w:rPr>
          <w:rFonts w:hint="eastAsia" w:ascii="宋体" w:hAnsi="宋体" w:eastAsia="宋体" w:cs="宋体"/>
          <w:sz w:val="24"/>
          <w:szCs w:val="24"/>
        </w:rPr>
        <w:t>安装场所</w:t>
      </w:r>
      <w:r>
        <w:rPr>
          <w:rFonts w:ascii="宋体" w:hAnsi="宋体" w:eastAsia="宋体" w:cs="宋体"/>
          <w:sz w:val="24"/>
          <w:szCs w:val="24"/>
        </w:rPr>
        <w:t>尺寸</w:t>
      </w:r>
      <w:r>
        <w:rPr>
          <w:rFonts w:hint="eastAsia" w:ascii="宋体" w:hAnsi="宋体" w:eastAsia="宋体" w:cs="宋体"/>
          <w:sz w:val="24"/>
          <w:szCs w:val="24"/>
        </w:rPr>
        <w:t>要求</w:t>
      </w:r>
      <w:r>
        <w:rPr>
          <w:rFonts w:ascii="宋体" w:hAnsi="宋体" w:eastAsia="宋体" w:cs="宋体"/>
          <w:sz w:val="24"/>
          <w:szCs w:val="24"/>
        </w:rPr>
        <w:t>的，则以</w:t>
      </w:r>
      <w:r>
        <w:rPr>
          <w:rFonts w:hint="eastAsia" w:ascii="宋体" w:hAnsi="宋体" w:eastAsia="宋体" w:cs="宋体"/>
          <w:sz w:val="24"/>
          <w:szCs w:val="24"/>
        </w:rPr>
        <w:t>实际安装</w:t>
      </w:r>
      <w:r>
        <w:rPr>
          <w:rFonts w:ascii="宋体" w:hAnsi="宋体" w:eastAsia="宋体" w:cs="宋体"/>
          <w:sz w:val="24"/>
          <w:szCs w:val="24"/>
        </w:rPr>
        <w:t>尺寸作为标准，</w:t>
      </w:r>
      <w:r>
        <w:rPr>
          <w:rFonts w:hint="eastAsia" w:ascii="宋体" w:hAnsi="宋体" w:eastAsia="宋体" w:cs="宋体"/>
          <w:sz w:val="24"/>
          <w:szCs w:val="24"/>
        </w:rPr>
        <w:t>合同签订后</w:t>
      </w:r>
      <w:r>
        <w:rPr>
          <w:rFonts w:hint="eastAsia" w:ascii="宋体" w:hAnsi="宋体" w:eastAsia="宋体" w:cs="宋体"/>
          <w:sz w:val="24"/>
          <w:szCs w:val="24"/>
          <w:lang w:val="en-US" w:eastAsia="zh-CN"/>
        </w:rPr>
        <w:t>成交供应商</w:t>
      </w:r>
      <w:r>
        <w:rPr>
          <w:rFonts w:hint="eastAsia" w:ascii="宋体" w:hAnsi="宋体" w:eastAsia="宋体" w:cs="宋体"/>
          <w:sz w:val="24"/>
          <w:szCs w:val="24"/>
        </w:rPr>
        <w:t>应</w:t>
      </w:r>
      <w:r>
        <w:rPr>
          <w:rFonts w:ascii="宋体" w:hAnsi="宋体" w:eastAsia="宋体" w:cs="宋体"/>
          <w:sz w:val="24"/>
          <w:szCs w:val="24"/>
        </w:rPr>
        <w:t>进行现场复测</w:t>
      </w:r>
      <w:r>
        <w:rPr>
          <w:rFonts w:hint="eastAsia" w:ascii="宋体" w:hAnsi="宋体" w:eastAsia="宋体" w:cs="宋体"/>
          <w:sz w:val="24"/>
          <w:szCs w:val="24"/>
        </w:rPr>
        <w:t>，</w:t>
      </w:r>
      <w:r>
        <w:rPr>
          <w:rFonts w:hint="eastAsia" w:ascii="宋体" w:hAnsi="宋体" w:eastAsia="宋体" w:cs="宋体"/>
          <w:spacing w:val="4"/>
          <w:sz w:val="24"/>
          <w:szCs w:val="24"/>
        </w:rPr>
        <w:t>确定精准尺寸，防止安装空间实际尺寸与图纸不符或有误差而导致货物无法安装等情况。</w:t>
      </w:r>
      <w:r>
        <w:rPr>
          <w:rFonts w:ascii="宋体" w:hAnsi="宋体" w:eastAsia="宋体" w:cs="宋体"/>
          <w:sz w:val="24"/>
          <w:szCs w:val="24"/>
        </w:rPr>
        <w:t>最终以学校现场使用条件</w:t>
      </w:r>
      <w:r>
        <w:rPr>
          <w:rFonts w:hint="eastAsia" w:ascii="宋体" w:hAnsi="宋体" w:eastAsia="宋体" w:cs="宋体"/>
          <w:sz w:val="24"/>
          <w:szCs w:val="24"/>
        </w:rPr>
        <w:t>及采购人需求</w:t>
      </w:r>
      <w:r>
        <w:rPr>
          <w:rFonts w:ascii="宋体" w:hAnsi="宋体" w:eastAsia="宋体" w:cs="宋体"/>
          <w:sz w:val="24"/>
          <w:szCs w:val="24"/>
        </w:rPr>
        <w:t>为</w:t>
      </w:r>
      <w:r>
        <w:rPr>
          <w:rFonts w:hint="eastAsia" w:ascii="宋体" w:hAnsi="宋体" w:eastAsia="宋体" w:cs="宋体"/>
          <w:sz w:val="24"/>
          <w:szCs w:val="24"/>
        </w:rPr>
        <w:t>准。</w:t>
      </w:r>
      <w:r>
        <w:rPr>
          <w:rFonts w:hint="eastAsia" w:ascii="宋体" w:hAnsi="宋体" w:eastAsia="宋体" w:cs="宋体"/>
          <w:spacing w:val="4"/>
          <w:sz w:val="24"/>
          <w:szCs w:val="24"/>
        </w:rPr>
        <w:t>若因</w:t>
      </w:r>
      <w:r>
        <w:rPr>
          <w:rFonts w:hint="eastAsia" w:ascii="宋体" w:hAnsi="宋体" w:eastAsia="宋体" w:cs="宋体"/>
          <w:sz w:val="24"/>
          <w:szCs w:val="24"/>
          <w:lang w:val="en-US" w:eastAsia="zh-CN"/>
        </w:rPr>
        <w:t>成交供应商</w:t>
      </w:r>
      <w:r>
        <w:rPr>
          <w:rFonts w:hint="eastAsia" w:ascii="宋体" w:hAnsi="宋体" w:eastAsia="宋体" w:cs="宋体"/>
          <w:spacing w:val="4"/>
          <w:sz w:val="24"/>
          <w:szCs w:val="24"/>
        </w:rPr>
        <w:t>未勘察复测或勘察不清造成无法安装带来的一切损失由</w:t>
      </w:r>
      <w:r>
        <w:rPr>
          <w:rFonts w:hint="eastAsia" w:ascii="宋体" w:hAnsi="宋体" w:eastAsia="宋体" w:cs="宋体"/>
          <w:sz w:val="24"/>
          <w:szCs w:val="24"/>
          <w:lang w:val="en-US" w:eastAsia="zh-CN"/>
        </w:rPr>
        <w:t>成交供应商</w:t>
      </w:r>
      <w:r>
        <w:rPr>
          <w:rFonts w:hint="eastAsia" w:ascii="宋体" w:hAnsi="宋体" w:eastAsia="宋体" w:cs="宋体"/>
          <w:spacing w:val="4"/>
          <w:sz w:val="24"/>
          <w:szCs w:val="24"/>
        </w:rPr>
        <w:t>自行承担</w:t>
      </w:r>
      <w:r>
        <w:rPr>
          <w:rFonts w:hint="eastAsia" w:ascii="宋体" w:hAnsi="宋体" w:eastAsia="宋体" w:cs="宋体"/>
          <w:b/>
          <w:bCs/>
          <w:sz w:val="24"/>
          <w:szCs w:val="24"/>
        </w:rPr>
        <w:t>。</w:t>
      </w:r>
    </w:p>
    <w:p w14:paraId="7F255763">
      <w:pPr>
        <w:spacing w:line="360" w:lineRule="auto"/>
        <w:ind w:firstLine="480" w:firstLineChars="200"/>
        <w:rPr>
          <w:rFonts w:ascii="宋体" w:hAnsi="宋体" w:eastAsia="宋体" w:cs="宋体"/>
          <w:b/>
          <w:bCs/>
          <w:spacing w:val="4"/>
          <w:sz w:val="24"/>
          <w:szCs w:val="24"/>
        </w:rPr>
      </w:pPr>
      <w:r>
        <w:rPr>
          <w:rFonts w:hint="eastAsia" w:ascii="宋体" w:hAnsi="宋体" w:eastAsia="宋体" w:cs="Times New Roman"/>
          <w:sz w:val="24"/>
          <w:szCs w:val="22"/>
          <w:lang w:eastAsia="zh-CN"/>
        </w:rPr>
        <w:t>2.</w:t>
      </w:r>
      <w:r>
        <w:rPr>
          <w:rFonts w:hint="eastAsia" w:ascii="宋体" w:hAnsi="宋体" w:eastAsia="宋体" w:cs="Times New Roman"/>
          <w:sz w:val="24"/>
          <w:szCs w:val="22"/>
        </w:rPr>
        <w:t>免费质保期</w:t>
      </w:r>
      <w:r>
        <w:rPr>
          <w:rFonts w:ascii="宋体" w:hAnsi="宋体" w:eastAsia="宋体" w:cs="Times New Roman"/>
          <w:sz w:val="24"/>
          <w:szCs w:val="22"/>
        </w:rPr>
        <w:t>内，</w:t>
      </w:r>
      <w:r>
        <w:rPr>
          <w:rFonts w:hint="eastAsia" w:ascii="宋体" w:hAnsi="宋体" w:eastAsia="宋体" w:cs="宋体"/>
          <w:sz w:val="24"/>
          <w:szCs w:val="24"/>
          <w:lang w:val="en-US" w:eastAsia="zh-CN"/>
        </w:rPr>
        <w:t>成交供应商</w:t>
      </w:r>
      <w:r>
        <w:rPr>
          <w:rFonts w:hint="eastAsia" w:ascii="宋体" w:hAnsi="宋体" w:eastAsia="宋体" w:cs="Times New Roman"/>
          <w:sz w:val="24"/>
          <w:szCs w:val="22"/>
        </w:rPr>
        <w:t>每年</w:t>
      </w:r>
      <w:r>
        <w:rPr>
          <w:rFonts w:ascii="宋体" w:hAnsi="宋体" w:eastAsia="宋体" w:cs="Times New Roman"/>
          <w:sz w:val="24"/>
          <w:szCs w:val="22"/>
        </w:rPr>
        <w:t>须</w:t>
      </w:r>
      <w:r>
        <w:rPr>
          <w:rFonts w:hint="eastAsia" w:ascii="宋体" w:hAnsi="宋体" w:eastAsia="宋体" w:cs="Times New Roman"/>
          <w:sz w:val="24"/>
          <w:szCs w:val="22"/>
        </w:rPr>
        <w:t>至少</w:t>
      </w:r>
      <w:r>
        <w:rPr>
          <w:rFonts w:ascii="宋体" w:hAnsi="宋体" w:eastAsia="宋体" w:cs="Times New Roman"/>
          <w:sz w:val="24"/>
          <w:szCs w:val="22"/>
        </w:rPr>
        <w:t>提供</w:t>
      </w:r>
      <w:r>
        <w:rPr>
          <w:rFonts w:hint="eastAsia" w:ascii="宋体" w:hAnsi="宋体" w:eastAsia="宋体" w:cs="Times New Roman"/>
          <w:sz w:val="24"/>
          <w:szCs w:val="22"/>
        </w:rPr>
        <w:t>2次</w:t>
      </w:r>
      <w:r>
        <w:rPr>
          <w:rFonts w:ascii="宋体" w:hAnsi="宋体" w:eastAsia="宋体" w:cs="Times New Roman"/>
          <w:sz w:val="24"/>
          <w:szCs w:val="22"/>
        </w:rPr>
        <w:t>的上门巡检服务，</w:t>
      </w:r>
      <w:r>
        <w:rPr>
          <w:rFonts w:hint="eastAsia" w:ascii="宋体" w:hAnsi="宋体" w:eastAsia="宋体" w:cs="Times New Roman"/>
          <w:sz w:val="24"/>
          <w:szCs w:val="22"/>
        </w:rPr>
        <w:t>巡检</w:t>
      </w:r>
      <w:r>
        <w:rPr>
          <w:rFonts w:ascii="宋体" w:hAnsi="宋体" w:eastAsia="宋体" w:cs="Times New Roman"/>
          <w:sz w:val="24"/>
          <w:szCs w:val="22"/>
        </w:rPr>
        <w:t>过程中</w:t>
      </w:r>
      <w:r>
        <w:rPr>
          <w:rFonts w:hint="eastAsia" w:ascii="宋体" w:hAnsi="宋体" w:eastAsia="宋体" w:cs="Times New Roman"/>
          <w:sz w:val="24"/>
          <w:szCs w:val="22"/>
        </w:rPr>
        <w:t>须</w:t>
      </w:r>
      <w:r>
        <w:rPr>
          <w:rFonts w:ascii="宋体" w:hAnsi="宋体" w:eastAsia="宋体" w:cs="Times New Roman"/>
          <w:sz w:val="24"/>
          <w:szCs w:val="22"/>
        </w:rPr>
        <w:t>根据</w:t>
      </w:r>
      <w:r>
        <w:rPr>
          <w:rFonts w:hint="eastAsia" w:ascii="宋体" w:hAnsi="宋体" w:eastAsia="宋体" w:cs="Times New Roman"/>
          <w:sz w:val="24"/>
          <w:szCs w:val="22"/>
        </w:rPr>
        <w:t>课桌椅设备</w:t>
      </w:r>
      <w:r>
        <w:rPr>
          <w:rFonts w:ascii="宋体" w:hAnsi="宋体" w:eastAsia="宋体" w:cs="Times New Roman"/>
          <w:sz w:val="24"/>
          <w:szCs w:val="22"/>
        </w:rPr>
        <w:t>使用情况，</w:t>
      </w:r>
      <w:r>
        <w:rPr>
          <w:rFonts w:hint="eastAsia" w:ascii="宋体" w:hAnsi="宋体" w:eastAsia="宋体" w:cs="Times New Roman"/>
          <w:sz w:val="24"/>
          <w:szCs w:val="22"/>
        </w:rPr>
        <w:t>免费更换常用配件，如</w:t>
      </w:r>
      <w:r>
        <w:rPr>
          <w:rFonts w:hint="eastAsia" w:ascii="宋体" w:hAnsi="宋体" w:eastAsia="宋体" w:cs="Times New Roman"/>
          <w:sz w:val="24"/>
          <w:szCs w:val="22"/>
          <w:lang w:eastAsia="zh-CN"/>
        </w:rPr>
        <w:t>螺丝</w:t>
      </w:r>
      <w:r>
        <w:rPr>
          <w:rFonts w:hint="eastAsia" w:ascii="宋体" w:hAnsi="宋体" w:eastAsia="宋体" w:cs="Times New Roman"/>
          <w:sz w:val="24"/>
          <w:szCs w:val="22"/>
        </w:rPr>
        <w:t>、阻尼铰链、脚垫等产品备件及常用维修工具。无正当理由，</w:t>
      </w:r>
      <w:r>
        <w:rPr>
          <w:rFonts w:hint="eastAsia" w:ascii="宋体" w:hAnsi="宋体" w:eastAsia="宋体" w:cs="宋体"/>
          <w:sz w:val="24"/>
          <w:szCs w:val="24"/>
          <w:lang w:val="en-US" w:eastAsia="zh-CN"/>
        </w:rPr>
        <w:t>成交供应商</w:t>
      </w:r>
      <w:r>
        <w:rPr>
          <w:rFonts w:ascii="宋体" w:hAnsi="宋体" w:eastAsia="宋体" w:cs="Times New Roman"/>
          <w:sz w:val="24"/>
          <w:szCs w:val="22"/>
        </w:rPr>
        <w:t>不得</w:t>
      </w:r>
      <w:r>
        <w:rPr>
          <w:rFonts w:hint="eastAsia" w:ascii="宋体" w:hAnsi="宋体" w:eastAsia="宋体" w:cs="Times New Roman"/>
          <w:sz w:val="24"/>
          <w:szCs w:val="22"/>
        </w:rPr>
        <w:t>拒绝</w:t>
      </w:r>
      <w:r>
        <w:rPr>
          <w:rFonts w:ascii="宋体" w:hAnsi="宋体" w:eastAsia="宋体" w:cs="Times New Roman"/>
          <w:sz w:val="24"/>
          <w:szCs w:val="22"/>
        </w:rPr>
        <w:t>上门巡检服务</w:t>
      </w:r>
      <w:r>
        <w:rPr>
          <w:rFonts w:hint="eastAsia" w:ascii="宋体" w:hAnsi="宋体" w:eastAsia="宋体" w:cs="Times New Roman"/>
          <w:sz w:val="24"/>
          <w:szCs w:val="22"/>
        </w:rPr>
        <w:t>及</w:t>
      </w:r>
      <w:r>
        <w:rPr>
          <w:rFonts w:ascii="宋体" w:hAnsi="宋体" w:eastAsia="宋体" w:cs="Times New Roman"/>
          <w:sz w:val="24"/>
          <w:szCs w:val="22"/>
        </w:rPr>
        <w:t>备品备件更换。</w:t>
      </w:r>
    </w:p>
    <w:p w14:paraId="441E0F8F">
      <w:pPr>
        <w:spacing w:line="360" w:lineRule="auto"/>
        <w:ind w:firstLine="480" w:firstLineChars="200"/>
        <w:rPr>
          <w:rFonts w:ascii="宋体" w:hAnsi="宋体" w:eastAsia="宋体" w:cs="Times New Roman"/>
          <w:sz w:val="24"/>
          <w:szCs w:val="22"/>
        </w:rPr>
      </w:pPr>
      <w:r>
        <w:rPr>
          <w:rFonts w:hint="eastAsia" w:ascii="宋体" w:hAnsi="宋体" w:eastAsia="宋体" w:cs="Times New Roman"/>
          <w:sz w:val="24"/>
          <w:szCs w:val="22"/>
          <w:lang w:eastAsia="zh-CN"/>
        </w:rPr>
        <w:t>3.</w:t>
      </w:r>
      <w:r>
        <w:rPr>
          <w:rFonts w:hint="eastAsia" w:ascii="宋体" w:hAnsi="宋体" w:eastAsia="宋体" w:cs="Times New Roman"/>
          <w:sz w:val="24"/>
          <w:szCs w:val="22"/>
          <w:lang w:val="en-US" w:eastAsia="zh-CN"/>
        </w:rPr>
        <w:t>供应商</w:t>
      </w:r>
      <w:r>
        <w:rPr>
          <w:rFonts w:hint="eastAsia" w:ascii="宋体" w:hAnsi="宋体" w:eastAsia="宋体" w:cs="Times New Roman"/>
          <w:sz w:val="24"/>
          <w:szCs w:val="22"/>
        </w:rPr>
        <w:t>在</w:t>
      </w:r>
      <w:r>
        <w:rPr>
          <w:rFonts w:hint="eastAsia" w:ascii="宋体" w:hAnsi="宋体" w:eastAsia="宋体" w:cs="Times New Roman"/>
          <w:sz w:val="24"/>
          <w:szCs w:val="22"/>
          <w:lang w:val="en-US" w:eastAsia="zh-CN"/>
        </w:rPr>
        <w:t>响应</w:t>
      </w:r>
      <w:r>
        <w:rPr>
          <w:rFonts w:hint="eastAsia" w:ascii="宋体" w:hAnsi="宋体" w:eastAsia="宋体" w:cs="Times New Roman"/>
          <w:sz w:val="24"/>
          <w:szCs w:val="22"/>
        </w:rPr>
        <w:t>文件中提供的检测报告、证书等材料须确保真实性。合同签订后3个工作日内送到采购人处核验，采购人有权核实上述材料，如在规定时间内不能按要求提供或经审核不能通过，</w:t>
      </w:r>
      <w:r>
        <w:rPr>
          <w:rFonts w:hint="eastAsia" w:ascii="宋体" w:hAnsi="宋体" w:eastAsia="宋体" w:cs="宋体"/>
          <w:sz w:val="24"/>
          <w:szCs w:val="24"/>
          <w:lang w:val="zh-CN" w:eastAsia="zh-CN"/>
        </w:rPr>
        <w:t>由此导致的一切责任均由</w:t>
      </w:r>
      <w:r>
        <w:rPr>
          <w:rFonts w:hint="eastAsia" w:ascii="宋体" w:hAnsi="宋体" w:eastAsia="宋体" w:cs="宋体"/>
          <w:sz w:val="24"/>
          <w:szCs w:val="24"/>
          <w:lang w:val="en-US" w:eastAsia="zh-CN"/>
        </w:rPr>
        <w:t>成交供应商</w:t>
      </w:r>
      <w:r>
        <w:rPr>
          <w:rFonts w:hint="eastAsia" w:ascii="宋体" w:hAnsi="宋体" w:eastAsia="宋体" w:cs="宋体"/>
          <w:sz w:val="24"/>
          <w:szCs w:val="24"/>
          <w:lang w:val="zh-CN" w:eastAsia="zh-CN"/>
        </w:rPr>
        <w:t>自行负责，且采购人有权</w:t>
      </w:r>
      <w:r>
        <w:rPr>
          <w:rFonts w:hint="eastAsia" w:ascii="宋体" w:hAnsi="宋体" w:eastAsia="宋体" w:cs="宋体"/>
          <w:sz w:val="24"/>
          <w:szCs w:val="24"/>
          <w:lang w:val="en-US" w:eastAsia="zh-CN"/>
        </w:rPr>
        <w:t>追究违约责任，成交供应商承担一切法律责任和不利后果（包括但不限于解除合同、支付违约金等）</w:t>
      </w:r>
      <w:r>
        <w:rPr>
          <w:rFonts w:hint="eastAsia" w:ascii="宋体" w:hAnsi="宋体" w:eastAsia="宋体" w:cs="Times New Roman"/>
          <w:sz w:val="24"/>
          <w:szCs w:val="22"/>
        </w:rPr>
        <w:t xml:space="preserve">。 </w:t>
      </w:r>
    </w:p>
    <w:p w14:paraId="27607D6B">
      <w:pPr>
        <w:spacing w:line="360" w:lineRule="auto"/>
        <w:ind w:firstLine="480" w:firstLineChars="200"/>
        <w:rPr>
          <w:rFonts w:ascii="宋体" w:hAnsi="宋体" w:eastAsia="宋体" w:cs="宋体"/>
          <w:spacing w:val="4"/>
          <w:sz w:val="24"/>
          <w:szCs w:val="24"/>
        </w:rPr>
      </w:pPr>
      <w:r>
        <w:rPr>
          <w:rFonts w:hint="eastAsia" w:ascii="宋体" w:hAnsi="宋体" w:eastAsia="宋体" w:cs="Times New Roman"/>
          <w:sz w:val="24"/>
          <w:szCs w:val="22"/>
          <w:lang w:eastAsia="zh-CN"/>
        </w:rPr>
        <w:t>4.</w:t>
      </w:r>
      <w:r>
        <w:rPr>
          <w:rFonts w:hint="eastAsia" w:ascii="宋体" w:hAnsi="宋体" w:eastAsia="宋体" w:cs="宋体"/>
          <w:sz w:val="24"/>
          <w:szCs w:val="24"/>
          <w:lang w:val="en-US" w:eastAsia="zh-CN"/>
        </w:rPr>
        <w:t>成交供应商</w:t>
      </w:r>
      <w:r>
        <w:rPr>
          <w:rFonts w:hint="eastAsia" w:ascii="宋体" w:hAnsi="宋体" w:eastAsia="宋体" w:cs="Times New Roman"/>
          <w:sz w:val="24"/>
          <w:szCs w:val="22"/>
        </w:rPr>
        <w:t>须在合同签订后14个日历日内，提供与</w:t>
      </w:r>
      <w:r>
        <w:rPr>
          <w:rFonts w:hint="eastAsia" w:ascii="宋体" w:hAnsi="宋体" w:eastAsia="宋体" w:cs="Times New Roman"/>
          <w:sz w:val="24"/>
          <w:szCs w:val="22"/>
          <w:lang w:val="en-US" w:eastAsia="zh-CN"/>
        </w:rPr>
        <w:t>比选</w:t>
      </w:r>
      <w:r>
        <w:rPr>
          <w:rFonts w:hint="eastAsia" w:ascii="宋体" w:hAnsi="宋体" w:eastAsia="宋体" w:cs="Times New Roman"/>
          <w:sz w:val="24"/>
          <w:szCs w:val="22"/>
        </w:rPr>
        <w:t>响应情况一致的主要标的物实物样品1组到采购人处，由采购人核查材料、配件等，如与</w:t>
      </w:r>
      <w:r>
        <w:rPr>
          <w:rFonts w:hint="eastAsia" w:ascii="宋体" w:hAnsi="宋体" w:eastAsia="宋体" w:cs="Times New Roman"/>
          <w:sz w:val="24"/>
          <w:szCs w:val="22"/>
          <w:lang w:val="en-US" w:eastAsia="zh-CN"/>
        </w:rPr>
        <w:t>参选</w:t>
      </w:r>
      <w:r>
        <w:rPr>
          <w:rFonts w:hint="eastAsia" w:ascii="宋体" w:hAnsi="宋体" w:eastAsia="宋体" w:cs="Times New Roman"/>
          <w:sz w:val="24"/>
          <w:szCs w:val="22"/>
        </w:rPr>
        <w:t>文件不一致的，采购人将拒绝接受货物，</w:t>
      </w:r>
      <w:r>
        <w:rPr>
          <w:rFonts w:hint="eastAsia" w:ascii="宋体" w:hAnsi="宋体" w:eastAsia="宋体" w:cs="宋体"/>
          <w:sz w:val="24"/>
          <w:szCs w:val="24"/>
          <w:lang w:val="zh-CN" w:eastAsia="zh-CN"/>
        </w:rPr>
        <w:t>由此导致的一切责任均由</w:t>
      </w:r>
      <w:r>
        <w:rPr>
          <w:rFonts w:hint="eastAsia" w:ascii="宋体" w:hAnsi="宋体" w:eastAsia="宋体" w:cs="宋体"/>
          <w:sz w:val="24"/>
          <w:szCs w:val="24"/>
          <w:lang w:val="en-US" w:eastAsia="zh-CN"/>
        </w:rPr>
        <w:t>成交供应商</w:t>
      </w:r>
      <w:r>
        <w:rPr>
          <w:rFonts w:hint="eastAsia" w:ascii="宋体" w:hAnsi="宋体" w:eastAsia="宋体" w:cs="宋体"/>
          <w:sz w:val="24"/>
          <w:szCs w:val="24"/>
          <w:lang w:val="zh-CN" w:eastAsia="zh-CN"/>
        </w:rPr>
        <w:t>自行负责，且采购人有权</w:t>
      </w:r>
      <w:r>
        <w:rPr>
          <w:rFonts w:hint="eastAsia" w:ascii="宋体" w:hAnsi="宋体" w:eastAsia="宋体" w:cs="宋体"/>
          <w:sz w:val="24"/>
          <w:szCs w:val="24"/>
          <w:lang w:val="en-US" w:eastAsia="zh-CN"/>
        </w:rPr>
        <w:t>追究违约责任，成交供应商承担一切法律责任和不利后果（包括但不限于解除合同、支付违约金等）</w:t>
      </w:r>
      <w:r>
        <w:rPr>
          <w:rFonts w:hint="eastAsia" w:ascii="宋体" w:hAnsi="宋体" w:eastAsia="宋体" w:cs="Times New Roman"/>
          <w:sz w:val="24"/>
          <w:szCs w:val="22"/>
        </w:rPr>
        <w:t>。且采购人有权结合现场情况，做必要调整，</w:t>
      </w:r>
      <w:r>
        <w:rPr>
          <w:rFonts w:hint="eastAsia" w:ascii="宋体" w:hAnsi="宋体" w:eastAsia="宋体" w:cs="宋体"/>
          <w:sz w:val="24"/>
          <w:szCs w:val="24"/>
          <w:lang w:val="en-US" w:eastAsia="zh-CN"/>
        </w:rPr>
        <w:t>成交供应商</w:t>
      </w:r>
      <w:r>
        <w:rPr>
          <w:rFonts w:hint="eastAsia" w:ascii="宋体" w:hAnsi="宋体" w:eastAsia="宋体" w:cs="Times New Roman"/>
          <w:sz w:val="24"/>
          <w:szCs w:val="22"/>
        </w:rPr>
        <w:t>须予以配合。样品通过采购人确认合格后才可批量生产。</w:t>
      </w:r>
    </w:p>
    <w:p w14:paraId="58DB51C0">
      <w:r>
        <w:rPr>
          <w:rFonts w:hint="eastAsia" w:ascii="宋体" w:hAnsi="宋体" w:eastAsia="宋体" w:cs="宋体"/>
          <w:b/>
          <w:bCs/>
          <w:color w:val="FF0000"/>
          <w:sz w:val="24"/>
        </w:rPr>
        <w:t>以上要求</w:t>
      </w:r>
      <w:r>
        <w:rPr>
          <w:rFonts w:hint="eastAsia" w:ascii="宋体" w:hAnsi="宋体" w:eastAsia="宋体" w:cs="宋体"/>
          <w:b/>
          <w:bCs/>
          <w:color w:val="FF0000"/>
          <w:sz w:val="24"/>
          <w:lang w:val="en-US" w:eastAsia="zh-CN"/>
        </w:rPr>
        <w:t>响应</w:t>
      </w:r>
      <w:r>
        <w:rPr>
          <w:rFonts w:hint="eastAsia" w:ascii="宋体" w:hAnsi="宋体" w:eastAsia="宋体" w:cs="宋体"/>
          <w:b/>
          <w:bCs/>
          <w:color w:val="FF0000"/>
          <w:sz w:val="24"/>
        </w:rPr>
        <w:t>文件中须提供承诺函并加盖</w:t>
      </w:r>
      <w:r>
        <w:rPr>
          <w:rFonts w:hint="eastAsia" w:ascii="宋体" w:hAnsi="宋体" w:eastAsia="宋体" w:cs="宋体"/>
          <w:b/>
          <w:bCs/>
          <w:color w:val="FF0000"/>
          <w:sz w:val="24"/>
          <w:lang w:val="en-US" w:eastAsia="zh-CN"/>
        </w:rPr>
        <w:t>供应商</w:t>
      </w:r>
      <w:r>
        <w:rPr>
          <w:rFonts w:hint="eastAsia" w:ascii="宋体" w:hAnsi="宋体" w:eastAsia="宋体" w:cs="宋体"/>
          <w:b/>
          <w:bCs/>
          <w:color w:val="FF0000"/>
          <w:sz w:val="24"/>
        </w:rPr>
        <w:t>公章或电子签章（详见第六章</w:t>
      </w:r>
      <w:r>
        <w:rPr>
          <w:rFonts w:hint="eastAsia" w:ascii="宋体" w:hAnsi="宋体" w:eastAsia="宋体" w:cs="宋体"/>
          <w:b/>
          <w:bCs/>
          <w:color w:val="FF0000"/>
          <w:sz w:val="24"/>
          <w:lang w:val="en-US" w:eastAsia="zh-CN"/>
        </w:rPr>
        <w:t>参选</w:t>
      </w:r>
      <w:r>
        <w:rPr>
          <w:rFonts w:hint="eastAsia" w:ascii="宋体" w:hAnsi="宋体" w:eastAsia="宋体" w:cs="宋体"/>
          <w:b/>
          <w:bCs/>
          <w:color w:val="FF0000"/>
          <w:sz w:val="24"/>
        </w:rPr>
        <w:t>文件格式十</w:t>
      </w:r>
      <w:r>
        <w:rPr>
          <w:rFonts w:hint="eastAsia" w:ascii="宋体" w:hAnsi="宋体" w:eastAsia="宋体" w:cs="宋体"/>
          <w:b/>
          <w:bCs/>
          <w:color w:val="FF0000"/>
          <w:sz w:val="24"/>
          <w:lang w:val="en-US" w:eastAsia="zh-CN"/>
        </w:rPr>
        <w:t>一</w:t>
      </w:r>
      <w:r>
        <w:rPr>
          <w:rFonts w:hint="eastAsia" w:ascii="宋体" w:hAnsi="宋体" w:eastAsia="宋体" w:cs="宋体"/>
          <w:b/>
          <w:bCs/>
          <w:color w:val="FF0000"/>
          <w:sz w:val="24"/>
        </w:rPr>
        <w:t>），未提供承诺或承诺内容不全的将导致</w:t>
      </w:r>
      <w:r>
        <w:rPr>
          <w:rFonts w:hint="eastAsia" w:ascii="宋体" w:hAnsi="宋体" w:eastAsia="宋体" w:cs="宋体"/>
          <w:b/>
          <w:bCs/>
          <w:color w:val="FF0000"/>
          <w:sz w:val="24"/>
          <w:lang w:val="en-US" w:eastAsia="zh-CN"/>
        </w:rPr>
        <w:t>响应</w:t>
      </w:r>
      <w:r>
        <w:rPr>
          <w:rFonts w:hint="eastAsia" w:ascii="宋体" w:hAnsi="宋体" w:eastAsia="宋体" w:cs="宋体"/>
          <w:b/>
          <w:bCs/>
          <w:color w:val="FF0000"/>
          <w:sz w:val="24"/>
        </w:rPr>
        <w:t>无效。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微软雅黑"/>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012CA6"/>
    <w:rsid w:val="59012C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宋体" w:cs="@仿宋_GB2312"/>
      <w:kern w:val="2"/>
      <w:sz w:val="21"/>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段落"/>
    <w:basedOn w:val="1"/>
    <w:qFormat/>
    <w:uiPriority w:val="0"/>
    <w:pPr>
      <w:spacing w:line="360" w:lineRule="auto"/>
      <w:ind w:firstLine="420" w:firstLineChars="200"/>
      <w:jc w:val="left"/>
    </w:pPr>
    <w:rPr>
      <w:rFonts w:ascii="宋体" w:hAnsi="宋体" w:cs="宋体"/>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2025-12-10T02:14:00Z</dcterms:created>
  <dc:creator>森</dc:creator>
  <cp:lastModifiedBy>森</cp:lastModifiedBy>
  <dcterms:modified xsi:type="dcterms:W3CDTF">2025-12-10T02:14:47Z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215407D4AEA84C2F87C26951AE8E8100_11</vt:lpwstr>
  </property>
  <property fmtid="{D5CDD505-2E9C-101B-9397-08002B2CF9AE}" pid="4" name="KSOTemplateDocerSaveRecord">
    <vt:lpwstr>eyJoZGlkIjoiOTc3M2Y5NzIzMDFlZjAyY2Q4Njk5ODkyYjFjNzBiNTQiLCJ1c2VySWQiOiI0MzAwMTYzNzkifQ==</vt:lpwstr>
  </property>
</Properties>
</file>