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D9FE8">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2E0DC054">
      <w:pPr>
        <w:wordWrap w:val="0"/>
        <w:spacing w:line="440" w:lineRule="exact"/>
        <w:jc w:val="left"/>
        <w:rPr>
          <w:rFonts w:ascii="宋体" w:hAnsi="宋体" w:eastAsia="宋体"/>
          <w:b/>
          <w:sz w:val="24"/>
        </w:rPr>
      </w:pPr>
      <w:r>
        <w:rPr>
          <w:rFonts w:hint="eastAsia" w:ascii="宋体" w:hAnsi="宋体" w:eastAsia="宋体"/>
          <w:b/>
          <w:sz w:val="24"/>
        </w:rPr>
        <w:t>前注：</w:t>
      </w:r>
    </w:p>
    <w:p w14:paraId="7D8D1859">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136ED6FC">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6"/>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6BE1C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1939C976">
            <w:pPr>
              <w:pStyle w:val="8"/>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39AF03C8">
            <w:pPr>
              <w:pStyle w:val="9"/>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4B2A2038">
            <w:pPr>
              <w:pStyle w:val="9"/>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5D67F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07B806C">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40DFCCD0">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15297AEC">
            <w:pPr>
              <w:pStyle w:val="9"/>
              <w:widowControl w:val="0"/>
              <w:spacing w:before="0" w:beforeAutospacing="0" w:after="0" w:afterAutospacing="0" w:line="360" w:lineRule="auto"/>
              <w:jc w:val="both"/>
              <w:rPr>
                <w:rFonts w:hint="eastAsia" w:ascii="宋体" w:hAnsi="宋体" w:eastAsia="宋体" w:cs="宋体"/>
                <w:b w:val="0"/>
                <w:bCs/>
                <w:kern w:val="0"/>
                <w:sz w:val="24"/>
                <w:szCs w:val="24"/>
                <w:lang w:val="en-US" w:eastAsia="zh-CN" w:bidi="ar-SA"/>
              </w:rPr>
            </w:pPr>
            <w:r>
              <w:rPr>
                <w:rFonts w:hint="eastAsia" w:ascii="宋体" w:hAnsi="宋体" w:eastAsia="宋体" w:cs="宋体"/>
                <w:b w:val="0"/>
                <w:bCs/>
                <w:kern w:val="0"/>
                <w:sz w:val="24"/>
                <w:szCs w:val="24"/>
                <w:lang w:val="en-US" w:eastAsia="zh-CN" w:bidi="ar-SA"/>
              </w:rPr>
              <w:t>成交供应商以套为单位与订购单位据实结算，付款前须开具广告业增值税专用发票至订购单位。</w:t>
            </w:r>
          </w:p>
          <w:p w14:paraId="2DB0E082">
            <w:pPr>
              <w:pStyle w:val="9"/>
              <w:widowControl w:val="0"/>
              <w:spacing w:before="0" w:beforeAutospacing="0" w:after="0" w:afterAutospacing="0" w:line="360" w:lineRule="auto"/>
              <w:jc w:val="both"/>
              <w:rPr>
                <w:rFonts w:hint="eastAsia" w:ascii="宋体" w:hAnsi="宋体" w:eastAsia="宋体" w:cs="宋体"/>
                <w:b w:val="0"/>
                <w:bCs/>
                <w:kern w:val="0"/>
                <w:sz w:val="24"/>
                <w:szCs w:val="24"/>
                <w:lang w:val="en-US" w:eastAsia="zh-CN" w:bidi="ar-SA"/>
              </w:rPr>
            </w:pPr>
            <w:r>
              <w:rPr>
                <w:rFonts w:hint="eastAsia" w:ascii="宋体" w:hAnsi="宋体" w:eastAsia="宋体" w:cs="宋体"/>
                <w:b/>
                <w:bCs w:val="0"/>
                <w:kern w:val="0"/>
                <w:sz w:val="24"/>
                <w:szCs w:val="24"/>
                <w:lang w:val="en-US" w:eastAsia="zh-CN" w:bidi="ar-SA"/>
              </w:rPr>
              <w:t>供应商提交的响应文件中如有关于付款条件的表述与磋商文件规定不符的，响应无效。</w:t>
            </w:r>
          </w:p>
        </w:tc>
      </w:tr>
      <w:tr w14:paraId="333A8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8120389">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1E3C27B0">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4A65B281">
            <w:pPr>
              <w:pStyle w:val="9"/>
              <w:widowControl w:val="0"/>
              <w:spacing w:before="0" w:beforeAutospacing="0" w:after="0" w:afterAutospacing="0" w:line="360" w:lineRule="auto"/>
              <w:jc w:val="both"/>
              <w:rPr>
                <w:rFonts w:hint="eastAsia" w:ascii="宋体" w:hAnsi="宋体" w:eastAsia="宋体" w:cs="宋体"/>
                <w:b w:val="0"/>
                <w:bCs/>
                <w:kern w:val="0"/>
                <w:sz w:val="24"/>
                <w:szCs w:val="24"/>
                <w:lang w:val="en-US" w:eastAsia="zh-CN" w:bidi="ar-SA"/>
              </w:rPr>
            </w:pPr>
            <w:r>
              <w:rPr>
                <w:rFonts w:hint="eastAsia" w:ascii="宋体" w:hAnsi="宋体" w:eastAsia="宋体" w:cs="宋体"/>
                <w:b w:val="0"/>
                <w:bCs/>
                <w:kern w:val="0"/>
                <w:sz w:val="24"/>
                <w:szCs w:val="24"/>
                <w:lang w:val="en-US" w:eastAsia="zh-CN" w:bidi="ar-SA"/>
              </w:rPr>
              <w:t>安徽省疾病预防控制中心或采购人指定地点。</w:t>
            </w:r>
          </w:p>
        </w:tc>
      </w:tr>
      <w:tr w14:paraId="682A1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05A578E">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5442ABBE">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67B63596">
            <w:pPr>
              <w:pStyle w:val="3"/>
              <w:spacing w:line="360" w:lineRule="auto"/>
              <w:rPr>
                <w:rFonts w:hint="eastAsia" w:ascii="宋体" w:hAnsi="宋体" w:eastAsia="宋体" w:cs="宋体"/>
                <w:b w:val="0"/>
                <w:bCs/>
                <w:kern w:val="0"/>
                <w:sz w:val="24"/>
                <w:szCs w:val="24"/>
                <w:lang w:val="en-US" w:eastAsia="zh-CN" w:bidi="ar-SA"/>
              </w:rPr>
            </w:pPr>
            <w:r>
              <w:rPr>
                <w:rFonts w:hint="eastAsia" w:ascii="宋体" w:hAnsi="宋体" w:eastAsia="宋体" w:cs="宋体"/>
                <w:b w:val="0"/>
                <w:bCs/>
                <w:kern w:val="0"/>
                <w:sz w:val="24"/>
                <w:szCs w:val="24"/>
                <w:lang w:val="en-US" w:eastAsia="zh-CN" w:bidi="ar-SA"/>
              </w:rPr>
              <w:t>合同签订之日起1年，本项目采用1+1+1模式，成交供应商在本服务期内履约良好，合同到期后经双方同意，且年度预算能保障的前提下，续签下一年合同，成交单价不变，最多续签2次，总服务期不超过三年。</w:t>
            </w:r>
          </w:p>
        </w:tc>
      </w:tr>
    </w:tbl>
    <w:p w14:paraId="68128A09">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二、项目需求</w:t>
      </w:r>
    </w:p>
    <w:p w14:paraId="12071A6A">
      <w:pPr>
        <w:wordWrap w:val="0"/>
        <w:spacing w:line="440" w:lineRule="exact"/>
        <w:ind w:firstLine="437"/>
        <w:jc w:val="left"/>
        <w:rPr>
          <w:rFonts w:hint="eastAsia" w:ascii="宋体" w:hAnsi="宋体" w:eastAsia="宋体"/>
          <w:b/>
          <w:bCs/>
          <w:sz w:val="24"/>
          <w:lang w:eastAsia="zh-CN"/>
        </w:rPr>
      </w:pPr>
      <w:r>
        <w:rPr>
          <w:rFonts w:hint="eastAsia" w:ascii="宋体" w:hAnsi="宋体" w:eastAsia="宋体"/>
          <w:b/>
          <w:bCs/>
          <w:sz w:val="24"/>
        </w:rPr>
        <w:t>宣传栏喷绘稿要求</w:t>
      </w:r>
      <w:r>
        <w:rPr>
          <w:rFonts w:hint="eastAsia" w:ascii="宋体" w:hAnsi="宋体" w:eastAsia="宋体"/>
          <w:b/>
          <w:bCs/>
          <w:sz w:val="24"/>
          <w:lang w:eastAsia="zh-CN"/>
        </w:rPr>
        <w:t>：</w:t>
      </w:r>
    </w:p>
    <w:p w14:paraId="358D1279">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1.</w:t>
      </w:r>
      <w:r>
        <w:rPr>
          <w:rFonts w:hint="eastAsia" w:ascii="宋体" w:hAnsi="宋体" w:eastAsia="宋体"/>
          <w:sz w:val="24"/>
        </w:rPr>
        <w:t>规则尺寸：每块1米*1米（24幅），1.2米*1.2米（24幅）</w:t>
      </w:r>
    </w:p>
    <w:p w14:paraId="000A8E1E">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2.</w:t>
      </w:r>
      <w:r>
        <w:rPr>
          <w:rFonts w:hint="eastAsia" w:ascii="宋体" w:hAnsi="宋体" w:eastAsia="宋体"/>
          <w:sz w:val="24"/>
        </w:rPr>
        <w:t>内容要求：每年采购人提供信息及文字稿（根据健康素养66条/国家基本公共卫生服务项目核心信息），供应商免费设计修改（三校稿），确定订制内容，签订合同15天内完成健康素养66条宣传栏的全部样稿设计，提交省疾控中心组织专家审核；审核通过后在15日内完成全部样稿的设计制作，并根据采购人文件要求及时供货。</w:t>
      </w:r>
    </w:p>
    <w:p w14:paraId="2FFAC66D">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3.</w:t>
      </w:r>
      <w:r>
        <w:rPr>
          <w:rFonts w:hint="eastAsia" w:ascii="宋体" w:hAnsi="宋体" w:eastAsia="宋体"/>
          <w:sz w:val="24"/>
        </w:rPr>
        <w:t>数量要求：每年每套共计24块，分6期，每期4块。数量以实际征订为准</w:t>
      </w:r>
      <w:r>
        <w:rPr>
          <w:rFonts w:hint="eastAsia" w:ascii="宋体" w:hAnsi="宋体" w:eastAsia="宋体"/>
          <w:b/>
          <w:bCs/>
          <w:sz w:val="24"/>
        </w:rPr>
        <w:t>（参考量：2025年3650套）</w:t>
      </w:r>
      <w:r>
        <w:rPr>
          <w:rFonts w:hint="eastAsia" w:ascii="宋体" w:hAnsi="宋体" w:eastAsia="宋体"/>
          <w:sz w:val="24"/>
        </w:rPr>
        <w:t>。能按要求完成合同者，</w:t>
      </w:r>
      <w:r>
        <w:rPr>
          <w:rFonts w:hint="eastAsia" w:ascii="宋体" w:hAnsi="宋体" w:eastAsia="宋体"/>
          <w:sz w:val="24"/>
          <w:lang w:val="en-US" w:eastAsia="zh-CN"/>
        </w:rPr>
        <w:t>根据续签原则可以</w:t>
      </w:r>
      <w:r>
        <w:rPr>
          <w:rFonts w:hint="eastAsia" w:ascii="宋体" w:hAnsi="宋体" w:eastAsia="宋体"/>
          <w:sz w:val="24"/>
        </w:rPr>
        <w:t>连续3年提供服务。</w:t>
      </w:r>
    </w:p>
    <w:p w14:paraId="429B1FE9">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4.</w:t>
      </w:r>
      <w:r>
        <w:rPr>
          <w:rFonts w:hint="eastAsia" w:ascii="宋体" w:hAnsi="宋体" w:eastAsia="宋体"/>
          <w:sz w:val="24"/>
        </w:rPr>
        <w:t>材质要求：一号喷绘布。</w:t>
      </w:r>
    </w:p>
    <w:p w14:paraId="54240CBA">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5.</w:t>
      </w:r>
      <w:r>
        <w:rPr>
          <w:rFonts w:hint="eastAsia" w:ascii="宋体" w:hAnsi="宋体" w:eastAsia="宋体"/>
          <w:sz w:val="24"/>
        </w:rPr>
        <w:t>制作要求：使用的图案来源于专业图库，</w:t>
      </w:r>
      <w:bookmarkStart w:id="0" w:name="OLE_LINK5"/>
      <w:r>
        <w:rPr>
          <w:rFonts w:hint="eastAsia" w:ascii="宋体" w:hAnsi="宋体" w:eastAsia="宋体"/>
          <w:sz w:val="24"/>
        </w:rPr>
        <w:t>不涉及侵犯版权</w:t>
      </w:r>
      <w:bookmarkEnd w:id="0"/>
      <w:r>
        <w:rPr>
          <w:rFonts w:hint="eastAsia" w:ascii="宋体" w:hAnsi="宋体" w:eastAsia="宋体"/>
          <w:sz w:val="24"/>
        </w:rPr>
        <w:t>，成品高精喷绘输出，净画面裁切好，按每套独立打包，非人为破坏的须承诺在1周内免费更换。</w:t>
      </w:r>
    </w:p>
    <w:p w14:paraId="2120228A">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6.响应</w:t>
      </w:r>
      <w:r>
        <w:rPr>
          <w:rFonts w:hint="eastAsia" w:ascii="宋体" w:hAnsi="宋体" w:eastAsia="宋体"/>
          <w:sz w:val="24"/>
        </w:rPr>
        <w:t>要求：</w:t>
      </w:r>
      <w:r>
        <w:rPr>
          <w:rFonts w:hint="eastAsia" w:ascii="宋体" w:hAnsi="宋体" w:eastAsia="宋体"/>
          <w:sz w:val="24"/>
          <w:lang w:val="en-US" w:eastAsia="zh-CN"/>
        </w:rPr>
        <w:t>响应</w:t>
      </w:r>
      <w:r>
        <w:rPr>
          <w:rFonts w:hint="eastAsia" w:ascii="宋体" w:hAnsi="宋体" w:eastAsia="宋体"/>
          <w:sz w:val="24"/>
        </w:rPr>
        <w:t>时</w:t>
      </w:r>
      <w:r>
        <w:rPr>
          <w:rFonts w:hint="eastAsia" w:ascii="宋体" w:hAnsi="宋体" w:eastAsia="宋体"/>
          <w:sz w:val="24"/>
          <w:lang w:val="en-US" w:eastAsia="zh-CN"/>
        </w:rPr>
        <w:t>须</w:t>
      </w:r>
      <w:r>
        <w:rPr>
          <w:rFonts w:hint="eastAsia" w:ascii="宋体" w:hAnsi="宋体" w:eastAsia="宋体"/>
          <w:sz w:val="24"/>
        </w:rPr>
        <w:t>根据</w:t>
      </w:r>
      <w:r>
        <w:rPr>
          <w:rFonts w:hint="eastAsia" w:ascii="宋体" w:hAnsi="宋体" w:eastAsia="宋体"/>
          <w:sz w:val="24"/>
          <w:lang w:eastAsia="zh-CN"/>
        </w:rPr>
        <w:t>《</w:t>
      </w:r>
      <w:r>
        <w:rPr>
          <w:rFonts w:hint="eastAsia" w:ascii="宋体" w:hAnsi="宋体" w:eastAsia="宋体"/>
          <w:sz w:val="24"/>
        </w:rPr>
        <w:t>附件</w:t>
      </w:r>
      <w:r>
        <w:rPr>
          <w:rFonts w:hint="eastAsia" w:ascii="宋体" w:hAnsi="宋体" w:eastAsia="宋体"/>
          <w:sz w:val="24"/>
          <w:lang w:val="en-US" w:eastAsia="zh-CN"/>
        </w:rPr>
        <w:t>-</w:t>
      </w:r>
      <w:r>
        <w:rPr>
          <w:rFonts w:hint="eastAsia" w:ascii="宋体" w:hAnsi="宋体" w:eastAsia="宋体" w:cs="@仿宋_GB2312"/>
          <w:b w:val="0"/>
          <w:sz w:val="24"/>
          <w:szCs w:val="20"/>
        </w:rPr>
        <w:t>健康教育宣传栏文字稿</w:t>
      </w:r>
      <w:r>
        <w:rPr>
          <w:rFonts w:hint="eastAsia" w:ascii="宋体" w:hAnsi="宋体" w:eastAsia="宋体"/>
          <w:sz w:val="24"/>
          <w:lang w:eastAsia="zh-CN"/>
        </w:rPr>
        <w:t>》</w:t>
      </w:r>
      <w:r>
        <w:rPr>
          <w:rFonts w:hint="eastAsia" w:ascii="宋体" w:hAnsi="宋体" w:eastAsia="宋体"/>
          <w:sz w:val="24"/>
        </w:rPr>
        <w:t>的文字内容提供宣传栏设计</w:t>
      </w:r>
      <w:r>
        <w:rPr>
          <w:rFonts w:hint="eastAsia" w:ascii="宋体" w:hAnsi="宋体" w:eastAsia="宋体"/>
          <w:sz w:val="24"/>
          <w:lang w:val="en-US" w:eastAsia="zh-CN"/>
        </w:rPr>
        <w:t>稿件样品</w:t>
      </w:r>
      <w:r>
        <w:rPr>
          <w:rFonts w:hint="eastAsia" w:ascii="宋体" w:hAnsi="宋体" w:eastAsia="宋体"/>
          <w:sz w:val="24"/>
        </w:rPr>
        <w:t>，供</w:t>
      </w:r>
      <w:r>
        <w:rPr>
          <w:rFonts w:hint="eastAsia" w:ascii="宋体" w:hAnsi="宋体" w:eastAsia="宋体"/>
          <w:sz w:val="24"/>
          <w:lang w:val="en-US" w:eastAsia="zh-CN"/>
        </w:rPr>
        <w:t>磋商小组评审</w:t>
      </w:r>
      <w:r>
        <w:rPr>
          <w:rFonts w:hint="eastAsia" w:ascii="宋体" w:hAnsi="宋体" w:eastAsia="宋体"/>
          <w:sz w:val="24"/>
        </w:rPr>
        <w:t>。</w:t>
      </w:r>
    </w:p>
    <w:p w14:paraId="2869ED95">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7.</w:t>
      </w:r>
      <w:r>
        <w:rPr>
          <w:rFonts w:hint="eastAsia" w:ascii="宋体" w:hAnsi="宋体" w:eastAsia="宋体"/>
          <w:sz w:val="24"/>
        </w:rPr>
        <w:t>订购运输发放要求：采购人以县（市、区）为单位订购，以物流及快递方式送货至订购单位（县区镇乡）。</w:t>
      </w:r>
    </w:p>
    <w:p w14:paraId="02CC2F38">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8.</w:t>
      </w:r>
      <w:r>
        <w:rPr>
          <w:rFonts w:hint="eastAsia" w:ascii="宋体" w:hAnsi="宋体" w:eastAsia="宋体"/>
          <w:sz w:val="24"/>
        </w:rPr>
        <w:t>以套为单位计算费用，费用包含：设计+制作+送货上门+增值税专用发票。</w:t>
      </w:r>
    </w:p>
    <w:p w14:paraId="08B939AA">
      <w:pPr>
        <w:wordWrap w:val="0"/>
        <w:spacing w:line="440" w:lineRule="exact"/>
        <w:ind w:firstLine="437"/>
        <w:jc w:val="left"/>
        <w:rPr>
          <w:rFonts w:hint="eastAsia" w:ascii="宋体" w:hAnsi="宋体" w:eastAsia="宋体"/>
          <w:sz w:val="24"/>
        </w:rPr>
      </w:pPr>
      <w:r>
        <w:rPr>
          <w:rFonts w:hint="eastAsia" w:ascii="宋体" w:hAnsi="宋体" w:eastAsia="宋体"/>
          <w:sz w:val="24"/>
          <w:lang w:val="en-US" w:eastAsia="zh-CN"/>
        </w:rPr>
        <w:t>9.</w:t>
      </w:r>
      <w:r>
        <w:rPr>
          <w:rFonts w:hint="eastAsia" w:ascii="宋体" w:hAnsi="宋体" w:eastAsia="宋体"/>
          <w:sz w:val="24"/>
        </w:rPr>
        <w:t>制作完成后，采购人协调有关部门统一印发文件，组织各县（市、区）征订。</w:t>
      </w:r>
    </w:p>
    <w:p w14:paraId="343DC85E">
      <w:pPr>
        <w:wordWrap w:val="0"/>
        <w:spacing w:line="440" w:lineRule="exact"/>
        <w:ind w:firstLine="437"/>
        <w:jc w:val="left"/>
        <w:rPr>
          <w:rFonts w:ascii="宋体" w:hAnsi="宋体" w:eastAsia="宋体" w:cs="宋体"/>
          <w:b/>
          <w:sz w:val="24"/>
          <w:szCs w:val="24"/>
        </w:rPr>
      </w:pPr>
      <w:r>
        <w:rPr>
          <w:rFonts w:hint="eastAsia" w:ascii="宋体" w:hAnsi="宋体" w:eastAsia="宋体" w:cs="宋体"/>
          <w:b/>
          <w:sz w:val="24"/>
          <w:szCs w:val="24"/>
        </w:rPr>
        <w:t>三、报价要求</w:t>
      </w:r>
    </w:p>
    <w:p w14:paraId="6505F23A">
      <w:pPr>
        <w:pStyle w:val="10"/>
        <w:spacing w:line="360" w:lineRule="auto"/>
        <w:ind w:firstLine="480" w:firstLineChars="200"/>
        <w:rPr>
          <w:rFonts w:ascii="宋体" w:hAnsi="宋体" w:eastAsia="宋体"/>
          <w:kern w:val="2"/>
          <w:sz w:val="24"/>
          <w:szCs w:val="24"/>
        </w:rPr>
      </w:pPr>
      <w:r>
        <w:rPr>
          <w:rFonts w:ascii="宋体" w:hAnsi="宋体" w:eastAsia="宋体"/>
          <w:kern w:val="2"/>
          <w:sz w:val="24"/>
          <w:szCs w:val="24"/>
        </w:rPr>
        <w:t>本项目报</w:t>
      </w:r>
      <w:r>
        <w:rPr>
          <w:rFonts w:hint="eastAsia" w:ascii="宋体" w:hAnsi="宋体" w:eastAsia="宋体"/>
          <w:kern w:val="2"/>
          <w:sz w:val="24"/>
          <w:szCs w:val="24"/>
          <w:lang w:val="en-US" w:eastAsia="zh-CN"/>
        </w:rPr>
        <w:t>每套价格</w:t>
      </w:r>
      <w:r>
        <w:rPr>
          <w:rFonts w:ascii="宋体" w:hAnsi="宋体" w:eastAsia="宋体"/>
          <w:kern w:val="2"/>
          <w:sz w:val="24"/>
          <w:szCs w:val="24"/>
        </w:rPr>
        <w:t>，</w:t>
      </w:r>
      <w:r>
        <w:rPr>
          <w:rFonts w:hint="eastAsia" w:ascii="宋体" w:hAnsi="宋体" w:eastAsia="宋体"/>
          <w:kern w:val="2"/>
          <w:sz w:val="24"/>
          <w:szCs w:val="24"/>
          <w:lang w:val="en-US" w:eastAsia="zh-CN"/>
        </w:rPr>
        <w:t>据实结算。每套</w:t>
      </w:r>
      <w:r>
        <w:rPr>
          <w:rFonts w:ascii="宋体" w:hAnsi="宋体" w:eastAsia="宋体"/>
          <w:kern w:val="2"/>
          <w:sz w:val="24"/>
          <w:szCs w:val="24"/>
        </w:rPr>
        <w:t>报价须包含完成</w:t>
      </w:r>
      <w:r>
        <w:rPr>
          <w:rFonts w:hint="eastAsia" w:ascii="宋体" w:hAnsi="宋体" w:eastAsia="宋体"/>
          <w:kern w:val="2"/>
          <w:sz w:val="24"/>
          <w:szCs w:val="24"/>
          <w:lang w:val="en-US" w:eastAsia="zh-CN"/>
        </w:rPr>
        <w:t>对应项</w:t>
      </w:r>
      <w:r>
        <w:rPr>
          <w:rFonts w:ascii="宋体" w:hAnsi="宋体" w:eastAsia="宋体"/>
          <w:kern w:val="2"/>
          <w:sz w:val="24"/>
          <w:szCs w:val="24"/>
        </w:rPr>
        <w:t>的全部费用，采购人不再另行追加费用，供应商自行考虑投标风险。</w:t>
      </w:r>
    </w:p>
    <w:p w14:paraId="47733592">
      <w:pPr>
        <w:wordWrap w:val="0"/>
        <w:spacing w:line="440" w:lineRule="exact"/>
        <w:ind w:firstLine="437"/>
        <w:jc w:val="left"/>
        <w:rPr>
          <w:rFonts w:hint="eastAsia" w:ascii="宋体" w:hAnsi="宋体" w:eastAsia="宋体" w:cs="宋体"/>
          <w:b/>
          <w:sz w:val="24"/>
          <w:szCs w:val="24"/>
        </w:rPr>
      </w:pPr>
      <w:r>
        <w:rPr>
          <w:rFonts w:hint="eastAsia" w:ascii="宋体" w:hAnsi="宋体" w:eastAsia="宋体" w:cs="宋体"/>
          <w:b/>
          <w:sz w:val="24"/>
          <w:szCs w:val="24"/>
        </w:rPr>
        <w:t>四、样品要求</w:t>
      </w:r>
    </w:p>
    <w:p w14:paraId="0448A038">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1.磋商样品是响应文件的组成部分。磋商前，供应商应按磋商文件规定准备磋商样品。并在样品上标记以下信息：</w:t>
      </w:r>
    </w:p>
    <w:p w14:paraId="61D290F2">
      <w:pPr>
        <w:wordWrap w:val="0"/>
        <w:spacing w:line="440" w:lineRule="exact"/>
        <w:ind w:firstLine="437"/>
        <w:jc w:val="left"/>
        <w:rPr>
          <w:rFonts w:hint="eastAsia" w:ascii="宋体" w:hAnsi="宋体" w:eastAsia="宋体"/>
          <w:b/>
          <w:bCs/>
          <w:sz w:val="24"/>
          <w:lang w:val="en-US" w:eastAsia="zh-CN"/>
        </w:rPr>
      </w:pPr>
      <w:r>
        <w:rPr>
          <w:rFonts w:hint="eastAsia" w:ascii="宋体" w:hAnsi="宋体" w:eastAsia="宋体"/>
          <w:b/>
          <w:bCs/>
          <w:sz w:val="24"/>
          <w:lang w:val="en-US" w:eastAsia="zh-CN"/>
        </w:rPr>
        <w:t>“安徽省疾控中心健康素养66条宣传栏项目”（供应商全称）样品；</w:t>
      </w:r>
    </w:p>
    <w:p w14:paraId="3C6D825E">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2.磋商时，供应商应提交样品并送达指定地点；响应文件提交截止时间后提交的样品，不予接收。</w:t>
      </w:r>
    </w:p>
    <w:p w14:paraId="2AB7E38C">
      <w:pPr>
        <w:wordWrap w:val="0"/>
        <w:spacing w:line="440" w:lineRule="exact"/>
        <w:ind w:firstLine="437"/>
        <w:jc w:val="left"/>
        <w:rPr>
          <w:rFonts w:hint="eastAsia" w:ascii="宋体" w:hAnsi="宋体" w:eastAsia="宋体"/>
          <w:color w:val="FF0000"/>
          <w:sz w:val="24"/>
          <w:u w:val="single"/>
          <w:lang w:val="en-US" w:eastAsia="zh-CN"/>
        </w:rPr>
      </w:pPr>
      <w:r>
        <w:rPr>
          <w:rFonts w:hint="eastAsia" w:ascii="宋体" w:hAnsi="宋体" w:eastAsia="宋体"/>
          <w:sz w:val="24"/>
          <w:lang w:val="en-US" w:eastAsia="zh-CN"/>
        </w:rPr>
        <w:t>3.磋商样品送达地：</w:t>
      </w:r>
      <w:r>
        <w:rPr>
          <w:rFonts w:hint="eastAsia" w:ascii="宋体" w:hAnsi="宋体" w:eastAsia="宋体"/>
          <w:color w:val="FF0000"/>
          <w:sz w:val="24"/>
          <w:u w:val="single"/>
          <w:lang w:val="en-US" w:eastAsia="zh-CN"/>
        </w:rPr>
        <w:t>响应文件提交截止时间前一小时内（2025年12月2日13时00分至14时00分）递交样品，鼎信数智技术集团股份有限公司20楼开标5室（安徽省合肥市经济技术开发区翡翠路港澳广场A座20层）。支持邮寄，请务必自行确认邮寄时间，因快递未送达导致的样品未递交情形，供应商自行承担相应后果。（邮寄地址：合肥市经济技术开发区翡翠路188号港澳广场A座18层1801室，宋工15256213650）</w:t>
      </w:r>
    </w:p>
    <w:p w14:paraId="65575420">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4.供应商未提供样品或提供样品不全的：</w:t>
      </w:r>
      <w:r>
        <w:rPr>
          <w:rFonts w:hint="eastAsia" w:ascii="宋体" w:hAnsi="宋体" w:eastAsia="宋体" w:cs="宋体"/>
          <w:b/>
          <w:bCs/>
          <w:sz w:val="24"/>
          <w:u w:val="single"/>
        </w:rPr>
        <w:t>按照评审方法和标准进行扣分</w:t>
      </w:r>
      <w:r>
        <w:rPr>
          <w:rFonts w:hint="eastAsia" w:ascii="宋体" w:hAnsi="宋体" w:eastAsia="宋体"/>
          <w:b/>
          <w:bCs/>
          <w:sz w:val="24"/>
          <w:u w:val="single"/>
          <w:lang w:val="en-US" w:eastAsia="zh-CN"/>
        </w:rPr>
        <w:t>。</w:t>
      </w:r>
    </w:p>
    <w:p w14:paraId="0956249E">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4.1本项目要求提供的样品如下：</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2770"/>
        <w:gridCol w:w="3222"/>
        <w:gridCol w:w="733"/>
        <w:gridCol w:w="697"/>
      </w:tblGrid>
      <w:tr w14:paraId="4E4B5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65" w:type="dxa"/>
            <w:noWrap w:val="0"/>
            <w:vAlign w:val="top"/>
          </w:tcPr>
          <w:p w14:paraId="2B0E8DBA">
            <w:pPr>
              <w:spacing w:line="420" w:lineRule="exact"/>
              <w:jc w:val="center"/>
              <w:rPr>
                <w:rFonts w:ascii="宋体" w:hAnsi="宋体" w:eastAsia="宋体" w:cs="Arial"/>
                <w:b/>
                <w:bCs/>
                <w:sz w:val="22"/>
                <w:szCs w:val="22"/>
              </w:rPr>
            </w:pPr>
            <w:r>
              <w:rPr>
                <w:rFonts w:ascii="宋体" w:hAnsi="宋体" w:eastAsia="宋体" w:cs="Arial"/>
                <w:b/>
                <w:bCs/>
                <w:sz w:val="22"/>
                <w:szCs w:val="22"/>
              </w:rPr>
              <w:t>序号</w:t>
            </w:r>
          </w:p>
        </w:tc>
        <w:tc>
          <w:tcPr>
            <w:tcW w:w="2770" w:type="dxa"/>
            <w:noWrap w:val="0"/>
            <w:vAlign w:val="top"/>
          </w:tcPr>
          <w:p w14:paraId="0DBF10D6">
            <w:pPr>
              <w:spacing w:line="420" w:lineRule="exact"/>
              <w:jc w:val="center"/>
              <w:rPr>
                <w:rFonts w:ascii="宋体" w:hAnsi="宋体" w:eastAsia="宋体" w:cs="Arial"/>
                <w:b/>
                <w:bCs/>
                <w:sz w:val="22"/>
                <w:szCs w:val="22"/>
              </w:rPr>
            </w:pPr>
            <w:r>
              <w:rPr>
                <w:rFonts w:ascii="宋体" w:hAnsi="宋体" w:eastAsia="宋体" w:cs="Arial"/>
                <w:b/>
                <w:bCs/>
                <w:sz w:val="22"/>
                <w:szCs w:val="22"/>
              </w:rPr>
              <w:t>样品名称</w:t>
            </w:r>
          </w:p>
        </w:tc>
        <w:tc>
          <w:tcPr>
            <w:tcW w:w="3222" w:type="dxa"/>
            <w:noWrap w:val="0"/>
            <w:vAlign w:val="top"/>
          </w:tcPr>
          <w:p w14:paraId="242CF223">
            <w:pPr>
              <w:spacing w:line="420" w:lineRule="exact"/>
              <w:jc w:val="center"/>
              <w:rPr>
                <w:rFonts w:ascii="宋体" w:hAnsi="宋体" w:eastAsia="宋体" w:cs="Arial"/>
                <w:b/>
                <w:bCs/>
                <w:sz w:val="22"/>
                <w:szCs w:val="22"/>
              </w:rPr>
            </w:pPr>
            <w:r>
              <w:rPr>
                <w:rFonts w:ascii="宋体" w:hAnsi="宋体" w:eastAsia="宋体" w:cs="Arial"/>
                <w:b/>
                <w:bCs/>
                <w:sz w:val="22"/>
                <w:szCs w:val="22"/>
              </w:rPr>
              <w:t>参数要求</w:t>
            </w:r>
          </w:p>
        </w:tc>
        <w:tc>
          <w:tcPr>
            <w:tcW w:w="733" w:type="dxa"/>
            <w:noWrap w:val="0"/>
            <w:vAlign w:val="top"/>
          </w:tcPr>
          <w:p w14:paraId="32FB7191">
            <w:pPr>
              <w:spacing w:line="420" w:lineRule="exact"/>
              <w:jc w:val="center"/>
              <w:rPr>
                <w:rFonts w:ascii="宋体" w:hAnsi="宋体" w:eastAsia="宋体" w:cs="Arial"/>
                <w:b/>
                <w:bCs/>
                <w:sz w:val="22"/>
                <w:szCs w:val="22"/>
              </w:rPr>
            </w:pPr>
            <w:r>
              <w:rPr>
                <w:rFonts w:ascii="宋体" w:hAnsi="宋体" w:eastAsia="宋体" w:cs="Arial"/>
                <w:b/>
                <w:bCs/>
                <w:sz w:val="22"/>
                <w:szCs w:val="22"/>
              </w:rPr>
              <w:t>单位</w:t>
            </w:r>
          </w:p>
        </w:tc>
        <w:tc>
          <w:tcPr>
            <w:tcW w:w="697" w:type="dxa"/>
            <w:noWrap w:val="0"/>
            <w:vAlign w:val="top"/>
          </w:tcPr>
          <w:p w14:paraId="1199D061">
            <w:pPr>
              <w:spacing w:line="420" w:lineRule="exact"/>
              <w:jc w:val="center"/>
              <w:rPr>
                <w:rFonts w:ascii="宋体" w:hAnsi="宋体" w:eastAsia="宋体" w:cs="Arial"/>
                <w:b/>
                <w:bCs/>
                <w:sz w:val="22"/>
                <w:szCs w:val="22"/>
              </w:rPr>
            </w:pPr>
            <w:r>
              <w:rPr>
                <w:rFonts w:ascii="宋体" w:hAnsi="宋体" w:eastAsia="宋体" w:cs="Arial"/>
                <w:b/>
                <w:bCs/>
                <w:sz w:val="22"/>
                <w:szCs w:val="22"/>
              </w:rPr>
              <w:t>数量</w:t>
            </w:r>
          </w:p>
        </w:tc>
      </w:tr>
      <w:tr w14:paraId="75B41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665" w:type="dxa"/>
            <w:noWrap w:val="0"/>
            <w:vAlign w:val="center"/>
          </w:tcPr>
          <w:p w14:paraId="7909E119">
            <w:pPr>
              <w:spacing w:line="360" w:lineRule="auto"/>
              <w:ind w:right="280"/>
              <w:jc w:val="center"/>
              <w:rPr>
                <w:rFonts w:hint="eastAsia" w:ascii="宋体" w:hAnsi="宋体" w:eastAsia="宋体" w:cs="Arial"/>
                <w:bCs/>
                <w:sz w:val="22"/>
                <w:szCs w:val="22"/>
              </w:rPr>
            </w:pPr>
            <w:r>
              <w:rPr>
                <w:rFonts w:hint="eastAsia" w:ascii="宋体" w:hAnsi="宋体" w:eastAsia="宋体" w:cs="Arial"/>
                <w:bCs/>
                <w:sz w:val="22"/>
                <w:szCs w:val="22"/>
              </w:rPr>
              <w:t>1</w:t>
            </w:r>
          </w:p>
        </w:tc>
        <w:tc>
          <w:tcPr>
            <w:tcW w:w="2770" w:type="dxa"/>
            <w:noWrap w:val="0"/>
            <w:vAlign w:val="center"/>
          </w:tcPr>
          <w:p w14:paraId="13398F1B">
            <w:pPr>
              <w:spacing w:line="360" w:lineRule="auto"/>
              <w:jc w:val="center"/>
              <w:rPr>
                <w:rFonts w:hint="eastAsia" w:ascii="宋体" w:hAnsi="宋体" w:eastAsia="宋体"/>
                <w:szCs w:val="21"/>
              </w:rPr>
            </w:pPr>
            <w:r>
              <w:rPr>
                <w:rFonts w:hint="eastAsia" w:ascii="宋体" w:hAnsi="宋体" w:eastAsia="宋体"/>
                <w:szCs w:val="21"/>
              </w:rPr>
              <w:t>第1张：谨防发生关节损伤</w:t>
            </w:r>
          </w:p>
        </w:tc>
        <w:tc>
          <w:tcPr>
            <w:tcW w:w="3222" w:type="dxa"/>
            <w:noWrap w:val="0"/>
            <w:vAlign w:val="top"/>
          </w:tcPr>
          <w:p w14:paraId="6B3DE2C3">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2D6C1A9E">
            <w:pPr>
              <w:spacing w:line="360" w:lineRule="auto"/>
              <w:jc w:val="center"/>
              <w:rPr>
                <w:rFonts w:hint="eastAsia" w:ascii="宋体" w:hAnsi="宋体" w:eastAsia="宋体"/>
                <w:szCs w:val="21"/>
                <w:lang w:eastAsia="zh-CN"/>
              </w:rPr>
            </w:pPr>
            <w:r>
              <w:rPr>
                <w:rFonts w:hint="eastAsia" w:ascii="宋体" w:hAnsi="宋体" w:eastAsia="宋体"/>
                <w:szCs w:val="21"/>
                <w:lang w:val="en-US" w:eastAsia="zh-CN"/>
              </w:rPr>
              <w:t>张</w:t>
            </w:r>
          </w:p>
        </w:tc>
        <w:tc>
          <w:tcPr>
            <w:tcW w:w="697" w:type="dxa"/>
            <w:noWrap w:val="0"/>
            <w:vAlign w:val="center"/>
          </w:tcPr>
          <w:p w14:paraId="28CAD9C0">
            <w:pPr>
              <w:spacing w:line="360" w:lineRule="auto"/>
              <w:jc w:val="center"/>
              <w:rPr>
                <w:rFonts w:hint="eastAsia" w:ascii="宋体" w:hAnsi="宋体" w:eastAsia="宋体"/>
                <w:szCs w:val="21"/>
              </w:rPr>
            </w:pPr>
            <w:r>
              <w:rPr>
                <w:rFonts w:hint="eastAsia" w:ascii="宋体" w:hAnsi="宋体" w:eastAsia="宋体"/>
                <w:szCs w:val="21"/>
              </w:rPr>
              <w:t>1</w:t>
            </w:r>
          </w:p>
        </w:tc>
      </w:tr>
      <w:tr w14:paraId="0C6B5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6A2B6425">
            <w:pPr>
              <w:spacing w:line="360" w:lineRule="auto"/>
              <w:ind w:right="280"/>
              <w:jc w:val="center"/>
              <w:rPr>
                <w:rFonts w:hint="eastAsia" w:ascii="宋体" w:hAnsi="宋体" w:eastAsia="宋体" w:cs="Arial"/>
                <w:kern w:val="0"/>
                <w:sz w:val="22"/>
                <w:szCs w:val="22"/>
              </w:rPr>
            </w:pPr>
            <w:r>
              <w:rPr>
                <w:rFonts w:hint="eastAsia" w:ascii="宋体" w:hAnsi="宋体" w:eastAsia="宋体" w:cs="Arial"/>
                <w:kern w:val="0"/>
                <w:sz w:val="22"/>
                <w:szCs w:val="22"/>
              </w:rPr>
              <w:t>2</w:t>
            </w:r>
          </w:p>
        </w:tc>
        <w:tc>
          <w:tcPr>
            <w:tcW w:w="2770" w:type="dxa"/>
            <w:noWrap w:val="0"/>
            <w:vAlign w:val="center"/>
          </w:tcPr>
          <w:p w14:paraId="35A43884">
            <w:pPr>
              <w:spacing w:line="360" w:lineRule="auto"/>
              <w:jc w:val="center"/>
              <w:rPr>
                <w:rFonts w:hint="eastAsia" w:ascii="宋体" w:hAnsi="宋体" w:eastAsia="宋体"/>
                <w:szCs w:val="21"/>
              </w:rPr>
            </w:pPr>
            <w:r>
              <w:rPr>
                <w:rFonts w:hint="eastAsia" w:ascii="宋体" w:hAnsi="宋体" w:eastAsia="宋体"/>
                <w:szCs w:val="21"/>
              </w:rPr>
              <w:t>第2张：注意用眼健康</w:t>
            </w:r>
          </w:p>
        </w:tc>
        <w:tc>
          <w:tcPr>
            <w:tcW w:w="3222" w:type="dxa"/>
            <w:noWrap w:val="0"/>
            <w:vAlign w:val="top"/>
          </w:tcPr>
          <w:p w14:paraId="3D44D880">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5B2EAB68">
            <w:pPr>
              <w:spacing w:line="360" w:lineRule="auto"/>
              <w:jc w:val="center"/>
              <w:rPr>
                <w:rFonts w:ascii="宋体" w:hAnsi="宋体" w:eastAsia="宋体"/>
                <w:szCs w:val="21"/>
              </w:rPr>
            </w:pPr>
            <w:r>
              <w:rPr>
                <w:rFonts w:hint="eastAsia" w:ascii="宋体" w:hAnsi="宋体" w:eastAsia="宋体"/>
                <w:szCs w:val="21"/>
                <w:lang w:val="en-US" w:eastAsia="zh-CN"/>
              </w:rPr>
              <w:t>张</w:t>
            </w:r>
          </w:p>
        </w:tc>
        <w:tc>
          <w:tcPr>
            <w:tcW w:w="697" w:type="dxa"/>
            <w:noWrap w:val="0"/>
            <w:vAlign w:val="center"/>
          </w:tcPr>
          <w:p w14:paraId="38B2C2AD">
            <w:pPr>
              <w:spacing w:line="360" w:lineRule="auto"/>
              <w:jc w:val="center"/>
              <w:rPr>
                <w:rFonts w:hint="eastAsia" w:ascii="宋体" w:hAnsi="宋体" w:eastAsia="宋体"/>
                <w:szCs w:val="21"/>
              </w:rPr>
            </w:pPr>
            <w:r>
              <w:rPr>
                <w:rFonts w:hint="eastAsia" w:ascii="宋体" w:hAnsi="宋体" w:eastAsia="宋体"/>
                <w:szCs w:val="21"/>
              </w:rPr>
              <w:t>1</w:t>
            </w:r>
          </w:p>
        </w:tc>
      </w:tr>
      <w:tr w14:paraId="38DBC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19BCBABF">
            <w:pPr>
              <w:spacing w:line="360" w:lineRule="auto"/>
              <w:ind w:right="280"/>
              <w:jc w:val="center"/>
              <w:rPr>
                <w:rFonts w:hint="eastAsia" w:ascii="宋体" w:hAnsi="宋体" w:eastAsia="宋体" w:cs="Arial"/>
                <w:kern w:val="0"/>
                <w:sz w:val="22"/>
                <w:szCs w:val="22"/>
              </w:rPr>
            </w:pPr>
            <w:r>
              <w:rPr>
                <w:rFonts w:hint="eastAsia" w:ascii="宋体" w:hAnsi="宋体" w:eastAsia="宋体" w:cs="Arial"/>
                <w:kern w:val="0"/>
                <w:sz w:val="22"/>
                <w:szCs w:val="22"/>
              </w:rPr>
              <w:t>3</w:t>
            </w:r>
          </w:p>
        </w:tc>
        <w:tc>
          <w:tcPr>
            <w:tcW w:w="2770" w:type="dxa"/>
            <w:noWrap w:val="0"/>
            <w:vAlign w:val="center"/>
          </w:tcPr>
          <w:p w14:paraId="47BD5B06">
            <w:pPr>
              <w:spacing w:line="360" w:lineRule="auto"/>
              <w:jc w:val="center"/>
              <w:rPr>
                <w:rFonts w:hint="eastAsia" w:ascii="宋体" w:hAnsi="宋体" w:eastAsia="宋体"/>
                <w:szCs w:val="21"/>
              </w:rPr>
            </w:pPr>
            <w:r>
              <w:rPr>
                <w:rFonts w:hint="eastAsia" w:ascii="宋体" w:hAnsi="宋体" w:eastAsia="宋体"/>
                <w:szCs w:val="21"/>
              </w:rPr>
              <w:t>第3张：谨防发生脑卒中</w:t>
            </w:r>
          </w:p>
        </w:tc>
        <w:tc>
          <w:tcPr>
            <w:tcW w:w="3222" w:type="dxa"/>
            <w:noWrap w:val="0"/>
            <w:vAlign w:val="top"/>
          </w:tcPr>
          <w:p w14:paraId="485D0E76">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2675D91D">
            <w:pPr>
              <w:spacing w:line="360" w:lineRule="auto"/>
              <w:jc w:val="center"/>
              <w:rPr>
                <w:rFonts w:hint="eastAsia" w:ascii="宋体" w:hAnsi="宋体" w:eastAsia="宋体"/>
                <w:szCs w:val="21"/>
              </w:rPr>
            </w:pPr>
            <w:r>
              <w:rPr>
                <w:rFonts w:hint="eastAsia" w:ascii="宋体" w:hAnsi="宋体" w:eastAsia="宋体"/>
                <w:szCs w:val="21"/>
                <w:lang w:val="en-US" w:eastAsia="zh-CN"/>
              </w:rPr>
              <w:t>张</w:t>
            </w:r>
          </w:p>
        </w:tc>
        <w:tc>
          <w:tcPr>
            <w:tcW w:w="697" w:type="dxa"/>
            <w:noWrap w:val="0"/>
            <w:vAlign w:val="center"/>
          </w:tcPr>
          <w:p w14:paraId="15B99AC1">
            <w:pPr>
              <w:spacing w:line="360" w:lineRule="auto"/>
              <w:jc w:val="center"/>
              <w:rPr>
                <w:rFonts w:hint="eastAsia" w:ascii="宋体" w:hAnsi="宋体" w:eastAsia="宋体"/>
                <w:szCs w:val="21"/>
              </w:rPr>
            </w:pPr>
            <w:r>
              <w:rPr>
                <w:rFonts w:hint="eastAsia" w:ascii="宋体" w:hAnsi="宋体" w:eastAsia="宋体"/>
                <w:szCs w:val="21"/>
              </w:rPr>
              <w:t>1</w:t>
            </w:r>
          </w:p>
        </w:tc>
      </w:tr>
      <w:tr w14:paraId="308B5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5BFE3181">
            <w:pPr>
              <w:spacing w:line="360" w:lineRule="auto"/>
              <w:ind w:right="280"/>
              <w:jc w:val="center"/>
              <w:rPr>
                <w:rFonts w:hint="eastAsia" w:ascii="宋体" w:hAnsi="宋体" w:eastAsia="宋体" w:cs="Arial"/>
                <w:kern w:val="0"/>
                <w:sz w:val="22"/>
                <w:szCs w:val="22"/>
                <w:lang w:val="en-US" w:eastAsia="zh-CN"/>
              </w:rPr>
            </w:pPr>
            <w:r>
              <w:rPr>
                <w:rFonts w:hint="eastAsia" w:ascii="宋体" w:hAnsi="宋体" w:eastAsia="宋体" w:cs="Arial"/>
                <w:kern w:val="0"/>
                <w:sz w:val="22"/>
                <w:szCs w:val="22"/>
                <w:lang w:val="en-US" w:eastAsia="zh-CN"/>
              </w:rPr>
              <w:t>4</w:t>
            </w:r>
          </w:p>
        </w:tc>
        <w:tc>
          <w:tcPr>
            <w:tcW w:w="2770" w:type="dxa"/>
            <w:noWrap w:val="0"/>
            <w:vAlign w:val="center"/>
          </w:tcPr>
          <w:p w14:paraId="05AA27F7">
            <w:pPr>
              <w:pStyle w:val="5"/>
              <w:widowControl/>
              <w:adjustRightInd w:val="0"/>
              <w:snapToGrid w:val="0"/>
              <w:spacing w:beforeAutospacing="0" w:afterAutospacing="0" w:line="360" w:lineRule="auto"/>
              <w:jc w:val="both"/>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第4张：谨防发生心血管疾病</w:t>
            </w:r>
          </w:p>
          <w:p w14:paraId="2B1EE036">
            <w:pPr>
              <w:spacing w:line="360" w:lineRule="auto"/>
              <w:jc w:val="center"/>
              <w:rPr>
                <w:rFonts w:hint="eastAsia" w:ascii="宋体" w:hAnsi="宋体" w:eastAsia="宋体" w:cs="@仿宋_GB2312"/>
                <w:kern w:val="2"/>
                <w:sz w:val="21"/>
                <w:szCs w:val="21"/>
                <w:lang w:val="en-US" w:eastAsia="zh-CN" w:bidi="ar-SA"/>
              </w:rPr>
            </w:pPr>
          </w:p>
        </w:tc>
        <w:tc>
          <w:tcPr>
            <w:tcW w:w="3222" w:type="dxa"/>
            <w:noWrap w:val="0"/>
            <w:vAlign w:val="top"/>
          </w:tcPr>
          <w:p w14:paraId="403F9C77">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40D3D72C">
            <w:pPr>
              <w:spacing w:line="360" w:lineRule="auto"/>
              <w:jc w:val="center"/>
              <w:rPr>
                <w:rFonts w:hint="eastAsia" w:ascii="宋体" w:hAnsi="宋体" w:eastAsia="宋体"/>
                <w:szCs w:val="21"/>
              </w:rPr>
            </w:pPr>
            <w:r>
              <w:rPr>
                <w:rFonts w:hint="eastAsia" w:ascii="宋体" w:hAnsi="宋体" w:eastAsia="宋体"/>
                <w:szCs w:val="21"/>
                <w:lang w:val="en-US" w:eastAsia="zh-CN"/>
              </w:rPr>
              <w:t>张</w:t>
            </w:r>
          </w:p>
        </w:tc>
        <w:tc>
          <w:tcPr>
            <w:tcW w:w="697" w:type="dxa"/>
            <w:noWrap w:val="0"/>
            <w:vAlign w:val="center"/>
          </w:tcPr>
          <w:p w14:paraId="6D758F76">
            <w:pPr>
              <w:spacing w:line="360" w:lineRule="auto"/>
              <w:jc w:val="center"/>
              <w:rPr>
                <w:rFonts w:hint="eastAsia" w:ascii="宋体" w:hAnsi="宋体" w:eastAsia="宋体"/>
                <w:szCs w:val="21"/>
              </w:rPr>
            </w:pPr>
            <w:r>
              <w:rPr>
                <w:rFonts w:hint="eastAsia" w:ascii="宋体" w:hAnsi="宋体" w:eastAsia="宋体"/>
                <w:szCs w:val="21"/>
              </w:rPr>
              <w:t>1</w:t>
            </w:r>
          </w:p>
        </w:tc>
      </w:tr>
      <w:tr w14:paraId="4EAAA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2271772D">
            <w:pPr>
              <w:spacing w:line="360" w:lineRule="auto"/>
              <w:ind w:right="280"/>
              <w:jc w:val="center"/>
              <w:rPr>
                <w:rFonts w:hint="eastAsia" w:ascii="宋体" w:hAnsi="宋体" w:eastAsia="宋体" w:cs="Arial"/>
                <w:kern w:val="0"/>
                <w:sz w:val="22"/>
                <w:szCs w:val="22"/>
              </w:rPr>
            </w:pPr>
            <w:r>
              <w:rPr>
                <w:rFonts w:hint="eastAsia" w:ascii="宋体" w:hAnsi="宋体" w:eastAsia="宋体" w:cs="Arial"/>
                <w:kern w:val="0"/>
                <w:sz w:val="22"/>
                <w:szCs w:val="22"/>
              </w:rPr>
              <w:t>5</w:t>
            </w:r>
          </w:p>
        </w:tc>
        <w:tc>
          <w:tcPr>
            <w:tcW w:w="2770" w:type="dxa"/>
            <w:noWrap w:val="0"/>
            <w:vAlign w:val="center"/>
          </w:tcPr>
          <w:p w14:paraId="42717502">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第一张：肥胖有什么危害？</w:t>
            </w:r>
          </w:p>
        </w:tc>
        <w:tc>
          <w:tcPr>
            <w:tcW w:w="3222" w:type="dxa"/>
            <w:noWrap w:val="0"/>
            <w:vAlign w:val="top"/>
          </w:tcPr>
          <w:p w14:paraId="2BB91C9D">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088F6BB1">
            <w:pPr>
              <w:spacing w:line="360" w:lineRule="auto"/>
              <w:jc w:val="center"/>
              <w:rPr>
                <w:rFonts w:hint="eastAsia" w:ascii="宋体" w:hAnsi="宋体" w:eastAsia="宋体"/>
                <w:szCs w:val="21"/>
              </w:rPr>
            </w:pPr>
            <w:r>
              <w:rPr>
                <w:rFonts w:hint="eastAsia" w:ascii="宋体" w:hAnsi="宋体" w:eastAsia="宋体"/>
                <w:szCs w:val="21"/>
                <w:lang w:val="en-US" w:eastAsia="zh-CN"/>
              </w:rPr>
              <w:t>张</w:t>
            </w:r>
          </w:p>
        </w:tc>
        <w:tc>
          <w:tcPr>
            <w:tcW w:w="697" w:type="dxa"/>
            <w:noWrap w:val="0"/>
            <w:vAlign w:val="center"/>
          </w:tcPr>
          <w:p w14:paraId="2B3B19BA">
            <w:pPr>
              <w:spacing w:line="360" w:lineRule="auto"/>
              <w:jc w:val="center"/>
              <w:rPr>
                <w:rFonts w:hint="eastAsia" w:ascii="宋体" w:hAnsi="宋体" w:eastAsia="宋体"/>
                <w:szCs w:val="21"/>
              </w:rPr>
            </w:pPr>
            <w:r>
              <w:rPr>
                <w:rFonts w:hint="eastAsia" w:ascii="宋体" w:hAnsi="宋体" w:eastAsia="宋体"/>
                <w:szCs w:val="21"/>
              </w:rPr>
              <w:t>1</w:t>
            </w:r>
          </w:p>
        </w:tc>
      </w:tr>
      <w:tr w14:paraId="60F07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11C397B9">
            <w:pPr>
              <w:spacing w:line="360" w:lineRule="auto"/>
              <w:ind w:right="280"/>
              <w:jc w:val="center"/>
              <w:rPr>
                <w:rFonts w:hint="eastAsia" w:ascii="宋体" w:hAnsi="宋体" w:eastAsia="宋体" w:cs="Arial"/>
                <w:kern w:val="0"/>
                <w:sz w:val="22"/>
                <w:szCs w:val="22"/>
                <w:lang w:val="en-US" w:eastAsia="zh-CN"/>
              </w:rPr>
            </w:pPr>
            <w:r>
              <w:rPr>
                <w:rFonts w:hint="eastAsia" w:ascii="宋体" w:hAnsi="宋体" w:eastAsia="宋体" w:cs="Arial"/>
                <w:kern w:val="0"/>
                <w:sz w:val="22"/>
                <w:szCs w:val="22"/>
                <w:lang w:val="en-US" w:eastAsia="zh-CN"/>
              </w:rPr>
              <w:t>6</w:t>
            </w:r>
          </w:p>
        </w:tc>
        <w:tc>
          <w:tcPr>
            <w:tcW w:w="2770" w:type="dxa"/>
            <w:noWrap w:val="0"/>
            <w:vAlign w:val="center"/>
          </w:tcPr>
          <w:p w14:paraId="3E0C1A7E">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第二张：如何判断体重是否超标？</w:t>
            </w:r>
          </w:p>
        </w:tc>
        <w:tc>
          <w:tcPr>
            <w:tcW w:w="3222" w:type="dxa"/>
            <w:noWrap w:val="0"/>
            <w:vAlign w:val="top"/>
          </w:tcPr>
          <w:p w14:paraId="491DD100">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1BF8790C">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张</w:t>
            </w:r>
          </w:p>
        </w:tc>
        <w:tc>
          <w:tcPr>
            <w:tcW w:w="697" w:type="dxa"/>
            <w:noWrap w:val="0"/>
            <w:vAlign w:val="center"/>
          </w:tcPr>
          <w:p w14:paraId="5A178559">
            <w:pPr>
              <w:spacing w:line="360" w:lineRule="auto"/>
              <w:jc w:val="center"/>
              <w:rPr>
                <w:rFonts w:hint="eastAsia" w:ascii="宋体" w:hAnsi="宋体" w:eastAsia="宋体"/>
                <w:szCs w:val="21"/>
              </w:rPr>
            </w:pPr>
            <w:r>
              <w:rPr>
                <w:rFonts w:hint="eastAsia" w:ascii="宋体" w:hAnsi="宋体" w:eastAsia="宋体"/>
                <w:szCs w:val="21"/>
              </w:rPr>
              <w:t>1</w:t>
            </w:r>
          </w:p>
        </w:tc>
      </w:tr>
      <w:tr w14:paraId="65C42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4D199C73">
            <w:pPr>
              <w:spacing w:line="360" w:lineRule="auto"/>
              <w:ind w:right="280"/>
              <w:jc w:val="center"/>
              <w:rPr>
                <w:rFonts w:hint="eastAsia" w:ascii="宋体" w:hAnsi="宋体" w:eastAsia="宋体" w:cs="Arial"/>
                <w:kern w:val="0"/>
                <w:sz w:val="22"/>
                <w:szCs w:val="22"/>
                <w:lang w:val="en-US" w:eastAsia="zh-CN"/>
              </w:rPr>
            </w:pPr>
            <w:r>
              <w:rPr>
                <w:rFonts w:hint="eastAsia" w:ascii="宋体" w:hAnsi="宋体" w:eastAsia="宋体" w:cs="Arial"/>
                <w:kern w:val="0"/>
                <w:sz w:val="22"/>
                <w:szCs w:val="22"/>
                <w:lang w:val="en-US" w:eastAsia="zh-CN"/>
              </w:rPr>
              <w:t>7</w:t>
            </w:r>
          </w:p>
        </w:tc>
        <w:tc>
          <w:tcPr>
            <w:tcW w:w="2770" w:type="dxa"/>
            <w:noWrap w:val="0"/>
            <w:vAlign w:val="center"/>
          </w:tcPr>
          <w:p w14:paraId="06AE685C">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第三张：成人肥胖食养原则和建议（一）</w:t>
            </w:r>
          </w:p>
        </w:tc>
        <w:tc>
          <w:tcPr>
            <w:tcW w:w="3222" w:type="dxa"/>
            <w:noWrap w:val="0"/>
            <w:vAlign w:val="top"/>
          </w:tcPr>
          <w:p w14:paraId="0DBD49AD">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3827933E">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张</w:t>
            </w:r>
          </w:p>
        </w:tc>
        <w:tc>
          <w:tcPr>
            <w:tcW w:w="697" w:type="dxa"/>
            <w:noWrap w:val="0"/>
            <w:vAlign w:val="center"/>
          </w:tcPr>
          <w:p w14:paraId="7443C5C4">
            <w:pPr>
              <w:spacing w:line="360" w:lineRule="auto"/>
              <w:jc w:val="center"/>
              <w:rPr>
                <w:rFonts w:hint="eastAsia" w:ascii="宋体" w:hAnsi="宋体" w:eastAsia="宋体"/>
                <w:szCs w:val="21"/>
              </w:rPr>
            </w:pPr>
            <w:r>
              <w:rPr>
                <w:rFonts w:hint="eastAsia" w:ascii="宋体" w:hAnsi="宋体" w:eastAsia="宋体"/>
                <w:szCs w:val="21"/>
              </w:rPr>
              <w:t>1</w:t>
            </w:r>
          </w:p>
        </w:tc>
      </w:tr>
      <w:tr w14:paraId="7FE11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665" w:type="dxa"/>
            <w:noWrap w:val="0"/>
            <w:vAlign w:val="center"/>
          </w:tcPr>
          <w:p w14:paraId="40A2CF56">
            <w:pPr>
              <w:spacing w:line="360" w:lineRule="auto"/>
              <w:ind w:right="280"/>
              <w:jc w:val="center"/>
              <w:rPr>
                <w:rFonts w:hint="eastAsia" w:ascii="宋体" w:hAnsi="宋体" w:eastAsia="宋体" w:cs="Arial"/>
                <w:kern w:val="0"/>
                <w:sz w:val="22"/>
                <w:szCs w:val="22"/>
                <w:lang w:val="en-US" w:eastAsia="zh-CN"/>
              </w:rPr>
            </w:pPr>
            <w:r>
              <w:rPr>
                <w:rFonts w:hint="eastAsia" w:ascii="宋体" w:hAnsi="宋体" w:eastAsia="宋体" w:cs="Arial"/>
                <w:kern w:val="0"/>
                <w:sz w:val="22"/>
                <w:szCs w:val="22"/>
                <w:lang w:val="en-US" w:eastAsia="zh-CN"/>
              </w:rPr>
              <w:t>8</w:t>
            </w:r>
          </w:p>
        </w:tc>
        <w:tc>
          <w:tcPr>
            <w:tcW w:w="2770" w:type="dxa"/>
            <w:noWrap w:val="0"/>
            <w:vAlign w:val="center"/>
          </w:tcPr>
          <w:p w14:paraId="6D508764">
            <w:pPr>
              <w:spacing w:line="360" w:lineRule="auto"/>
              <w:jc w:val="center"/>
              <w:rPr>
                <w:rFonts w:hint="eastAsia" w:ascii="宋体" w:hAnsi="宋体" w:eastAsia="宋体" w:cs="@仿宋_GB2312"/>
                <w:kern w:val="2"/>
                <w:sz w:val="21"/>
                <w:szCs w:val="21"/>
                <w:lang w:val="en-US" w:eastAsia="zh-CN" w:bidi="ar-SA"/>
              </w:rPr>
            </w:pPr>
            <w:r>
              <w:rPr>
                <w:rFonts w:hint="eastAsia" w:ascii="宋体" w:hAnsi="宋体" w:eastAsia="宋体" w:cs="@仿宋_GB2312"/>
                <w:kern w:val="2"/>
                <w:sz w:val="21"/>
                <w:szCs w:val="21"/>
                <w:lang w:val="en-US" w:eastAsia="zh-CN" w:bidi="ar-SA"/>
              </w:rPr>
              <w:t>第四张：成人肥胖食养原则和建议（二）</w:t>
            </w:r>
          </w:p>
        </w:tc>
        <w:tc>
          <w:tcPr>
            <w:tcW w:w="3222" w:type="dxa"/>
            <w:noWrap w:val="0"/>
            <w:vAlign w:val="top"/>
          </w:tcPr>
          <w:p w14:paraId="572D33BF">
            <w:pPr>
              <w:spacing w:line="360" w:lineRule="auto"/>
              <w:jc w:val="center"/>
              <w:rPr>
                <w:rFonts w:hint="eastAsia" w:ascii="宋体" w:hAnsi="宋体" w:eastAsia="宋体"/>
                <w:szCs w:val="21"/>
              </w:rPr>
            </w:pPr>
            <w:r>
              <w:rPr>
                <w:rFonts w:hint="eastAsia" w:ascii="宋体" w:hAnsi="宋体" w:eastAsia="宋体"/>
                <w:szCs w:val="21"/>
              </w:rPr>
              <w:t>符合健康教育宣传栏文字稿要求</w:t>
            </w:r>
          </w:p>
        </w:tc>
        <w:tc>
          <w:tcPr>
            <w:tcW w:w="733" w:type="dxa"/>
            <w:noWrap w:val="0"/>
            <w:vAlign w:val="center"/>
          </w:tcPr>
          <w:p w14:paraId="595E1A45">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张</w:t>
            </w:r>
          </w:p>
        </w:tc>
        <w:tc>
          <w:tcPr>
            <w:tcW w:w="697" w:type="dxa"/>
            <w:noWrap w:val="0"/>
            <w:vAlign w:val="center"/>
          </w:tcPr>
          <w:p w14:paraId="0EE5E180">
            <w:pPr>
              <w:spacing w:line="360" w:lineRule="auto"/>
              <w:jc w:val="center"/>
              <w:rPr>
                <w:rFonts w:hint="eastAsia" w:ascii="宋体" w:hAnsi="宋体" w:eastAsia="宋体"/>
                <w:szCs w:val="21"/>
              </w:rPr>
            </w:pPr>
            <w:r>
              <w:rPr>
                <w:rFonts w:hint="eastAsia" w:ascii="宋体" w:hAnsi="宋体" w:eastAsia="宋体"/>
                <w:szCs w:val="21"/>
              </w:rPr>
              <w:t>1</w:t>
            </w:r>
          </w:p>
        </w:tc>
      </w:tr>
    </w:tbl>
    <w:p w14:paraId="042FE3B2">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4.2是否需要提交样品检测报告：</w:t>
      </w:r>
      <w:r>
        <w:rPr>
          <w:rFonts w:hint="eastAsia" w:ascii="宋体" w:hAnsi="宋体" w:eastAsia="宋体"/>
          <w:b/>
          <w:bCs/>
          <w:sz w:val="24"/>
          <w:u w:val="single"/>
          <w:lang w:val="en-US" w:eastAsia="zh-CN"/>
        </w:rPr>
        <w:t>否</w:t>
      </w:r>
    </w:p>
    <w:p w14:paraId="0DB2A63F">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5.供应商提交的样品经磋商小组评审认定不合格的：</w:t>
      </w:r>
      <w:r>
        <w:rPr>
          <w:rFonts w:hint="eastAsia" w:ascii="宋体" w:hAnsi="宋体" w:eastAsia="宋体"/>
          <w:b/>
          <w:bCs/>
          <w:sz w:val="24"/>
          <w:u w:val="single"/>
          <w:lang w:val="en-US" w:eastAsia="zh-CN"/>
        </w:rPr>
        <w:t>按照评审方法和标准进行扣分</w:t>
      </w:r>
    </w:p>
    <w:p w14:paraId="5DF436E4">
      <w:pPr>
        <w:wordWrap w:val="0"/>
        <w:spacing w:line="440" w:lineRule="exact"/>
        <w:ind w:firstLine="437"/>
        <w:jc w:val="left"/>
        <w:rPr>
          <w:rFonts w:hint="eastAsia" w:ascii="宋体" w:hAnsi="宋体" w:eastAsia="宋体"/>
          <w:sz w:val="24"/>
          <w:lang w:val="en-US" w:eastAsia="zh-CN"/>
        </w:rPr>
      </w:pPr>
      <w:r>
        <w:rPr>
          <w:rFonts w:hint="eastAsia" w:ascii="宋体" w:hAnsi="宋体" w:eastAsia="宋体"/>
          <w:sz w:val="24"/>
          <w:lang w:val="en-US" w:eastAsia="zh-CN"/>
        </w:rPr>
        <w:t>6.成交供应商的样品将由采购单位封存作为履约验收的标准；其余供应商的样品，将在评审结束后退还。</w:t>
      </w:r>
    </w:p>
    <w:p w14:paraId="30C636A5">
      <w:r>
        <w:rPr>
          <w:rFonts w:hint="eastAsia" w:ascii="宋体" w:hAnsi="宋体" w:eastAsia="宋体" w:cs="宋体"/>
          <w:b/>
          <w:sz w:val="24"/>
          <w:szCs w:val="24"/>
          <w:lang w:val="en-US" w:eastAsia="zh-CN"/>
        </w:rPr>
        <w:t>五、附件-</w:t>
      </w:r>
      <w:r>
        <w:rPr>
          <w:rFonts w:hint="eastAsia" w:ascii="宋体" w:hAnsi="宋体" w:eastAsia="宋体" w:cs="宋体"/>
          <w:b/>
          <w:sz w:val="24"/>
          <w:szCs w:val="24"/>
        </w:rPr>
        <w:t>健康教育宣传栏文字稿</w:t>
      </w:r>
      <w:r>
        <w:rPr>
          <w:rFonts w:hint="eastAsia" w:ascii="宋体" w:hAnsi="宋体" w:eastAsia="宋体" w:cs="宋体"/>
          <w:b/>
          <w:sz w:val="24"/>
          <w:szCs w:val="24"/>
          <w:lang w:eastAsia="zh-CN"/>
        </w:rPr>
        <w:t>（</w:t>
      </w:r>
      <w:r>
        <w:rPr>
          <w:rFonts w:hint="eastAsia" w:ascii="宋体" w:hAnsi="宋体" w:eastAsia="宋体" w:cs="宋体"/>
          <w:b/>
          <w:sz w:val="24"/>
          <w:szCs w:val="24"/>
          <w:lang w:val="en-US" w:eastAsia="zh-CN"/>
        </w:rPr>
        <w:t>另附</w:t>
      </w:r>
      <w:r>
        <w:rPr>
          <w:rFonts w:hint="eastAsia" w:ascii="宋体" w:hAnsi="宋体" w:eastAsia="宋体" w:cs="宋体"/>
          <w:b/>
          <w:sz w:val="24"/>
          <w:szCs w:val="24"/>
          <w:lang w:eastAsia="zh-CN"/>
        </w:rPr>
        <w:t>）</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034F4"/>
    <w:rsid w:val="63F03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annotation text"/>
    <w:basedOn w:val="1"/>
    <w:unhideWhenUsed/>
    <w:qFormat/>
    <w:uiPriority w:val="99"/>
    <w:pPr>
      <w:jc w:val="left"/>
    </w:p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paragraph" w:customStyle="1" w:styleId="8">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 w:type="paragraph" w:customStyle="1" w:styleId="10">
    <w:name w:val="Default"/>
    <w:qFormat/>
    <w:uiPriority w:val="0"/>
    <w:pPr>
      <w:widowControl w:val="0"/>
      <w:autoSpaceDE w:val="0"/>
      <w:autoSpaceDN w:val="0"/>
      <w:adjustRightInd w:val="0"/>
    </w:pPr>
    <w:rPr>
      <w:rFonts w:ascii="黑体" w:hAnsi="Times New Roman" w:eastAsia="黑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2025-11-20T01:35:00Z</dcterms:created>
  <dc:creator>森</dc:creator>
  <cp:lastModifiedBy>森</cp:lastModifiedBy>
  <dcterms:modified xsi:type="dcterms:W3CDTF">2025-11-20T01:35:43Z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1CDF44713EC4416B8697F090323AFDEE_11</vt:lpwstr>
  </property>
  <property fmtid="{D5CDD505-2E9C-101B-9397-08002B2CF9AE}" pid="4" name="KSOTemplateDocerSaveRecord">
    <vt:lpwstr>eyJoZGlkIjoiOTc3M2Y5NzIzMDFlZjAyY2Q4Njk5ODkyYjFjNzBiNTQiLCJ1c2VySWQiOiI0MzAwMTYzNzkifQ==</vt:lpwstr>
  </property>
</Properties>
</file>