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F77DB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4DBB4A45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45D15E68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6C94D856">
      <w:pPr>
        <w:wordWrap w:val="0"/>
        <w:spacing w:line="440" w:lineRule="exact"/>
        <w:ind w:firstLine="437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一、采购需求前附表</w:t>
      </w:r>
    </w:p>
    <w:tbl>
      <w:tblPr>
        <w:tblStyle w:val="7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41F60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4" w:type="dxa"/>
            <w:noWrap w:val="0"/>
            <w:vAlign w:val="center"/>
          </w:tcPr>
          <w:p w14:paraId="21028652">
            <w:pPr>
              <w:pStyle w:val="9"/>
            </w:pPr>
            <w:r>
              <w:rPr>
                <w:rFonts w:hint="eastAsia"/>
              </w:rPr>
              <w:t>序号</w:t>
            </w:r>
          </w:p>
        </w:tc>
        <w:tc>
          <w:tcPr>
            <w:tcW w:w="2025" w:type="dxa"/>
            <w:noWrap w:val="0"/>
            <w:vAlign w:val="center"/>
          </w:tcPr>
          <w:p w14:paraId="387FC0FA">
            <w:pPr>
              <w:pStyle w:val="10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noWrap w:val="0"/>
            <w:vAlign w:val="center"/>
          </w:tcPr>
          <w:p w14:paraId="2D0D0682">
            <w:pPr>
              <w:pStyle w:val="10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1E397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03FAE673">
            <w:pPr>
              <w:pStyle w:val="9"/>
            </w:pPr>
            <w:r>
              <w:rPr>
                <w:rFonts w:hint="eastAsia"/>
              </w:rPr>
              <w:t>1</w:t>
            </w:r>
          </w:p>
        </w:tc>
        <w:tc>
          <w:tcPr>
            <w:tcW w:w="2025" w:type="dxa"/>
            <w:noWrap w:val="0"/>
            <w:vAlign w:val="center"/>
          </w:tcPr>
          <w:p w14:paraId="49ECB8E0">
            <w:pPr>
              <w:pStyle w:val="10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noWrap w:val="0"/>
            <w:vAlign w:val="center"/>
          </w:tcPr>
          <w:p w14:paraId="0278586F">
            <w:pPr>
              <w:pStyle w:val="5"/>
              <w:spacing w:line="360" w:lineRule="auto"/>
              <w:jc w:val="both"/>
              <w:rPr>
                <w:rFonts w:hint="eastAsia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  <w:szCs w:val="24"/>
              </w:rPr>
              <w:t>验收合格后，2周内支付合同金额的1</w:t>
            </w:r>
            <w:r>
              <w:rPr>
                <w:rFonts w:cs="宋体"/>
                <w:bCs/>
                <w:kern w:val="0"/>
                <w:sz w:val="24"/>
                <w:szCs w:val="24"/>
              </w:rPr>
              <w:t>00%</w:t>
            </w:r>
          </w:p>
        </w:tc>
      </w:tr>
      <w:tr w14:paraId="1AE01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10DDA94B">
            <w:pPr>
              <w:pStyle w:val="9"/>
            </w:pPr>
            <w:r>
              <w:rPr>
                <w:rFonts w:hint="eastAsia"/>
              </w:rPr>
              <w:t>2</w:t>
            </w:r>
          </w:p>
        </w:tc>
        <w:tc>
          <w:tcPr>
            <w:tcW w:w="2025" w:type="dxa"/>
            <w:noWrap w:val="0"/>
            <w:vAlign w:val="center"/>
          </w:tcPr>
          <w:p w14:paraId="35608C7A">
            <w:pPr>
              <w:pStyle w:val="10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noWrap w:val="0"/>
            <w:vAlign w:val="center"/>
          </w:tcPr>
          <w:p w14:paraId="0769E0F4">
            <w:pPr>
              <w:pStyle w:val="10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安徽理工大学或采购人指定地点。</w:t>
            </w:r>
          </w:p>
        </w:tc>
      </w:tr>
      <w:tr w14:paraId="09550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6C06C397">
            <w:pPr>
              <w:pStyle w:val="9"/>
            </w:pPr>
            <w:r>
              <w:rPr>
                <w:rFonts w:hint="eastAsia"/>
              </w:rPr>
              <w:t>3</w:t>
            </w:r>
          </w:p>
        </w:tc>
        <w:tc>
          <w:tcPr>
            <w:tcW w:w="2025" w:type="dxa"/>
            <w:noWrap w:val="0"/>
            <w:vAlign w:val="center"/>
          </w:tcPr>
          <w:p w14:paraId="6D8902D4">
            <w:pPr>
              <w:pStyle w:val="10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noWrap w:val="0"/>
            <w:vAlign w:val="center"/>
          </w:tcPr>
          <w:p w14:paraId="287081FB">
            <w:pPr>
              <w:pStyle w:val="5"/>
              <w:spacing w:line="360" w:lineRule="auto"/>
              <w:jc w:val="both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  <w:szCs w:val="24"/>
              </w:rPr>
              <w:t>自合同签订之日三十个日历天内，完成安徽理工大学合肥校区庐阳校园内教学楼、学生宿舍(1号楼)、学生宿舍楼(2号楼)共三栋单体建筑结构安全性鉴定、抗震鉴定及既有建筑现状的测绘工作，并出具合肥市建设主管部门认可的《建筑结构安全性鉴定报告》、《抗震鉴定报告》及既有建筑现状测绘图。</w:t>
            </w:r>
          </w:p>
        </w:tc>
      </w:tr>
    </w:tbl>
    <w:p w14:paraId="2A9C4004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二、项目概况</w:t>
      </w:r>
    </w:p>
    <w:p w14:paraId="5F8CA572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本项目主要为安徽理工大学合肥校区庐阳校园内教学楼、学生宿舍(1号楼)、学生宿舍楼(2号楼)共三栋单体建筑结构性安全鉴定、抗震鉴定及既有建筑现状的测绘服务采购。</w:t>
      </w:r>
    </w:p>
    <w:p w14:paraId="263DB9CF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28"/>
          <w:szCs w:val="28"/>
        </w:rPr>
        <w:t>三、服务需求</w:t>
      </w:r>
    </w:p>
    <w:p w14:paraId="5C4B793A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1.安徽理工大学合肥校区庐阳校园教学楼、学生宿舍(1号楼)、学生宿舍楼(2号楼)共三栋单体建筑情况概况。</w:t>
      </w:r>
    </w:p>
    <w:tbl>
      <w:tblPr>
        <w:tblStyle w:val="7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1357"/>
        <w:gridCol w:w="1756"/>
        <w:gridCol w:w="1295"/>
        <w:gridCol w:w="1245"/>
        <w:gridCol w:w="1236"/>
      </w:tblGrid>
      <w:tr w14:paraId="5C19D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91" w:type="dxa"/>
            <w:noWrap w:val="0"/>
            <w:vAlign w:val="center"/>
          </w:tcPr>
          <w:p w14:paraId="56C07BC0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单体名称</w:t>
            </w:r>
          </w:p>
        </w:tc>
        <w:tc>
          <w:tcPr>
            <w:tcW w:w="1357" w:type="dxa"/>
            <w:noWrap w:val="0"/>
            <w:vAlign w:val="center"/>
          </w:tcPr>
          <w:p w14:paraId="16E577B0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层数</w:t>
            </w:r>
          </w:p>
        </w:tc>
        <w:tc>
          <w:tcPr>
            <w:tcW w:w="1756" w:type="dxa"/>
            <w:noWrap w:val="0"/>
            <w:vAlign w:val="center"/>
          </w:tcPr>
          <w:p w14:paraId="1A3B424B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建筑面积(㎡)</w:t>
            </w:r>
          </w:p>
        </w:tc>
        <w:tc>
          <w:tcPr>
            <w:tcW w:w="1295" w:type="dxa"/>
            <w:noWrap w:val="0"/>
            <w:vAlign w:val="center"/>
          </w:tcPr>
          <w:p w14:paraId="5A93AAFF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结构类型</w:t>
            </w:r>
          </w:p>
        </w:tc>
        <w:tc>
          <w:tcPr>
            <w:tcW w:w="1245" w:type="dxa"/>
            <w:noWrap w:val="0"/>
            <w:vAlign w:val="center"/>
          </w:tcPr>
          <w:p w14:paraId="677FA841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产权形式</w:t>
            </w:r>
          </w:p>
        </w:tc>
        <w:tc>
          <w:tcPr>
            <w:tcW w:w="1236" w:type="dxa"/>
            <w:noWrap w:val="0"/>
            <w:vAlign w:val="center"/>
          </w:tcPr>
          <w:p w14:paraId="1D18BAB3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投入使用时间</w:t>
            </w:r>
          </w:p>
        </w:tc>
      </w:tr>
      <w:tr w14:paraId="0EB2F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091" w:type="dxa"/>
            <w:noWrap w:val="0"/>
            <w:vAlign w:val="center"/>
          </w:tcPr>
          <w:p w14:paraId="66A2D7B5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教学楼</w:t>
            </w:r>
          </w:p>
        </w:tc>
        <w:tc>
          <w:tcPr>
            <w:tcW w:w="1357" w:type="dxa"/>
            <w:noWrap w:val="0"/>
            <w:vAlign w:val="center"/>
          </w:tcPr>
          <w:p w14:paraId="35AD5636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地上4层</w:t>
            </w:r>
          </w:p>
        </w:tc>
        <w:tc>
          <w:tcPr>
            <w:tcW w:w="1756" w:type="dxa"/>
            <w:noWrap w:val="0"/>
            <w:vAlign w:val="center"/>
          </w:tcPr>
          <w:p w14:paraId="41DD3BCC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1996.70</w:t>
            </w:r>
          </w:p>
        </w:tc>
        <w:tc>
          <w:tcPr>
            <w:tcW w:w="1295" w:type="dxa"/>
            <w:noWrap w:val="0"/>
            <w:vAlign w:val="center"/>
          </w:tcPr>
          <w:p w14:paraId="7C1B405D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砖混结构</w:t>
            </w:r>
          </w:p>
        </w:tc>
        <w:tc>
          <w:tcPr>
            <w:tcW w:w="1245" w:type="dxa"/>
            <w:noWrap w:val="0"/>
            <w:vAlign w:val="center"/>
          </w:tcPr>
          <w:p w14:paraId="5857E14C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有产权</w:t>
            </w:r>
          </w:p>
        </w:tc>
        <w:tc>
          <w:tcPr>
            <w:tcW w:w="1236" w:type="dxa"/>
            <w:noWrap w:val="0"/>
            <w:vAlign w:val="center"/>
          </w:tcPr>
          <w:p w14:paraId="7188E79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1985年</w:t>
            </w:r>
          </w:p>
        </w:tc>
      </w:tr>
      <w:tr w14:paraId="54C4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091" w:type="dxa"/>
            <w:noWrap w:val="0"/>
            <w:vAlign w:val="center"/>
          </w:tcPr>
          <w:p w14:paraId="7F9920F8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学生宿舍(1号楼)</w:t>
            </w:r>
          </w:p>
        </w:tc>
        <w:tc>
          <w:tcPr>
            <w:tcW w:w="1357" w:type="dxa"/>
            <w:noWrap w:val="0"/>
            <w:vAlign w:val="center"/>
          </w:tcPr>
          <w:p w14:paraId="3DECFCD4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地上6层</w:t>
            </w:r>
          </w:p>
        </w:tc>
        <w:tc>
          <w:tcPr>
            <w:tcW w:w="1756" w:type="dxa"/>
            <w:noWrap w:val="0"/>
            <w:vAlign w:val="center"/>
          </w:tcPr>
          <w:p w14:paraId="229C60F5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2420.00</w:t>
            </w:r>
          </w:p>
        </w:tc>
        <w:tc>
          <w:tcPr>
            <w:tcW w:w="1295" w:type="dxa"/>
            <w:noWrap w:val="0"/>
            <w:vAlign w:val="center"/>
          </w:tcPr>
          <w:p w14:paraId="76C6D6B3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砖混结构</w:t>
            </w:r>
          </w:p>
        </w:tc>
        <w:tc>
          <w:tcPr>
            <w:tcW w:w="1245" w:type="dxa"/>
            <w:noWrap w:val="0"/>
            <w:vAlign w:val="center"/>
          </w:tcPr>
          <w:p w14:paraId="4CB12C39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无产权</w:t>
            </w:r>
          </w:p>
        </w:tc>
        <w:tc>
          <w:tcPr>
            <w:tcW w:w="1236" w:type="dxa"/>
            <w:noWrap w:val="0"/>
            <w:vAlign w:val="center"/>
          </w:tcPr>
          <w:p w14:paraId="13E7E7D1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2004年</w:t>
            </w:r>
          </w:p>
        </w:tc>
      </w:tr>
      <w:tr w14:paraId="50F0E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091" w:type="dxa"/>
            <w:noWrap w:val="0"/>
            <w:vAlign w:val="center"/>
          </w:tcPr>
          <w:p w14:paraId="02DE23CB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学生宿舍楼(2号楼)</w:t>
            </w:r>
          </w:p>
        </w:tc>
        <w:tc>
          <w:tcPr>
            <w:tcW w:w="1357" w:type="dxa"/>
            <w:noWrap w:val="0"/>
            <w:vAlign w:val="center"/>
          </w:tcPr>
          <w:p w14:paraId="5252E1AF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地上5层</w:t>
            </w:r>
          </w:p>
        </w:tc>
        <w:tc>
          <w:tcPr>
            <w:tcW w:w="1756" w:type="dxa"/>
            <w:noWrap w:val="0"/>
            <w:vAlign w:val="center"/>
          </w:tcPr>
          <w:p w14:paraId="0A7C981B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1700.00</w:t>
            </w:r>
          </w:p>
        </w:tc>
        <w:tc>
          <w:tcPr>
            <w:tcW w:w="1295" w:type="dxa"/>
            <w:noWrap w:val="0"/>
            <w:vAlign w:val="center"/>
          </w:tcPr>
          <w:p w14:paraId="0604206F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砖混结构</w:t>
            </w:r>
          </w:p>
        </w:tc>
        <w:tc>
          <w:tcPr>
            <w:tcW w:w="1245" w:type="dxa"/>
            <w:noWrap w:val="0"/>
            <w:vAlign w:val="center"/>
          </w:tcPr>
          <w:p w14:paraId="476BD6BF">
            <w:pPr>
              <w:wordWrap w:val="0"/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无产权</w:t>
            </w:r>
          </w:p>
        </w:tc>
        <w:tc>
          <w:tcPr>
            <w:tcW w:w="1236" w:type="dxa"/>
            <w:noWrap w:val="0"/>
            <w:vAlign w:val="center"/>
          </w:tcPr>
          <w:p w14:paraId="408E176F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1999年</w:t>
            </w:r>
          </w:p>
        </w:tc>
      </w:tr>
    </w:tbl>
    <w:p w14:paraId="1601F076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Cs/>
          <w:sz w:val="24"/>
        </w:rPr>
      </w:pPr>
      <w:r>
        <w:rPr>
          <w:rFonts w:hint="eastAsia" w:ascii="宋体" w:hAnsi="宋体" w:eastAsia="宋体"/>
          <w:bCs/>
          <w:sz w:val="24"/>
        </w:rPr>
        <w:t>2.自合同签订之日三十个日历天内对</w:t>
      </w:r>
      <w:r>
        <w:rPr>
          <w:rFonts w:hint="eastAsia" w:ascii="宋体" w:hAnsi="宋体" w:eastAsia="宋体"/>
          <w:sz w:val="24"/>
        </w:rPr>
        <w:t>安徽理工大学合肥校区庐阳校园教学楼、学生宿舍(1号楼)、学生宿舍楼(2号楼)共三栋单体</w:t>
      </w:r>
      <w:r>
        <w:rPr>
          <w:rFonts w:hint="eastAsia" w:ascii="宋体" w:hAnsi="宋体" w:eastAsia="宋体"/>
          <w:bCs/>
          <w:sz w:val="24"/>
        </w:rPr>
        <w:t>完成建筑结构安全性鉴定、</w:t>
      </w:r>
      <w:r>
        <w:rPr>
          <w:rFonts w:hint="eastAsia" w:ascii="宋体" w:hAnsi="宋体" w:eastAsia="宋体"/>
          <w:sz w:val="24"/>
        </w:rPr>
        <w:t>抗震鉴定及既有建筑现状的测绘服务</w:t>
      </w:r>
      <w:r>
        <w:rPr>
          <w:rFonts w:hint="eastAsia" w:ascii="宋体" w:hAnsi="宋体" w:eastAsia="宋体"/>
          <w:bCs/>
          <w:sz w:val="24"/>
        </w:rPr>
        <w:t>，并出具合肥市建设主管部门认可的《建筑结构安全性鉴定报告》、《抗震鉴定报告》及既有建筑现状测绘图。</w:t>
      </w:r>
    </w:p>
    <w:p w14:paraId="7D738980">
      <w:pPr>
        <w:wordWrap w:val="0"/>
        <w:spacing w:line="440" w:lineRule="exact"/>
        <w:ind w:firstLine="437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四、报价要求</w:t>
      </w:r>
    </w:p>
    <w:p w14:paraId="34BD3F93">
      <w:r>
        <w:rPr>
          <w:rFonts w:hint="eastAsia" w:ascii="宋体" w:hAnsi="宋体" w:eastAsia="宋体"/>
          <w:bCs/>
          <w:sz w:val="24"/>
        </w:rPr>
        <w:t>本项目报总价，报价包含完成本项目所需的全部费用，成交后采购人不再增加任何费用。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E62A7"/>
    <w:rsid w:val="694E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left="420" w:firstLine="420" w:firstLineChars="200"/>
    </w:pPr>
    <w:rPr>
      <w:rFonts w:ascii="Times New Roman" w:cs="Times New Roman"/>
    </w:rPr>
  </w:style>
  <w:style w:type="paragraph" w:styleId="3">
    <w:name w:val="Body Text Indent"/>
    <w:basedOn w:val="1"/>
    <w:next w:val="4"/>
    <w:unhideWhenUsed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annotation text"/>
    <w:basedOn w:val="1"/>
    <w:unhideWhenUsed/>
    <w:qFormat/>
    <w:uiPriority w:val="99"/>
    <w:pPr>
      <w:jc w:val="left"/>
    </w:pPr>
    <w:rPr>
      <w:rFonts w:ascii="宋体" w:hAnsi="宋体" w:eastAsia="宋体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D&amp;L"/>
    <w:basedOn w:val="6"/>
    <w:qFormat/>
    <w:uiPriority w:val="0"/>
    <w:pPr>
      <w:pBdr>
        <w:bottom w:val="none" w:color="auto" w:sz="0" w:space="0"/>
      </w:pBdr>
      <w:wordWrap w:val="0"/>
      <w:snapToGrid/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10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2025-11-20T03:05:00Z</dcterms:created>
  <dc:creator>森</dc:creator>
  <cp:lastModifiedBy>森</cp:lastModifiedBy>
  <dcterms:modified xsi:type="dcterms:W3CDTF">2025-11-20T03:05:46Z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EAF913A8DFAC4B218F8E29A91DCEEE4B_11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