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8D906C">
      <w:pPr>
        <w:wordWrap w:val="0"/>
        <w:spacing w:line="360" w:lineRule="auto"/>
        <w:jc w:val="center"/>
        <w:outlineLvl w:val="1"/>
        <w:rPr>
          <w:rFonts w:ascii="华文中宋" w:hAnsi="华文中宋" w:eastAsia="华文中宋" w:cs="Times New Roman"/>
          <w:b/>
          <w:bCs/>
          <w:kern w:val="44"/>
          <w:sz w:val="44"/>
          <w:szCs w:val="44"/>
        </w:rPr>
      </w:pPr>
      <w:r>
        <w:rPr>
          <w:rFonts w:hint="eastAsia" w:ascii="华文中宋" w:hAnsi="华文中宋" w:eastAsia="华文中宋" w:cs="Times New Roman"/>
          <w:b/>
          <w:bCs/>
          <w:kern w:val="44"/>
          <w:sz w:val="44"/>
          <w:szCs w:val="44"/>
        </w:rPr>
        <w:t>第三章  采购需求</w:t>
      </w:r>
    </w:p>
    <w:p w14:paraId="5CC8DA27">
      <w:pPr>
        <w:wordWrap w:val="0"/>
        <w:spacing w:line="440" w:lineRule="exact"/>
        <w:jc w:val="left"/>
        <w:rPr>
          <w:rFonts w:ascii="宋体" w:hAnsi="宋体" w:eastAsia="宋体"/>
          <w:b/>
          <w:sz w:val="24"/>
        </w:rPr>
      </w:pPr>
      <w:r>
        <w:rPr>
          <w:rFonts w:hint="eastAsia" w:ascii="宋体" w:hAnsi="宋体" w:eastAsia="宋体"/>
          <w:b/>
          <w:sz w:val="24"/>
        </w:rPr>
        <w:t>前注：</w:t>
      </w:r>
    </w:p>
    <w:p w14:paraId="2E44E6B9">
      <w:pPr>
        <w:wordWrap w:val="0"/>
        <w:spacing w:line="440" w:lineRule="exact"/>
        <w:ind w:firstLine="437"/>
        <w:jc w:val="left"/>
        <w:rPr>
          <w:rFonts w:ascii="宋体" w:hAnsi="宋体" w:eastAsia="宋体"/>
          <w:sz w:val="24"/>
        </w:rPr>
      </w:pPr>
      <w:r>
        <w:rPr>
          <w:rFonts w:hint="eastAsia" w:ascii="宋体" w:hAnsi="宋体" w:eastAsia="宋体"/>
          <w:sz w:val="24"/>
        </w:rPr>
        <w:t>1.</w:t>
      </w:r>
      <w:r>
        <w:rPr>
          <w:rFonts w:ascii="宋体" w:hAnsi="宋体" w:eastAsia="宋体"/>
          <w:sz w:val="24"/>
        </w:rPr>
        <w:t>本说明中提出的</w:t>
      </w:r>
      <w:r>
        <w:rPr>
          <w:rFonts w:hint="eastAsia" w:ascii="宋体" w:hAnsi="宋体" w:eastAsia="宋体"/>
          <w:sz w:val="24"/>
        </w:rPr>
        <w:t>服务</w:t>
      </w:r>
      <w:r>
        <w:rPr>
          <w:rFonts w:ascii="宋体" w:hAnsi="宋体" w:eastAsia="宋体"/>
          <w:sz w:val="24"/>
        </w:rPr>
        <w:t>方案仅为参考，如无明确限制，供应商可以进行优化，提供满足用户实际需要的更优（或者性能实质上不低于的）</w:t>
      </w:r>
      <w:r>
        <w:rPr>
          <w:rFonts w:hint="eastAsia" w:ascii="宋体" w:hAnsi="宋体" w:eastAsia="宋体"/>
          <w:sz w:val="24"/>
        </w:rPr>
        <w:t>服务</w:t>
      </w:r>
      <w:r>
        <w:rPr>
          <w:rFonts w:ascii="宋体" w:hAnsi="宋体" w:eastAsia="宋体"/>
          <w:sz w:val="24"/>
        </w:rPr>
        <w:t>方案，且此方案须经比选小组评审认可</w:t>
      </w:r>
      <w:r>
        <w:rPr>
          <w:rFonts w:hint="eastAsia" w:ascii="宋体" w:hAnsi="宋体" w:eastAsia="宋体"/>
          <w:sz w:val="24"/>
        </w:rPr>
        <w:t>。</w:t>
      </w:r>
    </w:p>
    <w:p w14:paraId="0F0C9723">
      <w:pPr>
        <w:wordWrap w:val="0"/>
        <w:spacing w:line="440" w:lineRule="exact"/>
        <w:ind w:firstLine="437"/>
        <w:jc w:val="left"/>
        <w:rPr>
          <w:rFonts w:ascii="宋体" w:hAnsi="宋体" w:eastAsia="宋体"/>
          <w:b/>
          <w:sz w:val="28"/>
          <w:szCs w:val="28"/>
        </w:rPr>
      </w:pPr>
      <w:r>
        <w:rPr>
          <w:rFonts w:hint="eastAsia" w:ascii="宋体" w:hAnsi="宋体" w:eastAsia="宋体"/>
          <w:b/>
          <w:sz w:val="28"/>
          <w:szCs w:val="28"/>
        </w:rPr>
        <w:t>一、采购需求前附表</w:t>
      </w:r>
    </w:p>
    <w:tbl>
      <w:tblPr>
        <w:tblStyle w:val="6"/>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63450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39B980C9">
            <w:pPr>
              <w:pStyle w:val="8"/>
              <w:pBdr>
                <w:bottom w:val="none" w:color="auto" w:sz="0" w:space="0"/>
              </w:pBdr>
              <w:tabs>
                <w:tab w:val="clear" w:pos="4153"/>
                <w:tab w:val="clear" w:pos="8306"/>
              </w:tabs>
              <w:wordWrap w:val="0"/>
              <w:adjustRightInd/>
              <w:spacing w:line="440" w:lineRule="exact"/>
              <w:textAlignment w:val="auto"/>
              <w:rPr>
                <w:rFonts w:ascii="宋体" w:hAnsi="宋体" w:eastAsia="宋体"/>
                <w:b/>
                <w:kern w:val="2"/>
              </w:rPr>
            </w:pPr>
            <w:r>
              <w:rPr>
                <w:rFonts w:hint="eastAsia" w:ascii="宋体" w:hAnsi="宋体" w:eastAsia="宋体"/>
                <w:b/>
                <w:kern w:val="2"/>
              </w:rPr>
              <w:t>序号</w:t>
            </w:r>
          </w:p>
        </w:tc>
        <w:tc>
          <w:tcPr>
            <w:tcW w:w="2025" w:type="dxa"/>
            <w:vAlign w:val="center"/>
          </w:tcPr>
          <w:p w14:paraId="106CC7D9">
            <w:pPr>
              <w:pStyle w:val="9"/>
              <w:widowControl w:val="0"/>
              <w:wordWrap w:val="0"/>
              <w:spacing w:before="0" w:beforeAutospacing="0" w:after="0" w:afterAutospacing="0" w:line="440" w:lineRule="exact"/>
              <w:rPr>
                <w:rFonts w:ascii="宋体" w:hAnsi="宋体" w:eastAsia="宋体"/>
                <w:bCs w:val="0"/>
                <w:sz w:val="24"/>
              </w:rPr>
            </w:pPr>
            <w:r>
              <w:rPr>
                <w:rFonts w:hint="eastAsia" w:ascii="宋体" w:hAnsi="宋体" w:eastAsia="宋体"/>
                <w:bCs w:val="0"/>
                <w:sz w:val="24"/>
              </w:rPr>
              <w:t>内容</w:t>
            </w:r>
          </w:p>
        </w:tc>
        <w:tc>
          <w:tcPr>
            <w:tcW w:w="5466" w:type="dxa"/>
            <w:vAlign w:val="center"/>
          </w:tcPr>
          <w:p w14:paraId="0A0D83D1">
            <w:pPr>
              <w:pStyle w:val="9"/>
              <w:widowControl w:val="0"/>
              <w:wordWrap w:val="0"/>
              <w:spacing w:before="0" w:beforeAutospacing="0" w:after="0" w:afterAutospacing="0" w:line="440" w:lineRule="exact"/>
              <w:rPr>
                <w:rFonts w:ascii="宋体" w:hAnsi="宋体" w:eastAsia="宋体"/>
                <w:bCs w:val="0"/>
                <w:sz w:val="24"/>
              </w:rPr>
            </w:pPr>
            <w:r>
              <w:rPr>
                <w:rFonts w:hint="eastAsia" w:ascii="宋体" w:hAnsi="宋体" w:eastAsia="宋体"/>
                <w:bCs w:val="0"/>
                <w:sz w:val="24"/>
              </w:rPr>
              <w:t>说明与要求</w:t>
            </w:r>
          </w:p>
        </w:tc>
      </w:tr>
      <w:tr w14:paraId="0443F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678FFC0B">
            <w:pPr>
              <w:pStyle w:val="8"/>
              <w:pBdr>
                <w:bottom w:val="none" w:color="auto" w:sz="0" w:space="0"/>
              </w:pBdr>
              <w:tabs>
                <w:tab w:val="clear" w:pos="4153"/>
                <w:tab w:val="clear" w:pos="8306"/>
              </w:tabs>
              <w:wordWrap w:val="0"/>
              <w:adjustRightInd/>
              <w:spacing w:line="440" w:lineRule="exact"/>
              <w:textAlignment w:val="auto"/>
              <w:rPr>
                <w:rFonts w:ascii="宋体" w:hAnsi="宋体" w:eastAsia="宋体"/>
                <w:bCs/>
                <w:kern w:val="2"/>
              </w:rPr>
            </w:pPr>
            <w:r>
              <w:rPr>
                <w:rFonts w:hint="eastAsia" w:ascii="宋体" w:hAnsi="宋体" w:eastAsia="宋体"/>
                <w:bCs/>
                <w:kern w:val="2"/>
              </w:rPr>
              <w:t>1</w:t>
            </w:r>
          </w:p>
        </w:tc>
        <w:tc>
          <w:tcPr>
            <w:tcW w:w="2025" w:type="dxa"/>
            <w:vAlign w:val="center"/>
          </w:tcPr>
          <w:p w14:paraId="6310E051">
            <w:pPr>
              <w:pStyle w:val="9"/>
              <w:widowControl w:val="0"/>
              <w:wordWrap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付款方式</w:t>
            </w:r>
          </w:p>
        </w:tc>
        <w:tc>
          <w:tcPr>
            <w:tcW w:w="5466" w:type="dxa"/>
            <w:vAlign w:val="center"/>
          </w:tcPr>
          <w:p w14:paraId="36CA96E7">
            <w:pPr>
              <w:pStyle w:val="9"/>
              <w:widowControl w:val="0"/>
              <w:spacing w:before="0" w:beforeAutospacing="0" w:after="0" w:afterAutospacing="0" w:line="360" w:lineRule="auto"/>
              <w:jc w:val="both"/>
              <w:rPr>
                <w:rFonts w:hint="eastAsia" w:ascii="宋体" w:hAnsi="宋体" w:eastAsia="宋体" w:cs="宋体"/>
                <w:b w:val="0"/>
                <w:sz w:val="24"/>
                <w:szCs w:val="24"/>
                <w:lang w:eastAsia="zh-CN"/>
              </w:rPr>
            </w:pPr>
            <w:r>
              <w:rPr>
                <w:rFonts w:hint="eastAsia" w:ascii="宋体" w:hAnsi="宋体" w:eastAsia="宋体" w:cs="宋体"/>
                <w:b w:val="0"/>
                <w:sz w:val="24"/>
                <w:szCs w:val="24"/>
              </w:rPr>
              <w:t>测评结束并验收合格后</w:t>
            </w:r>
            <w:r>
              <w:rPr>
                <w:rFonts w:ascii="宋体" w:hAnsi="宋体" w:eastAsia="宋体" w:cs="宋体"/>
                <w:b w:val="0"/>
                <w:sz w:val="24"/>
                <w:szCs w:val="24"/>
              </w:rPr>
              <w:t>一次性支付所有费用</w:t>
            </w:r>
            <w:r>
              <w:rPr>
                <w:rFonts w:hint="eastAsia" w:ascii="宋体" w:hAnsi="宋体" w:eastAsia="宋体" w:cs="宋体"/>
                <w:b w:val="0"/>
                <w:sz w:val="24"/>
                <w:szCs w:val="24"/>
                <w:lang w:eastAsia="zh-CN"/>
              </w:rPr>
              <w:t>。</w:t>
            </w:r>
          </w:p>
        </w:tc>
      </w:tr>
      <w:tr w14:paraId="02736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5607BCAC">
            <w:pPr>
              <w:pStyle w:val="8"/>
              <w:pBdr>
                <w:bottom w:val="none" w:color="auto" w:sz="0" w:space="0"/>
              </w:pBdr>
              <w:tabs>
                <w:tab w:val="clear" w:pos="4153"/>
                <w:tab w:val="clear" w:pos="8306"/>
              </w:tabs>
              <w:wordWrap w:val="0"/>
              <w:adjustRightInd/>
              <w:spacing w:line="440" w:lineRule="exact"/>
              <w:textAlignment w:val="auto"/>
              <w:rPr>
                <w:rFonts w:ascii="宋体" w:hAnsi="宋体" w:eastAsia="宋体"/>
                <w:bCs/>
                <w:kern w:val="2"/>
              </w:rPr>
            </w:pPr>
            <w:r>
              <w:rPr>
                <w:rFonts w:hint="eastAsia" w:ascii="宋体" w:hAnsi="宋体" w:eastAsia="宋体"/>
                <w:bCs/>
                <w:kern w:val="2"/>
              </w:rPr>
              <w:t>2</w:t>
            </w:r>
          </w:p>
        </w:tc>
        <w:tc>
          <w:tcPr>
            <w:tcW w:w="2025" w:type="dxa"/>
            <w:vAlign w:val="center"/>
          </w:tcPr>
          <w:p w14:paraId="773B0849">
            <w:pPr>
              <w:pStyle w:val="9"/>
              <w:widowControl w:val="0"/>
              <w:wordWrap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服务地点</w:t>
            </w:r>
          </w:p>
        </w:tc>
        <w:tc>
          <w:tcPr>
            <w:tcW w:w="5466" w:type="dxa"/>
            <w:vAlign w:val="center"/>
          </w:tcPr>
          <w:p w14:paraId="7D0A329D">
            <w:pPr>
              <w:pStyle w:val="9"/>
              <w:widowControl w:val="0"/>
              <w:spacing w:before="0" w:beforeAutospacing="0" w:after="0" w:afterAutospacing="0" w:line="360" w:lineRule="auto"/>
              <w:jc w:val="both"/>
              <w:rPr>
                <w:rFonts w:ascii="宋体" w:hAnsi="宋体" w:eastAsia="宋体" w:cs="宋体"/>
                <w:b w:val="0"/>
                <w:sz w:val="24"/>
                <w:szCs w:val="24"/>
              </w:rPr>
            </w:pPr>
            <w:r>
              <w:rPr>
                <w:rFonts w:hint="eastAsia" w:ascii="宋体" w:hAnsi="宋体" w:eastAsia="宋体" w:cs="宋体"/>
                <w:b w:val="0"/>
                <w:sz w:val="24"/>
                <w:szCs w:val="24"/>
              </w:rPr>
              <w:t>安徽省疾病预防控制中心或采购人指定地点。</w:t>
            </w:r>
          </w:p>
        </w:tc>
      </w:tr>
      <w:tr w14:paraId="3CAC9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25EE318B">
            <w:pPr>
              <w:pStyle w:val="8"/>
              <w:pBdr>
                <w:bottom w:val="none" w:color="auto" w:sz="0" w:space="0"/>
              </w:pBdr>
              <w:tabs>
                <w:tab w:val="clear" w:pos="4153"/>
                <w:tab w:val="clear" w:pos="8306"/>
              </w:tabs>
              <w:wordWrap w:val="0"/>
              <w:adjustRightInd/>
              <w:spacing w:line="440" w:lineRule="exact"/>
              <w:textAlignment w:val="auto"/>
              <w:rPr>
                <w:rFonts w:ascii="宋体" w:hAnsi="宋体" w:eastAsia="宋体"/>
                <w:bCs/>
                <w:kern w:val="2"/>
              </w:rPr>
            </w:pPr>
            <w:r>
              <w:rPr>
                <w:rFonts w:hint="eastAsia" w:ascii="宋体" w:hAnsi="宋体" w:eastAsia="宋体"/>
                <w:bCs/>
                <w:kern w:val="2"/>
              </w:rPr>
              <w:t>3</w:t>
            </w:r>
          </w:p>
        </w:tc>
        <w:tc>
          <w:tcPr>
            <w:tcW w:w="2025" w:type="dxa"/>
            <w:vAlign w:val="center"/>
          </w:tcPr>
          <w:p w14:paraId="38635C6F">
            <w:pPr>
              <w:pStyle w:val="9"/>
              <w:widowControl w:val="0"/>
              <w:wordWrap w:val="0"/>
              <w:spacing w:before="0" w:beforeAutospacing="0" w:after="0" w:afterAutospacing="0" w:line="440" w:lineRule="exact"/>
              <w:rPr>
                <w:rFonts w:ascii="宋体" w:hAnsi="宋体" w:eastAsia="宋体"/>
                <w:b w:val="0"/>
                <w:sz w:val="24"/>
              </w:rPr>
            </w:pPr>
            <w:r>
              <w:rPr>
                <w:rFonts w:hint="eastAsia" w:ascii="宋体" w:hAnsi="宋体" w:eastAsia="宋体"/>
                <w:b w:val="0"/>
                <w:sz w:val="24"/>
              </w:rPr>
              <w:t>服务期限</w:t>
            </w:r>
          </w:p>
        </w:tc>
        <w:tc>
          <w:tcPr>
            <w:tcW w:w="5466" w:type="dxa"/>
            <w:vAlign w:val="center"/>
          </w:tcPr>
          <w:p w14:paraId="5B78CE91">
            <w:pPr>
              <w:pStyle w:val="4"/>
              <w:spacing w:line="360" w:lineRule="auto"/>
              <w:rPr>
                <w:rFonts w:ascii="宋体" w:hAnsi="宋体" w:eastAsia="宋体" w:cs="宋体"/>
                <w:bCs/>
                <w:kern w:val="0"/>
                <w:sz w:val="24"/>
                <w:szCs w:val="24"/>
              </w:rPr>
            </w:pPr>
            <w:r>
              <w:rPr>
                <w:rFonts w:hint="eastAsia" w:ascii="宋体" w:hAnsi="宋体" w:eastAsia="宋体" w:cs="宋体"/>
                <w:bCs/>
                <w:kern w:val="0"/>
                <w:sz w:val="24"/>
                <w:szCs w:val="24"/>
                <w:lang w:eastAsia="zh-CN"/>
              </w:rPr>
              <w:t>合同签订之日起25日历天内完成相应服务</w:t>
            </w:r>
            <w:r>
              <w:rPr>
                <w:rFonts w:hint="eastAsia" w:ascii="宋体" w:hAnsi="宋体" w:eastAsia="宋体" w:cs="宋体"/>
                <w:bCs/>
                <w:kern w:val="0"/>
                <w:sz w:val="24"/>
                <w:szCs w:val="24"/>
              </w:rPr>
              <w:t>。</w:t>
            </w:r>
          </w:p>
        </w:tc>
      </w:tr>
    </w:tbl>
    <w:p w14:paraId="2EC34B5A">
      <w:pPr>
        <w:wordWrap w:val="0"/>
        <w:spacing w:line="440" w:lineRule="exact"/>
        <w:ind w:firstLine="437"/>
        <w:jc w:val="left"/>
        <w:rPr>
          <w:rFonts w:hint="default" w:ascii="宋体" w:hAnsi="宋体" w:eastAsia="宋体"/>
          <w:b/>
          <w:sz w:val="28"/>
          <w:szCs w:val="28"/>
          <w:lang w:val="en-US" w:eastAsia="zh-CN"/>
        </w:rPr>
      </w:pPr>
      <w:r>
        <w:rPr>
          <w:rFonts w:hint="eastAsia" w:ascii="宋体" w:hAnsi="宋体" w:eastAsia="宋体"/>
          <w:b/>
          <w:sz w:val="28"/>
          <w:szCs w:val="28"/>
          <w:lang w:val="en-US" w:eastAsia="zh-CN"/>
        </w:rPr>
        <w:t>二、项目概况</w:t>
      </w:r>
    </w:p>
    <w:p w14:paraId="34720E43">
      <w:pPr>
        <w:wordWrap w:val="0"/>
        <w:spacing w:line="440" w:lineRule="exact"/>
        <w:ind w:firstLine="437"/>
        <w:jc w:val="left"/>
        <w:rPr>
          <w:rFonts w:hint="eastAsia" w:ascii="宋体" w:hAnsi="宋体" w:eastAsia="宋体"/>
          <w:sz w:val="24"/>
        </w:rPr>
      </w:pPr>
      <w:r>
        <w:rPr>
          <w:rFonts w:hint="eastAsia" w:ascii="宋体" w:hAnsi="宋体" w:eastAsia="宋体"/>
          <w:sz w:val="24"/>
        </w:rPr>
        <w:t>依据《中华人民共和国网络安全法》《信息安全等级保护管理办法》的相关要求，对</w:t>
      </w:r>
      <w:r>
        <w:rPr>
          <w:rFonts w:hint="eastAsia" w:ascii="宋体" w:hAnsi="宋体" w:eastAsia="宋体"/>
          <w:sz w:val="24"/>
          <w:lang w:val="en-US" w:eastAsia="zh-CN"/>
        </w:rPr>
        <w:t>安徽省级疾病预防控制信息系统（一期）</w:t>
      </w:r>
      <w:r>
        <w:rPr>
          <w:rFonts w:hint="eastAsia" w:ascii="宋体" w:hAnsi="宋体" w:eastAsia="宋体"/>
          <w:sz w:val="24"/>
        </w:rPr>
        <w:t>系统进行网络安全等级保护测评，包括：安全技术测评，安全管理测评，工具测试，编制系统安全整改方案，编制测评报告</w:t>
      </w:r>
      <w:r>
        <w:rPr>
          <w:rFonts w:hint="eastAsia" w:ascii="宋体" w:hAnsi="宋体" w:eastAsia="宋体"/>
          <w:sz w:val="24"/>
          <w:lang w:eastAsia="zh-CN"/>
        </w:rPr>
        <w:t>，</w:t>
      </w:r>
      <w:r>
        <w:rPr>
          <w:rFonts w:hint="eastAsia" w:ascii="宋体" w:hAnsi="宋体" w:eastAsia="宋体"/>
          <w:sz w:val="24"/>
          <w:lang w:val="en-US" w:eastAsia="zh-CN"/>
        </w:rPr>
        <w:t>完成2025年度备案要求</w:t>
      </w:r>
      <w:r>
        <w:rPr>
          <w:rFonts w:hint="eastAsia" w:ascii="宋体" w:hAnsi="宋体" w:eastAsia="宋体"/>
          <w:sz w:val="24"/>
        </w:rPr>
        <w:t>等。</w:t>
      </w:r>
    </w:p>
    <w:p w14:paraId="3C3E7EAF">
      <w:pPr>
        <w:wordWrap w:val="0"/>
        <w:spacing w:line="440" w:lineRule="exact"/>
        <w:ind w:firstLine="437"/>
        <w:jc w:val="left"/>
        <w:rPr>
          <w:rFonts w:ascii="宋体" w:hAnsi="宋体" w:eastAsia="宋体"/>
          <w:b/>
          <w:sz w:val="28"/>
          <w:szCs w:val="28"/>
        </w:rPr>
      </w:pPr>
      <w:r>
        <w:rPr>
          <w:rFonts w:hint="eastAsia" w:ascii="宋体" w:hAnsi="宋体" w:eastAsia="宋体"/>
          <w:b/>
          <w:sz w:val="28"/>
          <w:szCs w:val="28"/>
          <w:lang w:val="en-US" w:eastAsia="zh-CN"/>
        </w:rPr>
        <w:t>三</w:t>
      </w:r>
      <w:r>
        <w:rPr>
          <w:rFonts w:hint="eastAsia" w:ascii="宋体" w:hAnsi="宋体" w:eastAsia="宋体"/>
          <w:b/>
          <w:sz w:val="28"/>
          <w:szCs w:val="28"/>
        </w:rPr>
        <w:t>、服务内容</w:t>
      </w:r>
    </w:p>
    <w:p w14:paraId="0C543592">
      <w:pPr>
        <w:spacing w:line="432" w:lineRule="auto"/>
        <w:ind w:firstLine="480" w:firstLineChars="200"/>
        <w:rPr>
          <w:rFonts w:ascii="宋体" w:hAnsi="宋体" w:eastAsia="宋体"/>
          <w:sz w:val="24"/>
          <w:szCs w:val="24"/>
        </w:rPr>
      </w:pPr>
      <w:r>
        <w:rPr>
          <w:rFonts w:hint="eastAsia" w:ascii="宋体" w:hAnsi="宋体" w:eastAsia="宋体"/>
          <w:sz w:val="24"/>
          <w:szCs w:val="24"/>
        </w:rPr>
        <w:t>本次网络安全等级保护测评的系统如下：</w:t>
      </w:r>
    </w:p>
    <w:tbl>
      <w:tblPr>
        <w:tblStyle w:val="6"/>
        <w:tblW w:w="8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3"/>
        <w:gridCol w:w="4484"/>
        <w:gridCol w:w="2160"/>
      </w:tblGrid>
      <w:tr w14:paraId="08D3D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423" w:type="dxa"/>
            <w:tcBorders>
              <w:top w:val="single" w:color="auto" w:sz="4" w:space="0"/>
              <w:left w:val="single" w:color="auto" w:sz="4" w:space="0"/>
              <w:bottom w:val="single" w:color="auto" w:sz="4" w:space="0"/>
              <w:right w:val="single" w:color="auto" w:sz="4" w:space="0"/>
            </w:tcBorders>
            <w:shd w:val="clear" w:color="000000" w:fill="FFFFFF" w:themeFill="background1"/>
            <w:vAlign w:val="center"/>
          </w:tcPr>
          <w:p w14:paraId="64F3FEE3">
            <w:pPr>
              <w:widowControl/>
              <w:spacing w:line="432" w:lineRule="auto"/>
              <w:contextualSpacing/>
              <w:jc w:val="center"/>
              <w:rPr>
                <w:rFonts w:ascii="宋体" w:hAnsi="宋体" w:eastAsia="宋体" w:cs="宋体"/>
                <w:color w:val="auto"/>
                <w:kern w:val="0"/>
                <w:sz w:val="24"/>
                <w:szCs w:val="24"/>
                <w:shd w:val="clear" w:color="auto" w:fill="auto"/>
              </w:rPr>
            </w:pPr>
            <w:r>
              <w:rPr>
                <w:rFonts w:ascii="宋体" w:hAnsi="宋体" w:eastAsia="宋体" w:cs="宋体"/>
                <w:color w:val="auto"/>
                <w:kern w:val="0"/>
                <w:sz w:val="24"/>
                <w:szCs w:val="24"/>
                <w:shd w:val="clear" w:color="auto" w:fill="auto"/>
              </w:rPr>
              <w:t>序号</w:t>
            </w:r>
          </w:p>
        </w:tc>
        <w:tc>
          <w:tcPr>
            <w:tcW w:w="4484" w:type="dxa"/>
            <w:tcBorders>
              <w:top w:val="single" w:color="auto" w:sz="4" w:space="0"/>
              <w:left w:val="single" w:color="auto" w:sz="4" w:space="0"/>
              <w:bottom w:val="single" w:color="auto" w:sz="4" w:space="0"/>
              <w:right w:val="single" w:color="auto" w:sz="4" w:space="0"/>
            </w:tcBorders>
            <w:shd w:val="clear" w:color="000000" w:fill="FFFFFF" w:themeFill="background1"/>
            <w:vAlign w:val="center"/>
          </w:tcPr>
          <w:p w14:paraId="45301080">
            <w:pPr>
              <w:widowControl/>
              <w:spacing w:line="432" w:lineRule="auto"/>
              <w:contextualSpacing/>
              <w:jc w:val="center"/>
              <w:rPr>
                <w:rFonts w:ascii="宋体" w:hAnsi="宋体" w:eastAsia="宋体" w:cs="宋体"/>
                <w:color w:val="auto"/>
                <w:kern w:val="0"/>
                <w:sz w:val="24"/>
                <w:szCs w:val="24"/>
                <w:shd w:val="clear" w:color="auto" w:fill="auto"/>
              </w:rPr>
            </w:pPr>
            <w:r>
              <w:rPr>
                <w:rFonts w:ascii="宋体" w:hAnsi="宋体" w:eastAsia="宋体" w:cs="宋体"/>
                <w:color w:val="auto"/>
                <w:kern w:val="0"/>
                <w:sz w:val="24"/>
                <w:szCs w:val="24"/>
                <w:shd w:val="clear" w:color="auto" w:fill="auto"/>
              </w:rPr>
              <w:t>待测系统名称</w:t>
            </w:r>
          </w:p>
        </w:tc>
        <w:tc>
          <w:tcPr>
            <w:tcW w:w="2160" w:type="dxa"/>
            <w:tcBorders>
              <w:top w:val="single" w:color="auto" w:sz="4" w:space="0"/>
              <w:left w:val="single" w:color="auto" w:sz="4" w:space="0"/>
              <w:bottom w:val="single" w:color="auto" w:sz="4" w:space="0"/>
              <w:right w:val="single" w:color="auto" w:sz="4" w:space="0"/>
            </w:tcBorders>
            <w:shd w:val="clear" w:color="000000" w:fill="FFFFFF" w:themeFill="background1"/>
            <w:vAlign w:val="center"/>
          </w:tcPr>
          <w:p w14:paraId="27DE244C">
            <w:pPr>
              <w:widowControl/>
              <w:spacing w:line="432" w:lineRule="auto"/>
              <w:contextualSpacing/>
              <w:jc w:val="center"/>
              <w:rPr>
                <w:rFonts w:ascii="宋体" w:hAnsi="宋体" w:eastAsia="宋体" w:cs="宋体"/>
                <w:color w:val="auto"/>
                <w:kern w:val="0"/>
                <w:sz w:val="24"/>
                <w:szCs w:val="24"/>
                <w:shd w:val="clear" w:color="auto" w:fill="auto"/>
              </w:rPr>
            </w:pPr>
            <w:r>
              <w:rPr>
                <w:rFonts w:ascii="宋体" w:hAnsi="宋体" w:eastAsia="宋体" w:cs="宋体"/>
                <w:color w:val="auto"/>
                <w:kern w:val="0"/>
                <w:sz w:val="24"/>
                <w:szCs w:val="24"/>
                <w:shd w:val="clear" w:color="auto" w:fill="auto"/>
              </w:rPr>
              <w:t>安全保护等级</w:t>
            </w:r>
          </w:p>
        </w:tc>
      </w:tr>
      <w:tr w14:paraId="43233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423" w:type="dxa"/>
            <w:tcBorders>
              <w:top w:val="single" w:color="auto" w:sz="4" w:space="0"/>
              <w:left w:val="single" w:color="auto" w:sz="4" w:space="0"/>
              <w:bottom w:val="single" w:color="auto" w:sz="4" w:space="0"/>
              <w:right w:val="single" w:color="auto" w:sz="4" w:space="0"/>
            </w:tcBorders>
            <w:shd w:val="clear" w:color="000000" w:fill="FFFFFF" w:themeFill="background1"/>
            <w:vAlign w:val="center"/>
          </w:tcPr>
          <w:p w14:paraId="294B39D5">
            <w:pPr>
              <w:widowControl/>
              <w:spacing w:line="432" w:lineRule="auto"/>
              <w:contextualSpacing/>
              <w:jc w:val="center"/>
              <w:rPr>
                <w:rFonts w:ascii="宋体" w:hAnsi="宋体" w:eastAsia="宋体" w:cs="宋体"/>
                <w:color w:val="auto"/>
                <w:kern w:val="0"/>
                <w:sz w:val="24"/>
                <w:szCs w:val="24"/>
                <w:shd w:val="clear" w:color="auto" w:fill="auto"/>
              </w:rPr>
            </w:pPr>
            <w:r>
              <w:rPr>
                <w:rFonts w:hint="eastAsia" w:ascii="宋体" w:hAnsi="宋体" w:eastAsia="宋体" w:cs="宋体"/>
                <w:color w:val="auto"/>
                <w:kern w:val="0"/>
                <w:sz w:val="24"/>
                <w:szCs w:val="24"/>
                <w:shd w:val="clear" w:color="auto" w:fill="auto"/>
              </w:rPr>
              <w:t>1</w:t>
            </w:r>
          </w:p>
        </w:tc>
        <w:tc>
          <w:tcPr>
            <w:tcW w:w="4484" w:type="dxa"/>
            <w:tcBorders>
              <w:top w:val="single" w:color="auto" w:sz="4" w:space="0"/>
              <w:left w:val="single" w:color="auto" w:sz="4" w:space="0"/>
              <w:bottom w:val="single" w:color="auto" w:sz="4" w:space="0"/>
              <w:right w:val="single" w:color="auto" w:sz="4" w:space="0"/>
            </w:tcBorders>
            <w:shd w:val="clear" w:color="000000" w:fill="FFFFFF" w:themeFill="background1"/>
            <w:vAlign w:val="center"/>
          </w:tcPr>
          <w:p w14:paraId="42BEB938">
            <w:pPr>
              <w:widowControl/>
              <w:spacing w:line="432" w:lineRule="auto"/>
              <w:contextualSpacing/>
              <w:jc w:val="center"/>
              <w:rPr>
                <w:rFonts w:hint="default" w:ascii="宋体" w:hAnsi="宋体" w:eastAsia="宋体" w:cs="宋体"/>
                <w:color w:val="auto"/>
                <w:kern w:val="0"/>
                <w:sz w:val="24"/>
                <w:szCs w:val="24"/>
                <w:shd w:val="clear" w:color="auto" w:fill="auto"/>
                <w:lang w:val="en-US" w:eastAsia="zh-CN"/>
              </w:rPr>
            </w:pPr>
            <w:r>
              <w:rPr>
                <w:rFonts w:hint="eastAsia" w:ascii="宋体" w:hAnsi="宋体" w:eastAsia="宋体"/>
                <w:sz w:val="24"/>
                <w:szCs w:val="24"/>
                <w:lang w:val="en-US" w:eastAsia="zh-CN"/>
              </w:rPr>
              <w:t>安徽省级疾病预防控制信息系统（一期）</w:t>
            </w:r>
          </w:p>
        </w:tc>
        <w:tc>
          <w:tcPr>
            <w:tcW w:w="2160" w:type="dxa"/>
            <w:tcBorders>
              <w:top w:val="single" w:color="auto" w:sz="4" w:space="0"/>
              <w:left w:val="single" w:color="auto" w:sz="4" w:space="0"/>
              <w:bottom w:val="single" w:color="auto" w:sz="4" w:space="0"/>
              <w:right w:val="single" w:color="auto" w:sz="4" w:space="0"/>
            </w:tcBorders>
            <w:shd w:val="clear" w:color="000000" w:fill="FFFFFF" w:themeFill="background1"/>
            <w:vAlign w:val="center"/>
          </w:tcPr>
          <w:p w14:paraId="7BC18E9A">
            <w:pPr>
              <w:widowControl/>
              <w:spacing w:line="432" w:lineRule="auto"/>
              <w:contextualSpacing/>
              <w:jc w:val="center"/>
              <w:rPr>
                <w:rFonts w:ascii="宋体" w:hAnsi="宋体" w:eastAsia="宋体" w:cs="宋体"/>
                <w:color w:val="auto"/>
                <w:kern w:val="0"/>
                <w:sz w:val="24"/>
                <w:szCs w:val="24"/>
                <w:shd w:val="clear" w:color="auto" w:fill="auto"/>
              </w:rPr>
            </w:pPr>
            <w:r>
              <w:rPr>
                <w:rFonts w:ascii="宋体" w:hAnsi="宋体" w:eastAsia="宋体" w:cs="宋体"/>
                <w:color w:val="auto"/>
                <w:kern w:val="0"/>
                <w:sz w:val="24"/>
                <w:szCs w:val="24"/>
                <w:shd w:val="clear" w:color="auto" w:fill="auto"/>
              </w:rPr>
              <w:t>第</w:t>
            </w:r>
            <w:r>
              <w:rPr>
                <w:rFonts w:hint="eastAsia" w:ascii="宋体" w:hAnsi="宋体" w:eastAsia="宋体" w:cs="宋体"/>
                <w:color w:val="auto"/>
                <w:kern w:val="0"/>
                <w:sz w:val="24"/>
                <w:szCs w:val="24"/>
                <w:shd w:val="clear" w:color="auto" w:fill="auto"/>
                <w:lang w:val="en-US" w:eastAsia="zh-CN"/>
              </w:rPr>
              <w:t>三</w:t>
            </w:r>
            <w:r>
              <w:rPr>
                <w:rFonts w:ascii="宋体" w:hAnsi="宋体" w:eastAsia="宋体" w:cs="宋体"/>
                <w:color w:val="auto"/>
                <w:kern w:val="0"/>
                <w:sz w:val="24"/>
                <w:szCs w:val="24"/>
                <w:shd w:val="clear" w:color="auto" w:fill="auto"/>
              </w:rPr>
              <w:t>级</w:t>
            </w:r>
          </w:p>
        </w:tc>
      </w:tr>
    </w:tbl>
    <w:p w14:paraId="05BC0D34">
      <w:pPr>
        <w:spacing w:line="432" w:lineRule="auto"/>
        <w:ind w:firstLine="480" w:firstLineChars="200"/>
        <w:rPr>
          <w:rFonts w:hint="eastAsia" w:ascii="宋体" w:hAnsi="宋体" w:eastAsia="宋体"/>
          <w:sz w:val="24"/>
          <w:szCs w:val="24"/>
          <w:lang w:val="en-US" w:eastAsia="zh-CN"/>
        </w:rPr>
      </w:pPr>
      <w:r>
        <w:rPr>
          <w:rFonts w:hint="eastAsia" w:ascii="宋体" w:hAnsi="宋体" w:eastAsia="宋体"/>
          <w:sz w:val="24"/>
          <w:szCs w:val="24"/>
          <w:lang w:val="en-US" w:eastAsia="zh-CN"/>
        </w:rPr>
        <w:t>技术要求：</w:t>
      </w:r>
    </w:p>
    <w:tbl>
      <w:tblPr>
        <w:tblStyle w:val="6"/>
        <w:tblW w:w="8060" w:type="dxa"/>
        <w:jc w:val="center"/>
        <w:tblLayout w:type="fixed"/>
        <w:tblCellMar>
          <w:top w:w="0" w:type="dxa"/>
          <w:left w:w="108" w:type="dxa"/>
          <w:bottom w:w="0" w:type="dxa"/>
          <w:right w:w="108" w:type="dxa"/>
        </w:tblCellMar>
      </w:tblPr>
      <w:tblGrid>
        <w:gridCol w:w="696"/>
        <w:gridCol w:w="1596"/>
        <w:gridCol w:w="5009"/>
        <w:gridCol w:w="759"/>
      </w:tblGrid>
      <w:tr w14:paraId="2B5A5367">
        <w:tblPrEx>
          <w:tblCellMar>
            <w:top w:w="0" w:type="dxa"/>
            <w:left w:w="108" w:type="dxa"/>
            <w:bottom w:w="0" w:type="dxa"/>
            <w:right w:w="108" w:type="dxa"/>
          </w:tblCellMar>
        </w:tblPrEx>
        <w:trPr>
          <w:trHeight w:val="585"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14:paraId="592C7B8D">
            <w:pPr>
              <w:widowControl/>
              <w:spacing w:line="432" w:lineRule="auto"/>
              <w:contextualSpacing/>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序号</w:t>
            </w:r>
          </w:p>
        </w:tc>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14:paraId="6B29E80F">
            <w:pPr>
              <w:widowControl/>
              <w:spacing w:line="432" w:lineRule="auto"/>
              <w:contextualSpacing/>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名称</w:t>
            </w:r>
          </w:p>
        </w:tc>
        <w:tc>
          <w:tcPr>
            <w:tcW w:w="5009" w:type="dxa"/>
            <w:tcBorders>
              <w:top w:val="single" w:color="auto" w:sz="4" w:space="0"/>
              <w:left w:val="single" w:color="auto" w:sz="4" w:space="0"/>
              <w:bottom w:val="single" w:color="auto" w:sz="4" w:space="0"/>
              <w:right w:val="single" w:color="auto" w:sz="4" w:space="0"/>
            </w:tcBorders>
            <w:shd w:val="clear" w:color="auto" w:fill="auto"/>
            <w:vAlign w:val="center"/>
          </w:tcPr>
          <w:p w14:paraId="1DCDC207">
            <w:pPr>
              <w:widowControl/>
              <w:spacing w:line="432" w:lineRule="auto"/>
              <w:contextualSpacing/>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主要技术参数</w:t>
            </w: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3562DC47">
            <w:pPr>
              <w:widowControl/>
              <w:spacing w:line="432" w:lineRule="auto"/>
              <w:contextualSpacing/>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数量</w:t>
            </w:r>
          </w:p>
        </w:tc>
      </w:tr>
      <w:tr w14:paraId="545220BB">
        <w:tblPrEx>
          <w:tblCellMar>
            <w:top w:w="0" w:type="dxa"/>
            <w:left w:w="108" w:type="dxa"/>
            <w:bottom w:w="0" w:type="dxa"/>
            <w:right w:w="108" w:type="dxa"/>
          </w:tblCellMar>
        </w:tblPrEx>
        <w:trPr>
          <w:trHeight w:val="585"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14:paraId="17080315">
            <w:pPr>
              <w:wordWrap w:val="0"/>
              <w:spacing w:line="440" w:lineRule="exact"/>
              <w:jc w:val="center"/>
              <w:rPr>
                <w:rFonts w:ascii="宋体" w:hAnsi="宋体" w:eastAsia="宋体"/>
                <w:sz w:val="24"/>
                <w:szCs w:val="24"/>
              </w:rPr>
            </w:pPr>
            <w:r>
              <w:rPr>
                <w:rFonts w:hint="eastAsia" w:ascii="宋体" w:hAnsi="宋体" w:eastAsia="宋体"/>
                <w:sz w:val="24"/>
                <w:szCs w:val="24"/>
              </w:rPr>
              <w:t>1</w:t>
            </w:r>
          </w:p>
        </w:tc>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14:paraId="4BE9CF11">
            <w:pPr>
              <w:wordWrap w:val="0"/>
              <w:spacing w:line="440" w:lineRule="exact"/>
              <w:jc w:val="left"/>
              <w:rPr>
                <w:rFonts w:ascii="宋体" w:hAnsi="宋体" w:eastAsia="宋体"/>
                <w:sz w:val="24"/>
                <w:szCs w:val="24"/>
              </w:rPr>
            </w:pPr>
            <w:r>
              <w:rPr>
                <w:rFonts w:hint="eastAsia" w:ascii="宋体" w:hAnsi="宋体" w:eastAsia="宋体"/>
                <w:sz w:val="24"/>
                <w:szCs w:val="24"/>
                <w:lang w:val="en-US" w:eastAsia="zh-CN"/>
              </w:rPr>
              <w:t>安徽省级疾病预防控制信息系统（一期）网络安全等级保护测评服务（二次）</w:t>
            </w:r>
          </w:p>
        </w:tc>
        <w:tc>
          <w:tcPr>
            <w:tcW w:w="5009" w:type="dxa"/>
            <w:tcBorders>
              <w:top w:val="single" w:color="auto" w:sz="4" w:space="0"/>
              <w:left w:val="single" w:color="auto" w:sz="4" w:space="0"/>
              <w:bottom w:val="single" w:color="auto" w:sz="4" w:space="0"/>
              <w:right w:val="single" w:color="auto" w:sz="4" w:space="0"/>
            </w:tcBorders>
            <w:shd w:val="clear" w:color="auto" w:fill="auto"/>
            <w:vAlign w:val="center"/>
          </w:tcPr>
          <w:p w14:paraId="56B039B5">
            <w:pPr>
              <w:wordWrap w:val="0"/>
              <w:spacing w:line="440" w:lineRule="exact"/>
              <w:jc w:val="left"/>
              <w:rPr>
                <w:rFonts w:ascii="宋体" w:hAnsi="宋体" w:eastAsia="宋体"/>
                <w:b/>
                <w:bCs/>
                <w:sz w:val="24"/>
                <w:szCs w:val="24"/>
              </w:rPr>
            </w:pPr>
            <w:r>
              <w:rPr>
                <w:rFonts w:ascii="宋体" w:hAnsi="宋体" w:eastAsia="宋体"/>
                <w:b/>
                <w:bCs/>
                <w:sz w:val="24"/>
                <w:szCs w:val="24"/>
              </w:rPr>
              <w:t>工作一：定级备案</w:t>
            </w:r>
          </w:p>
          <w:p w14:paraId="1CD88885">
            <w:pPr>
              <w:wordWrap w:val="0"/>
              <w:spacing w:line="440" w:lineRule="exact"/>
              <w:jc w:val="left"/>
              <w:rPr>
                <w:rFonts w:ascii="宋体" w:hAnsi="宋体" w:eastAsia="宋体"/>
                <w:sz w:val="24"/>
                <w:szCs w:val="24"/>
              </w:rPr>
            </w:pPr>
            <w:r>
              <w:rPr>
                <w:rFonts w:ascii="宋体" w:hAnsi="宋体" w:eastAsia="宋体"/>
                <w:sz w:val="24"/>
                <w:szCs w:val="24"/>
              </w:rPr>
              <w:t>协助采购方重要信息系统在网安部门完成定级备案工作，交付定级报告、专家评审意见表和备案表等内容，并取得相应系统的备案证明。</w:t>
            </w:r>
          </w:p>
          <w:p w14:paraId="5120AF3F">
            <w:pPr>
              <w:wordWrap w:val="0"/>
              <w:spacing w:line="440" w:lineRule="exact"/>
              <w:jc w:val="left"/>
              <w:rPr>
                <w:rFonts w:ascii="宋体" w:hAnsi="宋体" w:eastAsia="宋体"/>
                <w:b/>
                <w:bCs/>
                <w:sz w:val="24"/>
                <w:szCs w:val="24"/>
              </w:rPr>
            </w:pPr>
            <w:r>
              <w:rPr>
                <w:rFonts w:ascii="宋体" w:hAnsi="宋体" w:eastAsia="宋体"/>
                <w:b/>
                <w:bCs/>
                <w:sz w:val="24"/>
                <w:szCs w:val="24"/>
              </w:rPr>
              <w:t>工作二：等级保护测评</w:t>
            </w:r>
          </w:p>
          <w:p w14:paraId="69C08C20">
            <w:pPr>
              <w:wordWrap w:val="0"/>
              <w:spacing w:line="440" w:lineRule="exact"/>
              <w:jc w:val="left"/>
              <w:rPr>
                <w:rFonts w:ascii="宋体" w:hAnsi="宋体" w:eastAsia="宋体"/>
                <w:sz w:val="24"/>
                <w:szCs w:val="24"/>
              </w:rPr>
            </w:pPr>
            <w:r>
              <w:rPr>
                <w:rFonts w:ascii="宋体" w:hAnsi="宋体" w:eastAsia="宋体"/>
                <w:sz w:val="24"/>
                <w:szCs w:val="24"/>
              </w:rPr>
              <w:t>工作范围：</w:t>
            </w:r>
            <w:r>
              <w:rPr>
                <w:rFonts w:hint="eastAsia" w:ascii="宋体" w:hAnsi="宋体" w:eastAsia="宋体"/>
                <w:sz w:val="24"/>
                <w:szCs w:val="24"/>
                <w:lang w:val="en-US" w:eastAsia="zh-CN"/>
              </w:rPr>
              <w:t>安徽省级疾病预防控制信息系统（一期）网络安全等级保护测评服务（二次）</w:t>
            </w:r>
          </w:p>
          <w:p w14:paraId="770CF476">
            <w:pPr>
              <w:wordWrap w:val="0"/>
              <w:spacing w:line="440" w:lineRule="exact"/>
              <w:jc w:val="left"/>
              <w:rPr>
                <w:rFonts w:ascii="宋体" w:hAnsi="宋体" w:eastAsia="宋体"/>
                <w:sz w:val="24"/>
                <w:szCs w:val="24"/>
              </w:rPr>
            </w:pPr>
            <w:r>
              <w:rPr>
                <w:rFonts w:ascii="宋体" w:hAnsi="宋体" w:eastAsia="宋体"/>
                <w:sz w:val="24"/>
                <w:szCs w:val="24"/>
              </w:rPr>
              <w:t>工作内容：依据国家等级保护相关标准《GB/T 22239-2019 信息安全技术 网络安全等级保护基本要求》、《GB/T 28448-2019 信息安全技术 网络安全等级保护测评要求》、《GB/T 28449-2018 信息安全技术 网络安全等级保护测评过程指南》、《GB/T 22240-2020 信息安全技术 网络安全等级保护定级指南》为基础，对采购方重要信息系统开展等级保护测评，内容包括：</w:t>
            </w:r>
          </w:p>
          <w:p w14:paraId="2299A288">
            <w:pPr>
              <w:wordWrap w:val="0"/>
              <w:spacing w:line="440" w:lineRule="exact"/>
              <w:jc w:val="left"/>
              <w:rPr>
                <w:rFonts w:hint="eastAsia" w:ascii="宋体" w:hAnsi="宋体" w:eastAsia="宋体"/>
                <w:sz w:val="24"/>
                <w:szCs w:val="24"/>
                <w:lang w:eastAsia="zh-CN"/>
              </w:rPr>
            </w:pPr>
            <w:r>
              <w:rPr>
                <w:rFonts w:ascii="宋体" w:hAnsi="宋体" w:eastAsia="宋体"/>
                <w:b/>
                <w:bCs/>
                <w:sz w:val="24"/>
                <w:szCs w:val="24"/>
              </w:rPr>
              <w:t>1)</w:t>
            </w:r>
            <w:r>
              <w:rPr>
                <w:rFonts w:ascii="宋体" w:hAnsi="宋体" w:eastAsia="宋体"/>
                <w:b/>
                <w:bCs/>
                <w:sz w:val="24"/>
                <w:szCs w:val="24"/>
              </w:rPr>
              <w:tab/>
            </w:r>
            <w:r>
              <w:rPr>
                <w:rFonts w:hint="eastAsia" w:ascii="宋体" w:hAnsi="宋体" w:eastAsia="宋体"/>
                <w:b/>
                <w:bCs/>
                <w:sz w:val="24"/>
                <w:szCs w:val="24"/>
              </w:rPr>
              <w:t>安全技术测评</w:t>
            </w:r>
            <w:r>
              <w:rPr>
                <w:rFonts w:hint="eastAsia" w:ascii="宋体" w:hAnsi="宋体" w:eastAsia="宋体"/>
                <w:sz w:val="24"/>
                <w:szCs w:val="24"/>
              </w:rPr>
              <w:t>：包括安全物理环境、安全通信网络、安全区域边界、安全计算环境和安全管理中心等五个方面的安全测评</w:t>
            </w:r>
            <w:r>
              <w:rPr>
                <w:rFonts w:hint="eastAsia" w:ascii="宋体" w:hAnsi="宋体" w:eastAsia="宋体"/>
                <w:sz w:val="24"/>
                <w:szCs w:val="24"/>
                <w:lang w:eastAsia="zh-CN"/>
              </w:rPr>
              <w:t>；</w:t>
            </w:r>
          </w:p>
          <w:p w14:paraId="2B3701E9">
            <w:pPr>
              <w:wordWrap w:val="0"/>
              <w:spacing w:line="440" w:lineRule="exact"/>
              <w:jc w:val="left"/>
              <w:rPr>
                <w:rFonts w:ascii="宋体" w:hAnsi="宋体" w:eastAsia="宋体"/>
                <w:sz w:val="24"/>
                <w:szCs w:val="24"/>
              </w:rPr>
            </w:pPr>
            <w:r>
              <w:rPr>
                <w:rFonts w:ascii="宋体" w:hAnsi="宋体" w:eastAsia="宋体"/>
                <w:b/>
                <w:bCs/>
                <w:sz w:val="24"/>
                <w:szCs w:val="24"/>
              </w:rPr>
              <w:t>2)</w:t>
            </w:r>
            <w:r>
              <w:rPr>
                <w:rFonts w:ascii="宋体" w:hAnsi="宋体" w:eastAsia="宋体"/>
                <w:b/>
                <w:bCs/>
                <w:sz w:val="24"/>
                <w:szCs w:val="24"/>
              </w:rPr>
              <w:tab/>
            </w:r>
            <w:r>
              <w:rPr>
                <w:rFonts w:hint="eastAsia" w:ascii="宋体" w:hAnsi="宋体" w:eastAsia="宋体"/>
                <w:b/>
                <w:bCs/>
                <w:sz w:val="24"/>
                <w:szCs w:val="24"/>
              </w:rPr>
              <w:t>安全管理测评：</w:t>
            </w:r>
            <w:r>
              <w:rPr>
                <w:rFonts w:hint="eastAsia" w:ascii="宋体" w:hAnsi="宋体" w:eastAsia="宋体"/>
                <w:sz w:val="24"/>
                <w:szCs w:val="24"/>
              </w:rPr>
              <w:t>包括安全管理机构、安全管理制度、人员安全管理、系统建设管理和系统运维管理等五个方面的安全测评</w:t>
            </w:r>
            <w:r>
              <w:rPr>
                <w:rFonts w:ascii="宋体" w:hAnsi="宋体" w:eastAsia="宋体"/>
                <w:sz w:val="24"/>
                <w:szCs w:val="24"/>
              </w:rPr>
              <w:t>；</w:t>
            </w:r>
          </w:p>
          <w:p w14:paraId="707FB4CB">
            <w:pPr>
              <w:wordWrap w:val="0"/>
              <w:spacing w:line="440" w:lineRule="exact"/>
              <w:jc w:val="left"/>
              <w:rPr>
                <w:rFonts w:ascii="宋体" w:hAnsi="宋体" w:eastAsia="宋体"/>
                <w:sz w:val="24"/>
                <w:szCs w:val="24"/>
              </w:rPr>
            </w:pPr>
            <w:r>
              <w:rPr>
                <w:rFonts w:ascii="宋体" w:hAnsi="宋体" w:eastAsia="宋体"/>
                <w:b/>
                <w:bCs/>
                <w:sz w:val="24"/>
                <w:szCs w:val="24"/>
              </w:rPr>
              <w:t>3)</w:t>
            </w:r>
            <w:r>
              <w:rPr>
                <w:rFonts w:ascii="宋体" w:hAnsi="宋体" w:eastAsia="宋体"/>
                <w:b/>
                <w:bCs/>
                <w:sz w:val="24"/>
                <w:szCs w:val="24"/>
              </w:rPr>
              <w:tab/>
            </w:r>
            <w:r>
              <w:rPr>
                <w:rFonts w:ascii="宋体" w:hAnsi="宋体" w:eastAsia="宋体"/>
                <w:b/>
                <w:bCs/>
                <w:sz w:val="24"/>
                <w:szCs w:val="24"/>
              </w:rPr>
              <w:t>整改建议：</w:t>
            </w:r>
            <w:r>
              <w:rPr>
                <w:rFonts w:hint="eastAsia" w:ascii="宋体" w:hAnsi="宋体" w:eastAsia="宋体"/>
                <w:sz w:val="24"/>
                <w:szCs w:val="24"/>
              </w:rPr>
              <w:t>全面的从安全物理环境、安全通信网络、安全区域边界、安全计算环境、安全管理中心、安全管理制度、安全管理机构、安全人员管理、安全建设管理和安全运维管理中的所有指标逐项对信息系统中相关的资产进行核查、测评。对信息系统进行安全现状分析，形成相应的安全问题列表和整改建议</w:t>
            </w:r>
            <w:r>
              <w:rPr>
                <w:rFonts w:ascii="宋体" w:hAnsi="宋体" w:eastAsia="宋体"/>
                <w:sz w:val="24"/>
                <w:szCs w:val="24"/>
              </w:rPr>
              <w:t>；</w:t>
            </w:r>
          </w:p>
          <w:p w14:paraId="6080D90D">
            <w:pPr>
              <w:wordWrap w:val="0"/>
              <w:spacing w:line="440" w:lineRule="exact"/>
              <w:jc w:val="left"/>
              <w:rPr>
                <w:rFonts w:ascii="宋体" w:hAnsi="宋体" w:eastAsia="宋体"/>
                <w:sz w:val="24"/>
                <w:szCs w:val="24"/>
              </w:rPr>
            </w:pPr>
            <w:r>
              <w:rPr>
                <w:rFonts w:ascii="宋体" w:hAnsi="宋体" w:eastAsia="宋体"/>
                <w:b/>
                <w:bCs/>
                <w:sz w:val="24"/>
                <w:szCs w:val="24"/>
              </w:rPr>
              <w:t>4)</w:t>
            </w:r>
            <w:r>
              <w:rPr>
                <w:rFonts w:ascii="宋体" w:hAnsi="宋体" w:eastAsia="宋体"/>
                <w:b/>
                <w:bCs/>
                <w:sz w:val="24"/>
                <w:szCs w:val="24"/>
              </w:rPr>
              <w:tab/>
            </w:r>
            <w:r>
              <w:rPr>
                <w:rFonts w:ascii="宋体" w:hAnsi="宋体" w:eastAsia="宋体"/>
                <w:b/>
                <w:bCs/>
                <w:sz w:val="24"/>
                <w:szCs w:val="24"/>
              </w:rPr>
              <w:t>编制测评报告：</w:t>
            </w:r>
            <w:r>
              <w:rPr>
                <w:rFonts w:ascii="宋体" w:hAnsi="宋体" w:eastAsia="宋体"/>
                <w:sz w:val="24"/>
                <w:szCs w:val="24"/>
              </w:rPr>
              <w:t>完成上述测评工作和整改加固实施后，</w:t>
            </w:r>
            <w:r>
              <w:rPr>
                <w:rFonts w:hint="eastAsia" w:ascii="宋体" w:hAnsi="宋体" w:eastAsia="宋体"/>
                <w:sz w:val="24"/>
                <w:szCs w:val="24"/>
                <w:lang w:val="en-US" w:eastAsia="zh-CN"/>
              </w:rPr>
              <w:t>供应商</w:t>
            </w:r>
            <w:r>
              <w:rPr>
                <w:rFonts w:ascii="宋体" w:hAnsi="宋体" w:eastAsia="宋体"/>
                <w:sz w:val="24"/>
                <w:szCs w:val="24"/>
              </w:rPr>
              <w:t>最后出具符合标准要求的各信息系统网络安全等级保护测评报告。</w:t>
            </w: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4605DAFE">
            <w:pPr>
              <w:widowControl/>
              <w:spacing w:line="432" w:lineRule="auto"/>
              <w:contextualSpacing/>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p>
        </w:tc>
      </w:tr>
      <w:tr w14:paraId="6582FF4E">
        <w:tblPrEx>
          <w:tblCellMar>
            <w:top w:w="0" w:type="dxa"/>
            <w:left w:w="108" w:type="dxa"/>
            <w:bottom w:w="0" w:type="dxa"/>
            <w:right w:w="108" w:type="dxa"/>
          </w:tblCellMar>
        </w:tblPrEx>
        <w:trPr>
          <w:trHeight w:val="1053"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14:paraId="663C47F5">
            <w:pPr>
              <w:wordWrap w:val="0"/>
              <w:spacing w:line="440" w:lineRule="exact"/>
              <w:jc w:val="center"/>
              <w:rPr>
                <w:rFonts w:hint="eastAsia" w:ascii="宋体" w:hAnsi="宋体" w:eastAsia="宋体"/>
                <w:sz w:val="24"/>
                <w:szCs w:val="24"/>
                <w:lang w:eastAsia="zh-CN"/>
              </w:rPr>
            </w:pPr>
            <w:r>
              <w:rPr>
                <w:rFonts w:hint="eastAsia" w:ascii="宋体" w:hAnsi="宋体" w:eastAsia="宋体"/>
                <w:sz w:val="24"/>
                <w:szCs w:val="24"/>
                <w:lang w:val="en-US" w:eastAsia="zh-CN"/>
              </w:rPr>
              <w:t>2</w:t>
            </w:r>
          </w:p>
        </w:tc>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14:paraId="60B1481F">
            <w:pPr>
              <w:wordWrap w:val="0"/>
              <w:spacing w:line="440" w:lineRule="exact"/>
              <w:jc w:val="left"/>
              <w:rPr>
                <w:rFonts w:hint="eastAsia" w:ascii="宋体" w:hAnsi="宋体" w:eastAsia="宋体"/>
                <w:sz w:val="24"/>
                <w:szCs w:val="24"/>
              </w:rPr>
            </w:pPr>
            <w:r>
              <w:rPr>
                <w:rFonts w:hint="eastAsia" w:ascii="宋体" w:hAnsi="宋体" w:eastAsia="宋体"/>
                <w:sz w:val="24"/>
                <w:szCs w:val="24"/>
              </w:rPr>
              <w:t>延伸服务</w:t>
            </w:r>
          </w:p>
        </w:tc>
        <w:tc>
          <w:tcPr>
            <w:tcW w:w="5009" w:type="dxa"/>
            <w:tcBorders>
              <w:top w:val="single" w:color="auto" w:sz="4" w:space="0"/>
              <w:left w:val="single" w:color="auto" w:sz="4" w:space="0"/>
              <w:bottom w:val="single" w:color="auto" w:sz="4" w:space="0"/>
              <w:right w:val="single" w:color="auto" w:sz="4" w:space="0"/>
            </w:tcBorders>
            <w:shd w:val="clear" w:color="auto" w:fill="auto"/>
            <w:vAlign w:val="center"/>
          </w:tcPr>
          <w:p w14:paraId="3A7174CF">
            <w:pPr>
              <w:wordWrap w:val="0"/>
              <w:spacing w:line="440" w:lineRule="exact"/>
              <w:jc w:val="left"/>
              <w:rPr>
                <w:rFonts w:ascii="宋体" w:hAnsi="宋体" w:eastAsia="宋体"/>
                <w:sz w:val="24"/>
                <w:szCs w:val="24"/>
              </w:rPr>
            </w:pPr>
            <w:r>
              <w:rPr>
                <w:rFonts w:hint="eastAsia" w:ascii="宋体" w:hAnsi="宋体" w:eastAsia="宋体"/>
                <w:sz w:val="24"/>
                <w:szCs w:val="24"/>
              </w:rPr>
              <w:t>1）</w:t>
            </w:r>
            <w:r>
              <w:rPr>
                <w:rFonts w:hint="eastAsia" w:ascii="宋体" w:hAnsi="宋体" w:eastAsia="宋体"/>
                <w:sz w:val="24"/>
                <w:szCs w:val="24"/>
                <w:lang w:val="en-US" w:eastAsia="zh-CN"/>
              </w:rPr>
              <w:t>成交供应商</w:t>
            </w:r>
            <w:r>
              <w:rPr>
                <w:rFonts w:hint="eastAsia" w:ascii="宋体" w:hAnsi="宋体" w:eastAsia="宋体"/>
                <w:sz w:val="24"/>
                <w:szCs w:val="24"/>
              </w:rPr>
              <w:t>为我</w:t>
            </w:r>
            <w:r>
              <w:rPr>
                <w:rFonts w:hint="eastAsia" w:ascii="宋体" w:hAnsi="宋体" w:eastAsia="宋体"/>
                <w:sz w:val="24"/>
                <w:szCs w:val="24"/>
                <w:lang w:val="en-US" w:eastAsia="zh-CN"/>
              </w:rPr>
              <w:t>单位</w:t>
            </w:r>
            <w:r>
              <w:rPr>
                <w:rFonts w:hint="eastAsia" w:ascii="宋体" w:hAnsi="宋体" w:eastAsia="宋体"/>
                <w:sz w:val="24"/>
                <w:szCs w:val="24"/>
              </w:rPr>
              <w:t>免费提供不少于</w:t>
            </w:r>
            <w:r>
              <w:rPr>
                <w:rFonts w:hint="eastAsia" w:ascii="宋体" w:hAnsi="宋体" w:eastAsia="宋体"/>
                <w:sz w:val="24"/>
                <w:szCs w:val="24"/>
                <w:lang w:val="en-US" w:eastAsia="zh-CN"/>
              </w:rPr>
              <w:t>1</w:t>
            </w:r>
            <w:r>
              <w:rPr>
                <w:rFonts w:hint="eastAsia" w:ascii="宋体" w:hAnsi="宋体" w:eastAsia="宋体"/>
                <w:sz w:val="24"/>
                <w:szCs w:val="24"/>
              </w:rPr>
              <w:t>次网络安全网络安全培训服务与指导等。</w:t>
            </w:r>
          </w:p>
          <w:p w14:paraId="71381E71">
            <w:pPr>
              <w:wordWrap w:val="0"/>
              <w:spacing w:line="440" w:lineRule="exact"/>
              <w:jc w:val="left"/>
              <w:rPr>
                <w:rFonts w:hint="eastAsia" w:ascii="宋体" w:hAnsi="宋体" w:eastAsia="宋体"/>
                <w:sz w:val="24"/>
                <w:szCs w:val="24"/>
              </w:rPr>
            </w:pPr>
            <w:r>
              <w:rPr>
                <w:rFonts w:hint="eastAsia" w:ascii="宋体" w:hAnsi="宋体" w:eastAsia="宋体"/>
                <w:sz w:val="24"/>
                <w:szCs w:val="24"/>
              </w:rPr>
              <w:t>2）</w:t>
            </w:r>
            <w:r>
              <w:rPr>
                <w:rFonts w:hint="eastAsia" w:ascii="宋体" w:hAnsi="宋体" w:eastAsia="宋体"/>
                <w:sz w:val="24"/>
                <w:szCs w:val="24"/>
                <w:lang w:val="en-US" w:eastAsia="zh-CN"/>
              </w:rPr>
              <w:t>成交</w:t>
            </w:r>
            <w:r>
              <w:rPr>
                <w:rFonts w:hint="eastAsia" w:ascii="宋体" w:hAnsi="宋体" w:eastAsia="宋体"/>
                <w:sz w:val="24"/>
                <w:szCs w:val="24"/>
              </w:rPr>
              <w:t>后，</w:t>
            </w:r>
            <w:r>
              <w:rPr>
                <w:rFonts w:hint="eastAsia" w:ascii="宋体" w:hAnsi="宋体" w:eastAsia="宋体"/>
                <w:sz w:val="24"/>
                <w:szCs w:val="24"/>
                <w:lang w:val="en-US" w:eastAsia="zh-CN"/>
              </w:rPr>
              <w:t>成交供应商</w:t>
            </w:r>
            <w:r>
              <w:rPr>
                <w:rFonts w:hint="eastAsia" w:ascii="宋体" w:hAnsi="宋体" w:eastAsia="宋体"/>
                <w:sz w:val="24"/>
                <w:szCs w:val="24"/>
              </w:rPr>
              <w:t>应与</w:t>
            </w:r>
            <w:r>
              <w:rPr>
                <w:rFonts w:hint="eastAsia" w:ascii="宋体" w:hAnsi="宋体" w:eastAsia="宋体"/>
                <w:sz w:val="24"/>
                <w:szCs w:val="24"/>
                <w:lang w:val="en-US" w:eastAsia="zh-CN"/>
              </w:rPr>
              <w:t>我单位</w:t>
            </w:r>
            <w:r>
              <w:rPr>
                <w:rFonts w:hint="eastAsia" w:ascii="宋体" w:hAnsi="宋体" w:eastAsia="宋体"/>
                <w:sz w:val="24"/>
                <w:szCs w:val="24"/>
              </w:rPr>
              <w:t>签定网络安全保密协议。</w:t>
            </w:r>
          </w:p>
        </w:tc>
        <w:tc>
          <w:tcPr>
            <w:tcW w:w="759" w:type="dxa"/>
            <w:tcBorders>
              <w:top w:val="single" w:color="auto" w:sz="4" w:space="0"/>
              <w:left w:val="single" w:color="auto" w:sz="4" w:space="0"/>
              <w:bottom w:val="single" w:color="auto" w:sz="4" w:space="0"/>
              <w:right w:val="single" w:color="auto" w:sz="4" w:space="0"/>
            </w:tcBorders>
            <w:shd w:val="clear" w:color="auto" w:fill="auto"/>
            <w:vAlign w:val="center"/>
          </w:tcPr>
          <w:p w14:paraId="1C4C778E">
            <w:pPr>
              <w:widowControl/>
              <w:spacing w:line="432" w:lineRule="auto"/>
              <w:contextualSpacing/>
              <w:jc w:val="center"/>
              <w:rPr>
                <w:rFonts w:hint="eastAsia" w:ascii="宋体" w:hAnsi="宋体" w:eastAsia="宋体" w:cs="宋体"/>
                <w:color w:val="000000"/>
                <w:kern w:val="0"/>
                <w:sz w:val="24"/>
                <w:szCs w:val="24"/>
              </w:rPr>
            </w:pPr>
          </w:p>
        </w:tc>
      </w:tr>
    </w:tbl>
    <w:p w14:paraId="750E3B65">
      <w:pPr>
        <w:wordWrap w:val="0"/>
        <w:spacing w:line="440" w:lineRule="exact"/>
        <w:ind w:firstLine="437"/>
        <w:rPr>
          <w:rFonts w:ascii="宋体" w:hAnsi="宋体" w:eastAsia="宋体" w:cs="宋体"/>
          <w:b/>
          <w:sz w:val="24"/>
          <w:szCs w:val="24"/>
        </w:rPr>
      </w:pPr>
      <w:r>
        <w:rPr>
          <w:rFonts w:hint="eastAsia" w:ascii="宋体" w:hAnsi="宋体" w:eastAsia="宋体" w:cs="宋体"/>
          <w:b/>
          <w:sz w:val="24"/>
          <w:szCs w:val="24"/>
        </w:rPr>
        <w:t>三、报价要求</w:t>
      </w:r>
    </w:p>
    <w:p w14:paraId="34DB9297">
      <w:r>
        <w:rPr>
          <w:rFonts w:hint="eastAsia" w:ascii="宋体" w:hAnsi="宋体" w:eastAsia="宋体" w:cs="宋体"/>
          <w:b w:val="0"/>
          <w:bCs/>
          <w:sz w:val="24"/>
          <w:szCs w:val="24"/>
          <w:lang w:val="en-US" w:eastAsia="zh-CN"/>
        </w:rPr>
        <w:t>本项目报总价</w:t>
      </w:r>
      <w:r>
        <w:rPr>
          <w:rFonts w:hint="eastAsia" w:ascii="宋体" w:hAnsi="宋体" w:eastAsia="宋体" w:cs="宋体"/>
          <w:b w:val="0"/>
          <w:bCs/>
          <w:sz w:val="24"/>
          <w:szCs w:val="24"/>
        </w:rPr>
        <w:t>。</w:t>
      </w:r>
      <w:r>
        <w:rPr>
          <w:rFonts w:ascii="宋体" w:hAnsi="宋体" w:eastAsia="宋体"/>
          <w:b w:val="0"/>
          <w:bCs/>
          <w:sz w:val="24"/>
          <w:szCs w:val="24"/>
        </w:rPr>
        <w:t>报</w:t>
      </w:r>
      <w:r>
        <w:rPr>
          <w:rFonts w:ascii="宋体" w:hAnsi="宋体" w:eastAsia="宋体"/>
          <w:sz w:val="24"/>
          <w:szCs w:val="24"/>
        </w:rPr>
        <w:t>价须包含完成本</w:t>
      </w:r>
      <w:r>
        <w:rPr>
          <w:rFonts w:hint="eastAsia" w:ascii="宋体" w:hAnsi="宋体" w:eastAsia="宋体"/>
          <w:sz w:val="24"/>
          <w:szCs w:val="24"/>
        </w:rPr>
        <w:t>年度</w:t>
      </w:r>
      <w:r>
        <w:rPr>
          <w:rFonts w:ascii="宋体" w:hAnsi="宋体" w:eastAsia="宋体"/>
          <w:sz w:val="24"/>
          <w:szCs w:val="24"/>
        </w:rPr>
        <w:t>项目的全部费用，采购人不再另行追加费用，供应商自行考虑投标风险。</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1D470A"/>
    <w:rsid w:val="681D47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微软简标宋" w:hAnsi="@微软简标宋" w:eastAsia="@微软简标宋" w:cs="@微软简标宋"/>
      <w:szCs w:val="24"/>
      <w:lang w:val="zh-CN"/>
    </w:rPr>
  </w:style>
  <w:style w:type="paragraph" w:customStyle="1" w:styleId="3">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4">
    <w:name w:val="annotation text"/>
    <w:basedOn w:val="1"/>
    <w:unhideWhenUsed/>
    <w:qFormat/>
    <w:uiPriority w:val="99"/>
    <w:pPr>
      <w:jc w:val="left"/>
    </w:pPr>
  </w:style>
  <w:style w:type="paragraph" w:styleId="5">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D&amp;L"/>
    <w:basedOn w:val="5"/>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9">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2025-11-20T01:45:00Z</dcterms:created>
  <dc:creator>森</dc:creator>
  <cp:lastModifiedBy>森</cp:lastModifiedBy>
  <dcterms:modified xsi:type="dcterms:W3CDTF">2025-11-20T01:46:04Z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3433104B90FC47D7A9BDBC9115B4309B_11</vt:lpwstr>
  </property>
  <property fmtid="{D5CDD505-2E9C-101B-9397-08002B2CF9AE}" pid="4" name="KSOTemplateDocerSaveRecord">
    <vt:lpwstr>eyJoZGlkIjoiOTc3M2Y5NzIzMDFlZjAyY2Q4Njk5ODkyYjFjNzBiNTQiLCJ1c2VySWQiOiI0MzAwMTYzNzkifQ==</vt:lpwstr>
  </property>
</Properties>
</file>