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65BBE">
      <w:pPr>
        <w:wordWrap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kern w:val="44"/>
          <w:sz w:val="44"/>
          <w:szCs w:val="44"/>
        </w:rPr>
      </w:pPr>
      <w:bookmarkStart w:id="18" w:name="_GoBack"/>
      <w:bookmarkEnd w:id="18"/>
      <w:bookmarkStart w:id="0" w:name="_Toc19992"/>
      <w:bookmarkStart w:id="1" w:name="_Toc17676"/>
      <w:r>
        <w:rPr>
          <w:rFonts w:hint="eastAsia" w:ascii="仿宋" w:hAnsi="仿宋" w:eastAsia="仿宋" w:cs="仿宋"/>
          <w:b/>
          <w:bCs/>
          <w:kern w:val="44"/>
          <w:sz w:val="44"/>
          <w:szCs w:val="44"/>
        </w:rPr>
        <w:t>招标需求</w:t>
      </w:r>
      <w:bookmarkEnd w:id="0"/>
      <w:bookmarkEnd w:id="1"/>
    </w:p>
    <w:p w14:paraId="6BB4410B">
      <w:pPr>
        <w:wordWrap w:val="0"/>
        <w:spacing w:line="360" w:lineRule="auto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前注：</w:t>
      </w:r>
    </w:p>
    <w:p w14:paraId="673810A0">
      <w:pPr>
        <w:wordWrap w:val="0"/>
        <w:spacing w:line="360" w:lineRule="auto"/>
        <w:ind w:firstLine="437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本说明中提出的技术方案仅为参考，如无明确限制，投标人可以进行优化，提供满足用户实际需要的更优（或者性能实质上不低于的）技术方案，且此方案须评标委员会评标认可。</w:t>
      </w:r>
    </w:p>
    <w:p w14:paraId="4B43E6A6">
      <w:pPr>
        <w:wordWrap w:val="0"/>
        <w:spacing w:line="360" w:lineRule="auto"/>
        <w:ind w:firstLine="437"/>
        <w:rPr>
          <w:rFonts w:hint="eastAsia" w:ascii="仿宋" w:hAnsi="仿宋" w:eastAsia="仿宋" w:cs="仿宋"/>
          <w:b/>
          <w:sz w:val="24"/>
          <w:szCs w:val="18"/>
        </w:rPr>
      </w:pPr>
    </w:p>
    <w:p w14:paraId="2598A0CE">
      <w:p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br w:type="page"/>
      </w:r>
    </w:p>
    <w:p w14:paraId="7B122825">
      <w:pPr>
        <w:pStyle w:val="5"/>
        <w:outlineLvl w:val="1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一、采购需求前附表</w:t>
      </w:r>
    </w:p>
    <w:tbl>
      <w:tblPr>
        <w:tblStyle w:val="3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795"/>
      </w:tblGrid>
      <w:tr w14:paraId="64F3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2E14E8BC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/>
                <w:kern w:val="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Cs w:val="24"/>
              </w:rPr>
              <w:t>序号</w:t>
            </w:r>
          </w:p>
        </w:tc>
        <w:tc>
          <w:tcPr>
            <w:tcW w:w="2054" w:type="dxa"/>
            <w:vAlign w:val="center"/>
          </w:tcPr>
          <w:p w14:paraId="42C86E2C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  <w:t>条款名称</w:t>
            </w:r>
          </w:p>
        </w:tc>
        <w:tc>
          <w:tcPr>
            <w:tcW w:w="5795" w:type="dxa"/>
            <w:vAlign w:val="center"/>
          </w:tcPr>
          <w:p w14:paraId="4191F857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  <w:t>内容、说明与要求</w:t>
            </w:r>
          </w:p>
        </w:tc>
      </w:tr>
      <w:tr w14:paraId="7DB06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1ED45D47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</w:rPr>
              <w:t>1</w:t>
            </w:r>
          </w:p>
        </w:tc>
        <w:tc>
          <w:tcPr>
            <w:tcW w:w="2054" w:type="dxa"/>
            <w:vAlign w:val="center"/>
          </w:tcPr>
          <w:p w14:paraId="6191EE76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付款方式</w:t>
            </w:r>
          </w:p>
        </w:tc>
        <w:tc>
          <w:tcPr>
            <w:tcW w:w="5795" w:type="dxa"/>
            <w:vAlign w:val="center"/>
          </w:tcPr>
          <w:p w14:paraId="15F256E8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合同签订后，按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招标人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要求的提货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券面值、数量及供货时间等制作商品提货券送至招标人处，经核验无误后，由中标人开具发票（发票要求见采购需求）送至招标人进行结算,验收合格后，一次性据实结算。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投标人提交的投标文件中如有关于付款条件的表述与招标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文件规定不符，将被视为实质性不响应，将导致响应无效。</w:t>
            </w:r>
          </w:p>
        </w:tc>
      </w:tr>
      <w:tr w14:paraId="0CFAF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279C37B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</w:rPr>
              <w:t>2</w:t>
            </w:r>
          </w:p>
        </w:tc>
        <w:tc>
          <w:tcPr>
            <w:tcW w:w="2054" w:type="dxa"/>
            <w:vAlign w:val="center"/>
          </w:tcPr>
          <w:p w14:paraId="3E4B330F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供货及安装地点</w:t>
            </w:r>
          </w:p>
        </w:tc>
        <w:tc>
          <w:tcPr>
            <w:tcW w:w="5795" w:type="dxa"/>
            <w:vAlign w:val="center"/>
          </w:tcPr>
          <w:p w14:paraId="4B2A0FC4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</w:rPr>
              <w:t>安徽理工大学或采购人指定地点。</w:t>
            </w:r>
          </w:p>
        </w:tc>
      </w:tr>
      <w:tr w14:paraId="41F72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347CC8A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</w:rPr>
              <w:t>3</w:t>
            </w:r>
          </w:p>
        </w:tc>
        <w:tc>
          <w:tcPr>
            <w:tcW w:w="2054" w:type="dxa"/>
            <w:vAlign w:val="center"/>
          </w:tcPr>
          <w:p w14:paraId="76287590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供货及安装期限</w:t>
            </w:r>
          </w:p>
        </w:tc>
        <w:tc>
          <w:tcPr>
            <w:tcW w:w="5795" w:type="dxa"/>
            <w:vAlign w:val="center"/>
          </w:tcPr>
          <w:p w14:paraId="24660ADC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接到采购方通知后5日内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 w14:paraId="35872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E26FD6F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  <w:lang w:val="en-US" w:eastAsia="zh-CN"/>
              </w:rPr>
            </w:pPr>
            <w:bookmarkStart w:id="2" w:name="_Toc1191965283_WPSOffice_Level2"/>
            <w:bookmarkStart w:id="3" w:name="_Toc717369146"/>
            <w:bookmarkStart w:id="4" w:name="_Toc1715351726"/>
            <w:bookmarkStart w:id="5" w:name="_Toc58935147"/>
            <w:bookmarkStart w:id="6" w:name="_Toc1693477008"/>
            <w:bookmarkStart w:id="7" w:name="_Toc369119811"/>
            <w:bookmarkStart w:id="8" w:name="_Toc302804901"/>
            <w:bookmarkStart w:id="9" w:name="_Toc626387511"/>
            <w:r>
              <w:rPr>
                <w:rFonts w:hint="eastAsia" w:ascii="仿宋" w:hAnsi="仿宋" w:eastAsia="仿宋" w:cs="仿宋"/>
                <w:bCs/>
                <w:kern w:val="2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vAlign w:val="center"/>
          </w:tcPr>
          <w:p w14:paraId="3350095E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val="en-US" w:eastAsia="zh-CN"/>
              </w:rPr>
              <w:t>提货券有效期</w:t>
            </w:r>
          </w:p>
        </w:tc>
        <w:tc>
          <w:tcPr>
            <w:tcW w:w="5795" w:type="dxa"/>
            <w:vAlign w:val="center"/>
          </w:tcPr>
          <w:p w14:paraId="246B3C6D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供券之日起不低于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个月，提货劵需注明开始及截止时间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出现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提货劵过期，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供应商须提供免费更换服务，更换后的提货券有效期不得低于6个月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更换服务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每个月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统一集中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办理一次。</w:t>
            </w:r>
          </w:p>
        </w:tc>
      </w:tr>
      <w:bookmarkEnd w:id="2"/>
      <w:bookmarkEnd w:id="3"/>
      <w:bookmarkEnd w:id="4"/>
      <w:bookmarkEnd w:id="5"/>
      <w:bookmarkEnd w:id="6"/>
      <w:bookmarkEnd w:id="7"/>
      <w:bookmarkEnd w:id="8"/>
      <w:bookmarkEnd w:id="9"/>
    </w:tbl>
    <w:p w14:paraId="389DEB2B">
      <w:pPr>
        <w:spacing w:line="340" w:lineRule="exact"/>
        <w:ind w:firstLine="464" w:firstLineChars="196"/>
        <w:rPr>
          <w:rFonts w:ascii="宋体" w:hAnsi="宋体" w:eastAsia="宋体" w:cs="宋体"/>
          <w:b/>
          <w:bCs/>
          <w:spacing w:val="-2"/>
          <w:sz w:val="24"/>
          <w:szCs w:val="20"/>
        </w:rPr>
      </w:pPr>
      <w:bookmarkStart w:id="10" w:name="_Toc13384869"/>
      <w:bookmarkStart w:id="11" w:name="_Toc49042126"/>
      <w:bookmarkStart w:id="12" w:name="_Toc1061105159_WPSOffice_Level2"/>
      <w:bookmarkStart w:id="13" w:name="_Toc1520309192"/>
      <w:bookmarkStart w:id="14" w:name="_Toc1814319857"/>
      <w:bookmarkStart w:id="15" w:name="_Toc902728931"/>
      <w:bookmarkStart w:id="16" w:name="_Toc1101062245"/>
      <w:bookmarkStart w:id="17" w:name="_Toc1900587714"/>
      <w:r>
        <w:rPr>
          <w:rFonts w:hint="eastAsia" w:ascii="宋体" w:hAnsi="宋体" w:eastAsia="宋体" w:cs="宋体"/>
          <w:b/>
          <w:bCs/>
          <w:spacing w:val="-2"/>
          <w:sz w:val="24"/>
          <w:szCs w:val="2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pacing w:val="-2"/>
          <w:sz w:val="24"/>
          <w:szCs w:val="20"/>
        </w:rPr>
        <w:t>项目概况</w:t>
      </w:r>
    </w:p>
    <w:p w14:paraId="578CEAFF">
      <w:pPr>
        <w:spacing w:line="360" w:lineRule="auto"/>
        <w:ind w:firstLine="560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安徽理工大学2026年在职职工福利项目拟采购内容为面值100元的超市米面油及日用品提货券约每人贰仟元（预估叁仟人），总预算约人民币陆佰万元。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  <w:t>（数量为估算，仅作参考，实际数量以最终结算为准）</w:t>
      </w:r>
    </w:p>
    <w:p w14:paraId="0136FBCB">
      <w:pPr>
        <w:spacing w:line="340" w:lineRule="exact"/>
        <w:ind w:firstLine="464" w:firstLineChars="196"/>
        <w:rPr>
          <w:rFonts w:hint="eastAsia" w:ascii="宋体" w:hAnsi="宋体" w:eastAsia="宋体" w:cs="宋体"/>
          <w:b/>
          <w:bCs/>
          <w:spacing w:val="-2"/>
          <w:sz w:val="24"/>
          <w:szCs w:val="20"/>
        </w:rPr>
      </w:pPr>
      <w:r>
        <w:rPr>
          <w:rFonts w:hint="eastAsia" w:ascii="宋体" w:hAnsi="宋体" w:eastAsia="宋体" w:cs="宋体"/>
          <w:b/>
          <w:bCs/>
          <w:spacing w:val="-2"/>
          <w:sz w:val="24"/>
          <w:szCs w:val="2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pacing w:val="-2"/>
          <w:sz w:val="24"/>
          <w:szCs w:val="20"/>
        </w:rPr>
        <w:t>采购需求</w:t>
      </w:r>
    </w:p>
    <w:p w14:paraId="605DC592">
      <w:pPr>
        <w:spacing w:line="360" w:lineRule="auto"/>
        <w:ind w:firstLine="560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  <w:t>1.投标人须报一个每份提货券的总优惠额度，此优惠额度返还在每份提货券中。如：投标人每份提货券的优惠额度为人民币10元，则中标人应提供每份人民币110元的提货券，并按每份提货券向采购人结算人民币100元。提货券的具体总张数和每张提货券的面值在供货前由招标人确定。</w:t>
      </w:r>
    </w:p>
    <w:p w14:paraId="5528F835">
      <w:pPr>
        <w:spacing w:line="360" w:lineRule="auto"/>
        <w:ind w:firstLine="560"/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2.中标人均按采购人要求的提货券面值、数量及供货时间等制作商品提货券，经核验无误后，由中标人开具发票送至采购人进行结算。开具发票明细需为“米、面、油”或“日用品”。</w:t>
      </w:r>
    </w:p>
    <w:p w14:paraId="0764130A">
      <w:pPr>
        <w:spacing w:line="360" w:lineRule="auto"/>
        <w:ind w:firstLine="560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3.为方便职工购买，中标人须一次性提供“商品提货券”，职工在规定的期限内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  <w:t>（供券之日起不低于12个月，提货劵需注明开始及截止时间）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持券自行提货。职工所采购的物品除米面油及日用品外，还可选购中标单位超市内其它与节日相关的日用品。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bidi="ar"/>
        </w:rPr>
        <w:t>如提货劵当年过期了，可申请办理延期使用，每个月办理一次。</w:t>
      </w:r>
    </w:p>
    <w:p w14:paraId="21BA7490">
      <w:pPr>
        <w:spacing w:line="360" w:lineRule="auto"/>
        <w:ind w:firstLine="560"/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4.投标人所供所有商品必须为原品牌正品，保证正规进货渠道，确保产品真实和质量，非贴牌商品，无假货；否则采购人有权解除合同，造成的一切损失均由投标人自行负责并承担相关法律责任。</w:t>
      </w:r>
    </w:p>
    <w:p w14:paraId="04740231">
      <w:pPr>
        <w:spacing w:line="360" w:lineRule="auto"/>
        <w:ind w:firstLine="560"/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5.“商品提货券”享受超市即时所有商品价格优惠活动。</w:t>
      </w:r>
    </w:p>
    <w:p w14:paraId="6DDE4A26">
      <w:pPr>
        <w:pStyle w:val="5"/>
        <w:outlineLvl w:val="1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、报价要求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32440401">
      <w:pPr>
        <w:spacing w:line="360" w:lineRule="auto"/>
        <w:ind w:firstLine="560"/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bidi="ar"/>
        </w:rPr>
        <w:t>本项目报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en-US" w:eastAsia="zh-CN" w:bidi="ar"/>
        </w:rPr>
        <w:t>单份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bidi="ar"/>
        </w:rPr>
        <w:t>提货券的总优惠额度，如：投标人每份提货券的优惠额度为人民币10元，则中标人应提供每份人民币110元的提货券，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en-US" w:eastAsia="zh-CN" w:bidi="ar"/>
        </w:rPr>
        <w:t>此处的110元即为单份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bidi="ar"/>
        </w:rPr>
        <w:t>提货券的总优惠额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en-US" w:eastAsia="zh-CN" w:bidi="ar"/>
        </w:rPr>
        <w:t>度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eastAsia="zh-CN" w:bidi="ar"/>
        </w:rPr>
        <w:t>，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en-US" w:eastAsia="zh-CN" w:bidi="ar"/>
        </w:rPr>
        <w:t>招标人按100元每份金额据实结算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bidi="ar"/>
        </w:rPr>
        <w:t>。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该项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报价包含但不限于运输劳务、利润、税金、政策性文件规定及合同包含的所有风险、责任、义务等，即为完成招标文件要求的供货内容所包含的一切应有费用，采购人后期不再追加费用，投标人自行考虑投标风险，投标分项报价表中须明确列出所投产品所含货物名称、品牌、型号规格、原产地及生产厂商，否则可能导致投标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D7332"/>
    <w:rsid w:val="063D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paragraph" w:customStyle="1" w:styleId="6">
    <w:name w:val="D&amp;L"/>
    <w:basedOn w:val="2"/>
    <w:autoRedefine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2025-11-19T08:32:00Z</dcterms:created>
  <dc:creator>14353</dc:creator>
  <cp:lastModifiedBy>14353</cp:lastModifiedBy>
  <dcterms:modified xsi:type="dcterms:W3CDTF">2025-11-19T08:32:51Z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40F202EE799548F6871E43FF065A804C_11</vt:lpwstr>
  </property>
  <property fmtid="{D5CDD505-2E9C-101B-9397-08002B2CF9AE}" pid="4" name="KSOTemplateDocerSaveRecord">
    <vt:lpwstr>eyJoZGlkIjoiN2YzNjBkOTgyNWQ1YTMxYzM3MzMwNWFiODNmOWIzYWMiLCJ1c2VySWQiOiIzMDY4OTk3NTIifQ==</vt:lpwstr>
  </property>
</Properties>
</file>