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95A998">
      <w:pPr>
        <w:keepNext w:val="0"/>
        <w:keepLines w:val="0"/>
        <w:pageBreakBefore w:val="0"/>
        <w:kinsoku/>
        <w:wordWrap w:val="0"/>
        <w:overflowPunct/>
        <w:topLinePunct w:val="0"/>
        <w:bidi w:val="0"/>
        <w:spacing w:line="360" w:lineRule="auto"/>
        <w:jc w:val="center"/>
        <w:textAlignment w:val="auto"/>
        <w:outlineLvl w:val="1"/>
        <w:rPr>
          <w:rFonts w:hint="eastAsia" w:ascii="仿宋" w:hAnsi="仿宋" w:eastAsia="仿宋" w:cs="仿宋"/>
          <w:b/>
          <w:bCs/>
          <w:kern w:val="44"/>
          <w:sz w:val="44"/>
          <w:szCs w:val="44"/>
          <w:highlight w:val="none"/>
          <w:lang w:val="en-US" w:eastAsia="zh-CN" w:bidi="ar-SA"/>
        </w:rPr>
      </w:pPr>
      <w:bookmarkStart w:id="0" w:name="_Toc10927"/>
      <w:r>
        <w:rPr>
          <w:rFonts w:hint="eastAsia" w:ascii="仿宋" w:hAnsi="仿宋" w:eastAsia="仿宋" w:cs="仿宋"/>
          <w:b/>
          <w:bCs/>
          <w:kern w:val="44"/>
          <w:sz w:val="44"/>
          <w:szCs w:val="44"/>
          <w:highlight w:val="none"/>
          <w:lang w:val="en-US" w:eastAsia="zh-CN" w:bidi="ar-SA"/>
        </w:rPr>
        <w:t>第三章  采购需求</w:t>
      </w:r>
      <w:bookmarkEnd w:id="0"/>
    </w:p>
    <w:p w14:paraId="722C97D6">
      <w:pPr>
        <w:keepNext w:val="0"/>
        <w:keepLines w:val="0"/>
        <w:pageBreakBefore w:val="0"/>
        <w:kinsoku/>
        <w:wordWrap w:val="0"/>
        <w:overflowPunct/>
        <w:topLinePunct w:val="0"/>
        <w:bidi w:val="0"/>
        <w:spacing w:line="360" w:lineRule="auto"/>
        <w:textAlignment w:val="auto"/>
        <w:rPr>
          <w:rFonts w:hint="eastAsia" w:ascii="仿宋" w:hAnsi="仿宋" w:eastAsia="仿宋" w:cs="仿宋"/>
          <w:b/>
          <w:sz w:val="24"/>
          <w:highlight w:val="none"/>
        </w:rPr>
      </w:pPr>
      <w:r>
        <w:rPr>
          <w:rFonts w:hint="eastAsia" w:ascii="仿宋" w:hAnsi="仿宋" w:eastAsia="仿宋" w:cs="仿宋"/>
          <w:b/>
          <w:sz w:val="24"/>
          <w:highlight w:val="none"/>
        </w:rPr>
        <w:t>前注：</w:t>
      </w:r>
    </w:p>
    <w:p w14:paraId="7DF5740E">
      <w:pPr>
        <w:keepNext w:val="0"/>
        <w:keepLines w:val="0"/>
        <w:pageBreakBefore w:val="0"/>
        <w:numPr>
          <w:ilvl w:val="-1"/>
          <w:numId w:val="0"/>
        </w:numPr>
        <w:kinsoku/>
        <w:wordWrap/>
        <w:overflowPunct/>
        <w:topLinePunct w:val="0"/>
        <w:bidi w:val="0"/>
        <w:spacing w:line="360" w:lineRule="auto"/>
        <w:ind w:firstLine="437"/>
        <w:textAlignment w:val="auto"/>
        <w:rPr>
          <w:rFonts w:hint="eastAsia" w:ascii="仿宋" w:hAnsi="仿宋" w:eastAsia="仿宋" w:cs="仿宋"/>
          <w:bCs/>
          <w:sz w:val="24"/>
          <w:highlight w:val="none"/>
        </w:rPr>
      </w:pPr>
      <w:r>
        <w:rPr>
          <w:rFonts w:hint="eastAsia" w:ascii="仿宋" w:hAnsi="仿宋" w:eastAsia="仿宋" w:cs="仿宋"/>
          <w:bCs/>
          <w:sz w:val="24"/>
          <w:highlight w:val="none"/>
          <w:lang w:val="en-US" w:eastAsia="zh-CN"/>
        </w:rPr>
        <w:t>1.</w:t>
      </w:r>
      <w:r>
        <w:rPr>
          <w:rFonts w:hint="eastAsia" w:ascii="仿宋" w:hAnsi="仿宋" w:eastAsia="仿宋" w:cs="仿宋"/>
          <w:bCs/>
          <w:sz w:val="24"/>
          <w:highlight w:val="none"/>
        </w:rPr>
        <w:t>本说明中提出的技术方案仅为参考，如无明确限制，供应商可以进行优化，提供满足用户实际需要的更优（或者性能实质上不低于的）</w:t>
      </w:r>
      <w:r>
        <w:rPr>
          <w:rFonts w:hint="eastAsia" w:ascii="仿宋" w:hAnsi="仿宋" w:eastAsia="仿宋" w:cs="仿宋"/>
          <w:bCs/>
          <w:sz w:val="24"/>
          <w:highlight w:val="none"/>
          <w:lang w:val="en-US" w:eastAsia="zh-CN"/>
        </w:rPr>
        <w:t>技术</w:t>
      </w:r>
      <w:r>
        <w:rPr>
          <w:rFonts w:hint="eastAsia" w:ascii="仿宋" w:hAnsi="仿宋" w:eastAsia="仿宋" w:cs="仿宋"/>
          <w:bCs/>
          <w:sz w:val="24"/>
          <w:highlight w:val="none"/>
        </w:rPr>
        <w:t>方案，且此方案须经</w:t>
      </w:r>
      <w:r>
        <w:rPr>
          <w:rFonts w:hint="eastAsia" w:ascii="仿宋" w:hAnsi="仿宋" w:eastAsia="仿宋" w:cs="仿宋"/>
          <w:bCs/>
          <w:sz w:val="24"/>
          <w:highlight w:val="none"/>
          <w:lang w:val="en-US" w:eastAsia="zh-CN"/>
        </w:rPr>
        <w:t>询比</w:t>
      </w:r>
      <w:r>
        <w:rPr>
          <w:rFonts w:hint="eastAsia" w:ascii="仿宋" w:hAnsi="仿宋" w:eastAsia="仿宋" w:cs="仿宋"/>
          <w:bCs/>
          <w:sz w:val="24"/>
          <w:highlight w:val="none"/>
        </w:rPr>
        <w:t>小组评审认可。</w:t>
      </w:r>
    </w:p>
    <w:p w14:paraId="60DB40D0">
      <w:pPr>
        <w:keepNext w:val="0"/>
        <w:keepLines w:val="0"/>
        <w:pageBreakBefore w:val="0"/>
        <w:numPr>
          <w:ilvl w:val="-1"/>
          <w:numId w:val="0"/>
        </w:numPr>
        <w:kinsoku/>
        <w:wordWrap/>
        <w:overflowPunct/>
        <w:topLinePunct w:val="0"/>
        <w:bidi w:val="0"/>
        <w:spacing w:line="360" w:lineRule="auto"/>
        <w:ind w:firstLine="437"/>
        <w:textAlignment w:val="auto"/>
        <w:rPr>
          <w:rFonts w:hint="eastAsia" w:ascii="仿宋" w:hAnsi="仿宋" w:eastAsia="仿宋" w:cs="仿宋"/>
          <w:b/>
          <w:bCs w:val="0"/>
          <w:color w:val="FF0000"/>
          <w:sz w:val="24"/>
          <w:highlight w:val="none"/>
        </w:rPr>
      </w:pPr>
      <w:r>
        <w:rPr>
          <w:rFonts w:hint="eastAsia" w:ascii="仿宋" w:hAnsi="仿宋" w:eastAsia="仿宋" w:cs="仿宋"/>
          <w:b/>
          <w:bCs w:val="0"/>
          <w:i w:val="0"/>
          <w:iCs w:val="0"/>
          <w:color w:val="FF0000"/>
          <w:kern w:val="2"/>
          <w:sz w:val="24"/>
          <w:szCs w:val="20"/>
          <w:highlight w:val="none"/>
          <w:u w:val="none"/>
          <w:lang w:val="en-US" w:eastAsia="zh-CN" w:bidi="ar"/>
        </w:rPr>
        <w:t>2.采购需求不允许负偏离，负偏离或未响应视为不响应，作无效响应处理。</w:t>
      </w:r>
    </w:p>
    <w:p w14:paraId="27379C2C">
      <w:pPr>
        <w:wordWrap w:val="0"/>
        <w:spacing w:line="360" w:lineRule="auto"/>
        <w:ind w:firstLine="437"/>
        <w:jc w:val="left"/>
        <w:rPr>
          <w:rFonts w:hint="eastAsia" w:ascii="仿宋" w:hAnsi="仿宋" w:eastAsia="仿宋" w:cs="仿宋"/>
          <w:b/>
          <w:sz w:val="28"/>
          <w:szCs w:val="28"/>
          <w:highlight w:val="none"/>
        </w:rPr>
      </w:pPr>
      <w:r>
        <w:rPr>
          <w:rFonts w:hint="eastAsia" w:ascii="仿宋" w:hAnsi="仿宋" w:eastAsia="仿宋" w:cs="仿宋"/>
          <w:b/>
          <w:sz w:val="28"/>
          <w:szCs w:val="28"/>
          <w:highlight w:val="none"/>
          <w:lang w:val="en-US" w:eastAsia="zh-CN"/>
        </w:rPr>
        <w:t>第2包：</w:t>
      </w:r>
      <w:r>
        <w:rPr>
          <w:rFonts w:hint="eastAsia" w:ascii="仿宋" w:hAnsi="仿宋" w:eastAsia="仿宋" w:cs="仿宋"/>
          <w:b/>
          <w:sz w:val="28"/>
          <w:szCs w:val="28"/>
          <w:highlight w:val="none"/>
          <w:lang w:eastAsia="zh-CN"/>
        </w:rPr>
        <w:t>4季度常规试剂耗材</w:t>
      </w:r>
      <w:r>
        <w:rPr>
          <w:rFonts w:hint="eastAsia" w:ascii="仿宋" w:hAnsi="仿宋" w:eastAsia="仿宋" w:cs="仿宋"/>
          <w:b/>
          <w:sz w:val="28"/>
          <w:szCs w:val="28"/>
          <w:highlight w:val="none"/>
          <w:lang w:val="en-US" w:eastAsia="zh-CN"/>
        </w:rPr>
        <w:t>2</w:t>
      </w:r>
    </w:p>
    <w:p w14:paraId="4CE849F4">
      <w:pPr>
        <w:wordWrap w:val="0"/>
        <w:spacing w:line="360" w:lineRule="auto"/>
        <w:ind w:firstLine="437"/>
        <w:jc w:val="left"/>
        <w:rPr>
          <w:rFonts w:hint="eastAsia" w:ascii="仿宋" w:hAnsi="仿宋" w:eastAsia="仿宋" w:cs="仿宋"/>
          <w:b/>
          <w:sz w:val="28"/>
          <w:szCs w:val="28"/>
          <w:highlight w:val="none"/>
        </w:rPr>
      </w:pPr>
      <w:r>
        <w:rPr>
          <w:rFonts w:hint="eastAsia" w:ascii="仿宋" w:hAnsi="仿宋" w:eastAsia="仿宋" w:cs="仿宋"/>
          <w:b/>
          <w:sz w:val="28"/>
          <w:szCs w:val="28"/>
          <w:highlight w:val="none"/>
        </w:rPr>
        <w:t>一、采购需求前附表</w:t>
      </w:r>
    </w:p>
    <w:tbl>
      <w:tblPr>
        <w:tblStyle w:val="3"/>
        <w:tblW w:w="86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2054"/>
        <w:gridCol w:w="5544"/>
      </w:tblGrid>
      <w:tr w14:paraId="1DBB2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vAlign w:val="center"/>
          </w:tcPr>
          <w:p w14:paraId="1E146674">
            <w:pPr>
              <w:pStyle w:val="5"/>
              <w:pBdr>
                <w:bottom w:val="none" w:color="auto" w:sz="0" w:space="0"/>
              </w:pBdr>
              <w:tabs>
                <w:tab w:val="clear" w:pos="4153"/>
                <w:tab w:val="clear" w:pos="8306"/>
              </w:tabs>
              <w:wordWrap w:val="0"/>
              <w:adjustRightInd/>
              <w:spacing w:line="240" w:lineRule="auto"/>
              <w:textAlignment w:val="auto"/>
              <w:rPr>
                <w:rFonts w:hint="eastAsia" w:ascii="仿宋" w:hAnsi="仿宋" w:eastAsia="仿宋" w:cs="仿宋"/>
                <w:b/>
                <w:kern w:val="2"/>
                <w:highlight w:val="none"/>
              </w:rPr>
            </w:pPr>
            <w:r>
              <w:rPr>
                <w:rFonts w:hint="eastAsia" w:ascii="仿宋" w:hAnsi="仿宋" w:eastAsia="仿宋" w:cs="仿宋"/>
                <w:b/>
                <w:kern w:val="2"/>
                <w:highlight w:val="none"/>
              </w:rPr>
              <w:t>序号</w:t>
            </w:r>
          </w:p>
        </w:tc>
        <w:tc>
          <w:tcPr>
            <w:tcW w:w="2054" w:type="dxa"/>
            <w:vAlign w:val="center"/>
          </w:tcPr>
          <w:p w14:paraId="7E7F7D7D">
            <w:pPr>
              <w:pStyle w:val="6"/>
              <w:widowControl w:val="0"/>
              <w:wordWrap w:val="0"/>
              <w:spacing w:before="0" w:beforeAutospacing="0" w:after="0" w:afterAutospacing="0" w:line="360" w:lineRule="auto"/>
              <w:rPr>
                <w:rFonts w:hint="eastAsia" w:ascii="仿宋" w:hAnsi="仿宋" w:eastAsia="仿宋" w:cs="仿宋"/>
                <w:bCs w:val="0"/>
                <w:sz w:val="24"/>
                <w:highlight w:val="none"/>
              </w:rPr>
            </w:pPr>
            <w:r>
              <w:rPr>
                <w:rFonts w:hint="eastAsia" w:ascii="仿宋" w:hAnsi="仿宋" w:eastAsia="仿宋" w:cs="仿宋"/>
                <w:bCs w:val="0"/>
                <w:sz w:val="24"/>
                <w:highlight w:val="none"/>
              </w:rPr>
              <w:t>条款名称</w:t>
            </w:r>
          </w:p>
        </w:tc>
        <w:tc>
          <w:tcPr>
            <w:tcW w:w="5544" w:type="dxa"/>
            <w:vAlign w:val="center"/>
          </w:tcPr>
          <w:p w14:paraId="31523B8F">
            <w:pPr>
              <w:pStyle w:val="6"/>
              <w:widowControl w:val="0"/>
              <w:wordWrap w:val="0"/>
              <w:spacing w:before="0" w:beforeAutospacing="0" w:after="0" w:afterAutospacing="0" w:line="360" w:lineRule="auto"/>
              <w:rPr>
                <w:rFonts w:hint="eastAsia" w:ascii="仿宋" w:hAnsi="仿宋" w:eastAsia="仿宋" w:cs="仿宋"/>
                <w:bCs w:val="0"/>
                <w:sz w:val="24"/>
                <w:highlight w:val="none"/>
              </w:rPr>
            </w:pPr>
            <w:r>
              <w:rPr>
                <w:rFonts w:hint="eastAsia" w:ascii="仿宋" w:hAnsi="仿宋" w:eastAsia="仿宋" w:cs="仿宋"/>
                <w:bCs w:val="0"/>
                <w:sz w:val="24"/>
                <w:highlight w:val="none"/>
              </w:rPr>
              <w:t>内容、说明与要求</w:t>
            </w:r>
          </w:p>
        </w:tc>
      </w:tr>
      <w:tr w14:paraId="35086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vAlign w:val="center"/>
          </w:tcPr>
          <w:p w14:paraId="56A5D0FF">
            <w:pPr>
              <w:pStyle w:val="5"/>
              <w:pBdr>
                <w:bottom w:val="none" w:color="auto" w:sz="0" w:space="0"/>
              </w:pBdr>
              <w:tabs>
                <w:tab w:val="clear" w:pos="4153"/>
                <w:tab w:val="clear" w:pos="8306"/>
              </w:tabs>
              <w:wordWrap w:val="0"/>
              <w:adjustRightInd/>
              <w:spacing w:line="240" w:lineRule="auto"/>
              <w:textAlignment w:val="auto"/>
              <w:rPr>
                <w:rFonts w:hint="eastAsia" w:ascii="仿宋" w:hAnsi="仿宋" w:eastAsia="仿宋" w:cs="仿宋"/>
                <w:bCs/>
                <w:kern w:val="2"/>
                <w:highlight w:val="none"/>
              </w:rPr>
            </w:pPr>
            <w:r>
              <w:rPr>
                <w:rFonts w:hint="eastAsia" w:ascii="仿宋" w:hAnsi="仿宋" w:eastAsia="仿宋" w:cs="仿宋"/>
                <w:bCs/>
                <w:kern w:val="2"/>
                <w:highlight w:val="none"/>
              </w:rPr>
              <w:t>1</w:t>
            </w:r>
          </w:p>
        </w:tc>
        <w:tc>
          <w:tcPr>
            <w:tcW w:w="2054" w:type="dxa"/>
            <w:vAlign w:val="center"/>
          </w:tcPr>
          <w:p w14:paraId="0646B3B8">
            <w:pPr>
              <w:pStyle w:val="6"/>
              <w:widowControl w:val="0"/>
              <w:spacing w:before="0" w:beforeAutospacing="0" w:after="0" w:afterAutospacing="0" w:line="360" w:lineRule="auto"/>
              <w:rPr>
                <w:rFonts w:hint="eastAsia" w:ascii="仿宋" w:hAnsi="仿宋" w:eastAsia="仿宋" w:cs="仿宋"/>
                <w:b w:val="0"/>
                <w:sz w:val="24"/>
                <w:highlight w:val="none"/>
              </w:rPr>
            </w:pPr>
            <w:r>
              <w:rPr>
                <w:rFonts w:hint="eastAsia" w:ascii="仿宋" w:hAnsi="仿宋" w:eastAsia="仿宋" w:cs="仿宋"/>
                <w:b w:val="0"/>
                <w:bCs w:val="0"/>
                <w:kern w:val="2"/>
                <w:sz w:val="24"/>
                <w:szCs w:val="20"/>
                <w:highlight w:val="none"/>
              </w:rPr>
              <w:t>付款方式</w:t>
            </w:r>
          </w:p>
        </w:tc>
        <w:tc>
          <w:tcPr>
            <w:tcW w:w="5544" w:type="dxa"/>
            <w:vAlign w:val="center"/>
          </w:tcPr>
          <w:p w14:paraId="00E48824">
            <w:pPr>
              <w:pStyle w:val="6"/>
              <w:widowControl w:val="0"/>
              <w:spacing w:before="0" w:beforeAutospacing="0" w:after="0" w:afterAutospacing="0"/>
              <w:jc w:val="both"/>
              <w:rPr>
                <w:rFonts w:hint="eastAsia" w:ascii="仿宋" w:hAnsi="仿宋" w:eastAsia="仿宋" w:cs="仿宋"/>
                <w:b w:val="0"/>
                <w:sz w:val="24"/>
                <w:highlight w:val="none"/>
                <w:u w:val="single"/>
              </w:rPr>
            </w:pPr>
            <w:r>
              <w:rPr>
                <w:rFonts w:hint="eastAsia" w:ascii="仿宋" w:hAnsi="仿宋" w:eastAsia="仿宋" w:cs="仿宋"/>
                <w:b w:val="0"/>
                <w:sz w:val="24"/>
                <w:highlight w:val="none"/>
                <w:u w:val="none"/>
                <w:lang w:eastAsia="zh-CN"/>
              </w:rPr>
              <w:t>验收合格后一次性付款。</w:t>
            </w:r>
          </w:p>
        </w:tc>
      </w:tr>
      <w:tr w14:paraId="74029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vAlign w:val="center"/>
          </w:tcPr>
          <w:p w14:paraId="55E4DD78">
            <w:pPr>
              <w:pStyle w:val="5"/>
              <w:pBdr>
                <w:bottom w:val="none" w:color="auto" w:sz="0" w:space="0"/>
              </w:pBdr>
              <w:tabs>
                <w:tab w:val="clear" w:pos="4153"/>
                <w:tab w:val="clear" w:pos="8306"/>
              </w:tabs>
              <w:wordWrap w:val="0"/>
              <w:adjustRightInd/>
              <w:spacing w:line="240" w:lineRule="auto"/>
              <w:textAlignment w:val="auto"/>
              <w:rPr>
                <w:rFonts w:hint="eastAsia" w:ascii="仿宋" w:hAnsi="仿宋" w:eastAsia="仿宋" w:cs="仿宋"/>
                <w:bCs/>
                <w:kern w:val="2"/>
                <w:highlight w:val="none"/>
              </w:rPr>
            </w:pPr>
            <w:r>
              <w:rPr>
                <w:rFonts w:hint="eastAsia" w:ascii="仿宋" w:hAnsi="仿宋" w:eastAsia="仿宋" w:cs="仿宋"/>
                <w:bCs/>
                <w:kern w:val="2"/>
                <w:highlight w:val="none"/>
              </w:rPr>
              <w:t>2</w:t>
            </w:r>
          </w:p>
        </w:tc>
        <w:tc>
          <w:tcPr>
            <w:tcW w:w="2054" w:type="dxa"/>
            <w:vAlign w:val="center"/>
          </w:tcPr>
          <w:p w14:paraId="0C816D81">
            <w:pPr>
              <w:pStyle w:val="6"/>
              <w:widowControl w:val="0"/>
              <w:spacing w:before="0" w:beforeAutospacing="0" w:after="0" w:afterAutospacing="0" w:line="360" w:lineRule="auto"/>
              <w:rPr>
                <w:rFonts w:hint="eastAsia" w:ascii="仿宋" w:hAnsi="仿宋" w:eastAsia="仿宋" w:cs="仿宋"/>
                <w:b w:val="0"/>
                <w:sz w:val="24"/>
                <w:highlight w:val="none"/>
              </w:rPr>
            </w:pPr>
            <w:r>
              <w:rPr>
                <w:rFonts w:hint="eastAsia" w:ascii="仿宋" w:hAnsi="仿宋" w:eastAsia="仿宋" w:cs="仿宋"/>
                <w:b w:val="0"/>
                <w:bCs w:val="0"/>
                <w:kern w:val="2"/>
                <w:sz w:val="24"/>
                <w:szCs w:val="20"/>
                <w:highlight w:val="none"/>
              </w:rPr>
              <w:t>供货及安装地点</w:t>
            </w:r>
          </w:p>
        </w:tc>
        <w:tc>
          <w:tcPr>
            <w:tcW w:w="5544" w:type="dxa"/>
            <w:vAlign w:val="center"/>
          </w:tcPr>
          <w:p w14:paraId="236CE58B">
            <w:pPr>
              <w:pStyle w:val="6"/>
              <w:widowControl w:val="0"/>
              <w:spacing w:before="0" w:beforeAutospacing="0" w:after="0" w:afterAutospacing="0"/>
              <w:jc w:val="both"/>
              <w:rPr>
                <w:rFonts w:hint="eastAsia" w:ascii="仿宋" w:hAnsi="仿宋" w:eastAsia="仿宋" w:cs="仿宋"/>
                <w:b w:val="0"/>
                <w:sz w:val="24"/>
                <w:highlight w:val="none"/>
              </w:rPr>
            </w:pPr>
            <w:r>
              <w:rPr>
                <w:rFonts w:hint="eastAsia" w:ascii="仿宋" w:hAnsi="仿宋" w:eastAsia="仿宋" w:cs="仿宋"/>
                <w:b w:val="0"/>
                <w:sz w:val="24"/>
                <w:szCs w:val="24"/>
                <w:highlight w:val="none"/>
              </w:rPr>
              <w:t>安徽省疾病预防控制中心或采购人指定地点</w:t>
            </w:r>
          </w:p>
        </w:tc>
      </w:tr>
      <w:tr w14:paraId="1065B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vAlign w:val="center"/>
          </w:tcPr>
          <w:p w14:paraId="36F16E48">
            <w:pPr>
              <w:pStyle w:val="5"/>
              <w:pBdr>
                <w:bottom w:val="none" w:color="auto" w:sz="0" w:space="0"/>
              </w:pBdr>
              <w:tabs>
                <w:tab w:val="clear" w:pos="4153"/>
                <w:tab w:val="clear" w:pos="8306"/>
              </w:tabs>
              <w:wordWrap w:val="0"/>
              <w:adjustRightInd/>
              <w:spacing w:line="240" w:lineRule="auto"/>
              <w:textAlignment w:val="auto"/>
              <w:rPr>
                <w:rFonts w:hint="eastAsia" w:ascii="仿宋" w:hAnsi="仿宋" w:eastAsia="仿宋" w:cs="仿宋"/>
                <w:bCs/>
                <w:kern w:val="2"/>
                <w:highlight w:val="none"/>
              </w:rPr>
            </w:pPr>
            <w:r>
              <w:rPr>
                <w:rFonts w:hint="eastAsia" w:ascii="仿宋" w:hAnsi="仿宋" w:eastAsia="仿宋" w:cs="仿宋"/>
                <w:bCs/>
                <w:kern w:val="2"/>
                <w:highlight w:val="none"/>
              </w:rPr>
              <w:t>3</w:t>
            </w:r>
          </w:p>
        </w:tc>
        <w:tc>
          <w:tcPr>
            <w:tcW w:w="2054" w:type="dxa"/>
            <w:vAlign w:val="center"/>
          </w:tcPr>
          <w:p w14:paraId="7CB4D5CE">
            <w:pPr>
              <w:pStyle w:val="6"/>
              <w:widowControl w:val="0"/>
              <w:spacing w:before="0" w:beforeAutospacing="0" w:after="0" w:afterAutospacing="0" w:line="360" w:lineRule="auto"/>
              <w:rPr>
                <w:rFonts w:hint="eastAsia" w:ascii="仿宋" w:hAnsi="仿宋" w:eastAsia="仿宋" w:cs="仿宋"/>
                <w:b w:val="0"/>
                <w:sz w:val="24"/>
                <w:highlight w:val="none"/>
              </w:rPr>
            </w:pPr>
            <w:r>
              <w:rPr>
                <w:rFonts w:hint="eastAsia" w:ascii="仿宋" w:hAnsi="仿宋" w:eastAsia="仿宋" w:cs="仿宋"/>
                <w:b w:val="0"/>
                <w:bCs w:val="0"/>
                <w:kern w:val="2"/>
                <w:sz w:val="24"/>
                <w:szCs w:val="20"/>
                <w:highlight w:val="none"/>
              </w:rPr>
              <w:t>供货及安装期限</w:t>
            </w:r>
          </w:p>
        </w:tc>
        <w:tc>
          <w:tcPr>
            <w:tcW w:w="5544" w:type="dxa"/>
            <w:vAlign w:val="center"/>
          </w:tcPr>
          <w:p w14:paraId="46FA2B23">
            <w:pPr>
              <w:pStyle w:val="6"/>
              <w:widowControl w:val="0"/>
              <w:spacing w:before="0" w:beforeAutospacing="0" w:after="0" w:afterAutospacing="0"/>
              <w:jc w:val="both"/>
              <w:rPr>
                <w:rFonts w:hint="eastAsia" w:ascii="仿宋" w:hAnsi="仿宋" w:eastAsia="仿宋" w:cs="仿宋"/>
                <w:b w:val="0"/>
                <w:sz w:val="24"/>
                <w:highlight w:val="none"/>
              </w:rPr>
            </w:pPr>
            <w:r>
              <w:rPr>
                <w:rFonts w:hint="eastAsia" w:ascii="仿宋" w:hAnsi="仿宋" w:eastAsia="仿宋" w:cs="仿宋"/>
                <w:b w:val="0"/>
                <w:sz w:val="24"/>
                <w:szCs w:val="24"/>
                <w:highlight w:val="none"/>
                <w:lang w:eastAsia="zh-CN"/>
              </w:rPr>
              <w:t>合同签订生效后，须在</w:t>
            </w:r>
            <w:r>
              <w:rPr>
                <w:rFonts w:hint="eastAsia" w:ascii="仿宋" w:hAnsi="仿宋" w:eastAsia="仿宋" w:cs="仿宋"/>
                <w:b w:val="0"/>
                <w:sz w:val="24"/>
                <w:szCs w:val="24"/>
                <w:highlight w:val="none"/>
                <w:lang w:val="en-US" w:eastAsia="zh-CN"/>
              </w:rPr>
              <w:t>12月15日</w:t>
            </w:r>
            <w:r>
              <w:rPr>
                <w:rFonts w:hint="eastAsia" w:ascii="仿宋" w:hAnsi="仿宋" w:eastAsia="仿宋" w:cs="仿宋"/>
                <w:b w:val="0"/>
                <w:sz w:val="24"/>
                <w:szCs w:val="24"/>
                <w:highlight w:val="none"/>
                <w:lang w:eastAsia="zh-CN"/>
              </w:rPr>
              <w:t>前完成全部供货</w:t>
            </w:r>
            <w:r>
              <w:rPr>
                <w:rFonts w:hint="eastAsia" w:ascii="仿宋" w:hAnsi="仿宋" w:eastAsia="仿宋" w:cs="仿宋"/>
                <w:b w:val="0"/>
                <w:sz w:val="24"/>
                <w:szCs w:val="24"/>
                <w:highlight w:val="none"/>
              </w:rPr>
              <w:t>。</w:t>
            </w:r>
          </w:p>
        </w:tc>
      </w:tr>
      <w:tr w14:paraId="42D51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vAlign w:val="center"/>
          </w:tcPr>
          <w:p w14:paraId="3C3D66A7">
            <w:pPr>
              <w:pStyle w:val="5"/>
              <w:pBdr>
                <w:bottom w:val="none" w:color="auto" w:sz="0" w:space="0"/>
              </w:pBdr>
              <w:tabs>
                <w:tab w:val="clear" w:pos="4153"/>
                <w:tab w:val="clear" w:pos="8306"/>
              </w:tabs>
              <w:wordWrap w:val="0"/>
              <w:adjustRightInd/>
              <w:spacing w:line="240" w:lineRule="auto"/>
              <w:textAlignment w:val="auto"/>
              <w:rPr>
                <w:rFonts w:hint="eastAsia" w:ascii="仿宋" w:hAnsi="仿宋" w:eastAsia="仿宋" w:cs="仿宋"/>
                <w:bCs/>
                <w:kern w:val="2"/>
                <w:highlight w:val="none"/>
                <w:lang w:val="en-US" w:eastAsia="zh-CN"/>
              </w:rPr>
            </w:pPr>
            <w:r>
              <w:rPr>
                <w:rFonts w:hint="eastAsia" w:ascii="仿宋" w:hAnsi="仿宋" w:eastAsia="仿宋" w:cs="仿宋"/>
                <w:bCs/>
                <w:kern w:val="2"/>
                <w:highlight w:val="none"/>
                <w:lang w:val="en-US" w:eastAsia="zh-CN"/>
              </w:rPr>
              <w:t>4</w:t>
            </w:r>
          </w:p>
        </w:tc>
        <w:tc>
          <w:tcPr>
            <w:tcW w:w="2054" w:type="dxa"/>
            <w:vAlign w:val="center"/>
          </w:tcPr>
          <w:p w14:paraId="400BADED">
            <w:pPr>
              <w:pStyle w:val="6"/>
              <w:widowControl w:val="0"/>
              <w:spacing w:before="0" w:beforeAutospacing="0" w:after="0" w:afterAutospacing="0" w:line="360" w:lineRule="auto"/>
              <w:rPr>
                <w:rFonts w:hint="eastAsia" w:ascii="仿宋" w:hAnsi="仿宋" w:eastAsia="仿宋" w:cs="仿宋"/>
                <w:b w:val="0"/>
                <w:bCs w:val="0"/>
                <w:kern w:val="2"/>
                <w:sz w:val="24"/>
                <w:szCs w:val="20"/>
                <w:highlight w:val="none"/>
                <w:lang w:val="en-US" w:eastAsia="zh-CN"/>
              </w:rPr>
            </w:pPr>
            <w:r>
              <w:rPr>
                <w:rFonts w:hint="eastAsia" w:ascii="仿宋" w:hAnsi="仿宋" w:eastAsia="仿宋" w:cs="仿宋"/>
                <w:b w:val="0"/>
                <w:bCs w:val="0"/>
                <w:kern w:val="2"/>
                <w:sz w:val="24"/>
                <w:szCs w:val="20"/>
                <w:highlight w:val="none"/>
                <w:lang w:val="en-US" w:eastAsia="zh-CN"/>
              </w:rPr>
              <w:t>效期</w:t>
            </w:r>
          </w:p>
        </w:tc>
        <w:tc>
          <w:tcPr>
            <w:tcW w:w="5544" w:type="dxa"/>
            <w:vAlign w:val="center"/>
          </w:tcPr>
          <w:p w14:paraId="2C2DEA6C">
            <w:pPr>
              <w:pStyle w:val="6"/>
              <w:widowControl w:val="0"/>
              <w:spacing w:before="0" w:beforeAutospacing="0" w:after="0" w:afterAutospacing="0"/>
              <w:jc w:val="both"/>
              <w:rPr>
                <w:rFonts w:hint="eastAsia" w:ascii="仿宋" w:hAnsi="仿宋" w:eastAsia="仿宋" w:cs="仿宋"/>
                <w:b w:val="0"/>
                <w:sz w:val="24"/>
                <w:highlight w:val="none"/>
              </w:rPr>
            </w:pPr>
            <w:r>
              <w:rPr>
                <w:rFonts w:hint="eastAsia" w:ascii="仿宋" w:hAnsi="仿宋" w:eastAsia="仿宋" w:cs="仿宋"/>
                <w:b w:val="0"/>
                <w:sz w:val="24"/>
                <w:szCs w:val="24"/>
                <w:highlight w:val="none"/>
              </w:rPr>
              <w:t>原则上要求验收合格之日起至少总有效期三分之二以上（</w:t>
            </w:r>
            <w:r>
              <w:rPr>
                <w:rFonts w:hint="eastAsia" w:ascii="仿宋" w:hAnsi="仿宋" w:eastAsia="仿宋" w:cs="仿宋"/>
                <w:bCs w:val="0"/>
                <w:sz w:val="24"/>
                <w:szCs w:val="24"/>
                <w:highlight w:val="none"/>
              </w:rPr>
              <w:t>如货物需求表中另有要求以货物需求表为准</w:t>
            </w:r>
            <w:r>
              <w:rPr>
                <w:rFonts w:hint="eastAsia" w:ascii="仿宋" w:hAnsi="仿宋" w:eastAsia="仿宋" w:cs="仿宋"/>
                <w:b w:val="0"/>
                <w:sz w:val="24"/>
                <w:szCs w:val="24"/>
                <w:highlight w:val="none"/>
              </w:rPr>
              <w:t>）</w:t>
            </w:r>
          </w:p>
        </w:tc>
      </w:tr>
    </w:tbl>
    <w:p w14:paraId="6FCBC310">
      <w:pPr>
        <w:numPr>
          <w:ilvl w:val="0"/>
          <w:numId w:val="1"/>
        </w:numPr>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货物需求</w:t>
      </w:r>
    </w:p>
    <w:tbl>
      <w:tblPr>
        <w:tblStyle w:val="3"/>
        <w:tblW w:w="86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1100"/>
        <w:gridCol w:w="986"/>
        <w:gridCol w:w="960"/>
        <w:gridCol w:w="4752"/>
      </w:tblGrid>
      <w:tr w14:paraId="05DBE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08" w:type="dxa"/>
            <w:shd w:val="clear" w:color="auto" w:fill="auto"/>
            <w:vAlign w:val="center"/>
          </w:tcPr>
          <w:p w14:paraId="4BEB1C27">
            <w:pPr>
              <w:widowControl/>
              <w:jc w:val="center"/>
              <w:textAlignment w:val="center"/>
              <w:rPr>
                <w:rFonts w:ascii="仿宋" w:hAnsi="仿宋" w:eastAsia="仿宋" w:cs="仿宋"/>
                <w:b/>
                <w:bCs/>
                <w:color w:val="000000"/>
                <w:sz w:val="24"/>
                <w:szCs w:val="24"/>
              </w:rPr>
            </w:pPr>
            <w:r>
              <w:rPr>
                <w:rFonts w:hint="eastAsia" w:ascii="仿宋" w:hAnsi="仿宋" w:eastAsia="仿宋" w:cs="仿宋"/>
                <w:b/>
                <w:bCs/>
                <w:color w:val="000000"/>
                <w:kern w:val="0"/>
                <w:sz w:val="24"/>
                <w:szCs w:val="24"/>
                <w:lang w:bidi="ar"/>
              </w:rPr>
              <w:t>序号</w:t>
            </w:r>
          </w:p>
        </w:tc>
        <w:tc>
          <w:tcPr>
            <w:tcW w:w="1100" w:type="dxa"/>
            <w:shd w:val="clear" w:color="auto" w:fill="auto"/>
            <w:vAlign w:val="center"/>
          </w:tcPr>
          <w:p w14:paraId="15A3E4D4">
            <w:pPr>
              <w:widowControl/>
              <w:jc w:val="center"/>
              <w:textAlignment w:val="center"/>
              <w:rPr>
                <w:rFonts w:ascii="仿宋" w:hAnsi="仿宋" w:eastAsia="仿宋" w:cs="仿宋"/>
                <w:b/>
                <w:bCs/>
                <w:color w:val="000000"/>
                <w:sz w:val="24"/>
                <w:szCs w:val="24"/>
              </w:rPr>
            </w:pPr>
            <w:r>
              <w:rPr>
                <w:rFonts w:hint="eastAsia" w:ascii="仿宋" w:hAnsi="仿宋" w:eastAsia="仿宋" w:cs="仿宋"/>
                <w:b/>
                <w:bCs/>
                <w:color w:val="000000"/>
                <w:kern w:val="0"/>
                <w:sz w:val="24"/>
                <w:szCs w:val="24"/>
                <w:lang w:bidi="ar"/>
              </w:rPr>
              <w:t>品 名</w:t>
            </w:r>
          </w:p>
        </w:tc>
        <w:tc>
          <w:tcPr>
            <w:tcW w:w="986" w:type="dxa"/>
            <w:shd w:val="clear" w:color="auto" w:fill="auto"/>
            <w:vAlign w:val="center"/>
          </w:tcPr>
          <w:p w14:paraId="4B8E58A1">
            <w:pPr>
              <w:widowControl/>
              <w:jc w:val="center"/>
              <w:textAlignment w:val="center"/>
              <w:rPr>
                <w:rFonts w:ascii="仿宋" w:hAnsi="仿宋" w:eastAsia="仿宋" w:cs="仿宋"/>
                <w:b/>
                <w:bCs/>
                <w:color w:val="000000"/>
                <w:sz w:val="24"/>
                <w:szCs w:val="24"/>
              </w:rPr>
            </w:pPr>
            <w:r>
              <w:rPr>
                <w:rFonts w:hint="eastAsia" w:ascii="仿宋" w:hAnsi="仿宋" w:eastAsia="仿宋" w:cs="仿宋"/>
                <w:b/>
                <w:bCs/>
                <w:color w:val="000000"/>
                <w:kern w:val="0"/>
                <w:sz w:val="24"/>
                <w:szCs w:val="24"/>
                <w:lang w:bidi="ar"/>
              </w:rPr>
              <w:t>单位</w:t>
            </w:r>
          </w:p>
        </w:tc>
        <w:tc>
          <w:tcPr>
            <w:tcW w:w="960" w:type="dxa"/>
            <w:shd w:val="clear" w:color="auto" w:fill="auto"/>
            <w:vAlign w:val="center"/>
          </w:tcPr>
          <w:p w14:paraId="2EEAFA7F">
            <w:pPr>
              <w:widowControl/>
              <w:jc w:val="center"/>
              <w:textAlignment w:val="center"/>
              <w:rPr>
                <w:rFonts w:ascii="仿宋" w:hAnsi="仿宋" w:eastAsia="仿宋" w:cs="仿宋"/>
                <w:b/>
                <w:bCs/>
                <w:color w:val="000000"/>
                <w:sz w:val="24"/>
                <w:szCs w:val="24"/>
              </w:rPr>
            </w:pPr>
            <w:r>
              <w:rPr>
                <w:rFonts w:hint="eastAsia" w:ascii="仿宋" w:hAnsi="仿宋" w:eastAsia="仿宋" w:cs="仿宋"/>
                <w:b/>
                <w:bCs/>
                <w:color w:val="000000"/>
                <w:kern w:val="0"/>
                <w:sz w:val="24"/>
                <w:szCs w:val="24"/>
                <w:lang w:bidi="ar"/>
              </w:rPr>
              <w:t>数量</w:t>
            </w:r>
          </w:p>
        </w:tc>
        <w:tc>
          <w:tcPr>
            <w:tcW w:w="4752" w:type="dxa"/>
            <w:shd w:val="clear" w:color="auto" w:fill="auto"/>
            <w:vAlign w:val="center"/>
          </w:tcPr>
          <w:p w14:paraId="0798A418">
            <w:pPr>
              <w:widowControl/>
              <w:jc w:val="left"/>
              <w:textAlignment w:val="center"/>
              <w:rPr>
                <w:rFonts w:ascii="仿宋" w:hAnsi="仿宋" w:eastAsia="仿宋" w:cs="仿宋"/>
                <w:b/>
                <w:bCs/>
                <w:color w:val="000000"/>
                <w:sz w:val="24"/>
                <w:szCs w:val="24"/>
              </w:rPr>
            </w:pPr>
            <w:r>
              <w:rPr>
                <w:rFonts w:hint="eastAsia" w:ascii="仿宋" w:hAnsi="仿宋" w:eastAsia="仿宋" w:cs="仿宋"/>
                <w:b/>
                <w:bCs/>
                <w:color w:val="000000"/>
                <w:kern w:val="0"/>
                <w:sz w:val="24"/>
                <w:szCs w:val="24"/>
                <w:lang w:bidi="ar"/>
              </w:rPr>
              <w:t>简要参数</w:t>
            </w:r>
          </w:p>
        </w:tc>
      </w:tr>
      <w:tr w14:paraId="4EACE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808" w:type="dxa"/>
            <w:shd w:val="clear" w:color="auto" w:fill="auto"/>
            <w:vAlign w:val="center"/>
          </w:tcPr>
          <w:p w14:paraId="60CFBD57">
            <w:pPr>
              <w:widowControl/>
              <w:jc w:val="center"/>
              <w:textAlignment w:val="center"/>
              <w:rPr>
                <w:rFonts w:ascii="仿宋" w:hAnsi="仿宋" w:eastAsia="仿宋" w:cs="仿宋"/>
                <w:b/>
                <w:bCs/>
                <w:color w:val="000000"/>
                <w:sz w:val="24"/>
                <w:szCs w:val="24"/>
              </w:rPr>
            </w:pPr>
            <w:r>
              <w:rPr>
                <w:rFonts w:hint="eastAsia" w:ascii="仿宋" w:hAnsi="仿宋" w:eastAsia="仿宋" w:cs="仿宋"/>
                <w:b/>
                <w:bCs/>
                <w:color w:val="000000"/>
                <w:kern w:val="0"/>
                <w:sz w:val="24"/>
                <w:szCs w:val="24"/>
                <w:lang w:bidi="ar"/>
              </w:rPr>
              <w:t>1</w:t>
            </w:r>
          </w:p>
        </w:tc>
        <w:tc>
          <w:tcPr>
            <w:tcW w:w="1100" w:type="dxa"/>
            <w:shd w:val="clear" w:color="auto" w:fill="auto"/>
            <w:vAlign w:val="center"/>
          </w:tcPr>
          <w:p w14:paraId="1C9FA480">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HIV智慧检测盒</w:t>
            </w:r>
          </w:p>
        </w:tc>
        <w:tc>
          <w:tcPr>
            <w:tcW w:w="986" w:type="dxa"/>
            <w:shd w:val="clear" w:color="auto" w:fill="auto"/>
            <w:vAlign w:val="center"/>
          </w:tcPr>
          <w:p w14:paraId="33767993">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每人份</w:t>
            </w:r>
          </w:p>
        </w:tc>
        <w:tc>
          <w:tcPr>
            <w:tcW w:w="960" w:type="dxa"/>
            <w:shd w:val="clear" w:color="auto" w:fill="auto"/>
            <w:vAlign w:val="center"/>
          </w:tcPr>
          <w:p w14:paraId="6322C348">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750人份</w:t>
            </w:r>
          </w:p>
        </w:tc>
        <w:tc>
          <w:tcPr>
            <w:tcW w:w="4752" w:type="dxa"/>
            <w:shd w:val="clear" w:color="auto" w:fill="auto"/>
            <w:vAlign w:val="center"/>
          </w:tcPr>
          <w:p w14:paraId="47AA9AEA">
            <w:pPr>
              <w:widowControl/>
              <w:jc w:val="left"/>
              <w:textAlignment w:val="center"/>
              <w:rPr>
                <w:rFonts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1.包装要求：1)采用组合套装的独立包装，每个包装内含检测试剂1份、缓冲液1份、吸管1份、采血针1份、碘伏等组成。2)采血针须采用弹簧采血针，为一次性使用，不可重复弹射或二次使用。3）包装内应具有详细的操作说明书1份。     </w:t>
            </w:r>
          </w:p>
          <w:p w14:paraId="7705E336">
            <w:pPr>
              <w:widowControl/>
              <w:jc w:val="left"/>
              <w:textAlignment w:val="center"/>
              <w:rPr>
                <w:rFonts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2.产品性能：1)HIV-1 型阳性参考品符合率：用国家参考品进行测定，阳性符合率（ +/+ ）应为 18/ 18 ，且 P18 显色强度不低于 P17。或经国家参考品标化的企业参考品进行测定， 阳性符合率应为 100% ，且 P18 显色强度不低于 P17。2)HIV-2 型阳性参考品符合率：用国家参考品进行测定，阳性符合率（ +/+ ）应为 2/2。或经国家参考品标化的企业参考品进行测定， 阳性符合率应为 100%。3)阴性参考品符合率：用国家参考品进行测定， 阴性符合率（-/-）应为≥18/20。或经国家参考品标化的企业阴性参考品进行测定， 阴性符合率应为 100%。4)最低检出限：用国家最低检出限参考品或经标化的企业最低检出限参考品进行测定 ，要求阳性反应不得少于 1 份 (≥1/3），且 基质血清 S1 为阴性反应。5)重复性：用国家重复性参考品或经标化的企业重复性参考品 CV 进行测定（n=10），反应结果均为阳性，且显色度均一。</w:t>
            </w:r>
          </w:p>
          <w:p w14:paraId="37EA9783">
            <w:pPr>
              <w:widowControl/>
              <w:jc w:val="left"/>
              <w:textAlignment w:val="center"/>
              <w:rPr>
                <w:rFonts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3.存储条件和有效期：1)存储环境：4℃~30℃,避光干燥处，禁止冷冻。2)有效期</w:t>
            </w:r>
            <w:r>
              <w:rPr>
                <w:rStyle w:val="7"/>
                <w:rFonts w:ascii="仿宋" w:hAnsi="仿宋" w:eastAsia="仿宋" w:cs="仿宋"/>
                <w:sz w:val="24"/>
                <w:szCs w:val="24"/>
                <w:lang w:bidi="ar"/>
              </w:rPr>
              <w:t>≥</w:t>
            </w:r>
            <w:r>
              <w:rPr>
                <w:rFonts w:hint="eastAsia" w:ascii="仿宋" w:hAnsi="仿宋" w:eastAsia="仿宋" w:cs="仿宋"/>
                <w:color w:val="000000"/>
                <w:kern w:val="0"/>
                <w:sz w:val="24"/>
                <w:szCs w:val="24"/>
                <w:lang w:bidi="ar"/>
              </w:rPr>
              <w:t xml:space="preserve">24 个月。        </w:t>
            </w:r>
          </w:p>
          <w:p w14:paraId="3DC35109">
            <w:pPr>
              <w:widowControl/>
              <w:jc w:val="left"/>
              <w:textAlignment w:val="center"/>
              <w:rPr>
                <w:rFonts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4.移动端软件：</w:t>
            </w:r>
          </w:p>
          <w:p w14:paraId="090894F3">
            <w:pPr>
              <w:widowControl/>
              <w:jc w:val="left"/>
              <w:textAlignment w:val="center"/>
              <w:rPr>
                <w:rFonts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1)</w:t>
            </w:r>
            <w:r>
              <w:rPr>
                <w:rFonts w:hint="eastAsia" w:ascii="仿宋" w:hAnsi="仿宋" w:eastAsia="仿宋" w:cs="仿宋"/>
                <w:b/>
                <w:bCs/>
                <w:color w:val="000000"/>
                <w:kern w:val="0"/>
                <w:sz w:val="24"/>
                <w:szCs w:val="24"/>
                <w:lang w:bidi="ar"/>
              </w:rPr>
              <w:t>供应商须承诺免费提供配套移动端（小程序或</w:t>
            </w:r>
            <w:r>
              <w:rPr>
                <w:rFonts w:ascii="仿宋" w:hAnsi="仿宋" w:eastAsia="仿宋" w:cs="仿宋"/>
                <w:b/>
                <w:bCs/>
                <w:color w:val="000000"/>
                <w:kern w:val="0"/>
                <w:sz w:val="24"/>
                <w:szCs w:val="24"/>
                <w:lang w:bidi="ar"/>
              </w:rPr>
              <w:t>APP）应用及移动端应用运行所需的云端服务器等相关网络资源，包括但不局限于：云端服务器、域名、SSL证书等</w:t>
            </w:r>
            <w:r>
              <w:rPr>
                <w:rFonts w:hint="eastAsia" w:ascii="仿宋" w:hAnsi="仿宋" w:eastAsia="仿宋" w:cs="仿宋"/>
                <w:b/>
                <w:bCs/>
                <w:color w:val="000000"/>
                <w:kern w:val="0"/>
                <w:sz w:val="24"/>
                <w:szCs w:val="24"/>
                <w:lang w:bidi="ar"/>
              </w:rPr>
              <w:t>（承诺书格式自拟）。</w:t>
            </w:r>
          </w:p>
          <w:p w14:paraId="2946D71D">
            <w:pPr>
              <w:widowControl/>
              <w:jc w:val="left"/>
              <w:textAlignment w:val="center"/>
              <w:rPr>
                <w:rFonts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2）小程序端支持Android、HarmonyOS、iOS移动端操作系统，工作人员端支持安卓移动端操作系统。</w:t>
            </w:r>
          </w:p>
          <w:p w14:paraId="1DB74D27">
            <w:pPr>
              <w:widowControl/>
              <w:jc w:val="left"/>
              <w:textAlignment w:val="center"/>
              <w:rPr>
                <w:rFonts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3)支持访问控制：用户需要同意隐私协议，并通过手机号进行一键登录，才能与检测试剂进行蓝牙进行连接；</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4)用户类型及权限：用户只能读取与自己手机绑定的检测试剂数据；</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5)支持自动采集受试者手机号码、检测地点、检测结果，不得采集其他涉及个人隐私的信息。</w:t>
            </w:r>
            <w:r>
              <w:rPr>
                <w:rFonts w:hint="eastAsia" w:ascii="仿宋" w:hAnsi="仿宋" w:eastAsia="仿宋" w:cs="仿宋"/>
                <w:color w:val="000000"/>
                <w:kern w:val="0"/>
                <w:sz w:val="24"/>
                <w:szCs w:val="24"/>
                <w:lang w:bidi="ar"/>
              </w:rPr>
              <w:br w:type="textWrapping"/>
            </w:r>
            <w:r>
              <w:rPr>
                <w:rFonts w:hint="eastAsia" w:ascii="仿宋" w:hAnsi="仿宋" w:eastAsia="仿宋" w:cs="仿宋"/>
                <w:b/>
                <w:bCs/>
                <w:color w:val="000000"/>
                <w:kern w:val="0"/>
                <w:sz w:val="24"/>
                <w:szCs w:val="24"/>
                <w:lang w:bidi="ar"/>
              </w:rPr>
              <w:t>供应商需承诺提供的移动端应用达到网络安全等级保护三级要求（承诺书格式自拟）。</w:t>
            </w:r>
          </w:p>
          <w:p w14:paraId="1C178DF0">
            <w:pPr>
              <w:widowControl/>
              <w:jc w:val="left"/>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5.服务器端：</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1)</w:t>
            </w:r>
            <w:r>
              <w:rPr>
                <w:rFonts w:hint="eastAsia" w:ascii="仿宋" w:hAnsi="仿宋" w:eastAsia="仿宋" w:cs="仿宋"/>
                <w:b/>
                <w:bCs/>
                <w:color w:val="000000"/>
                <w:kern w:val="0"/>
                <w:sz w:val="24"/>
                <w:szCs w:val="24"/>
                <w:lang w:bidi="ar"/>
              </w:rPr>
              <w:t>供应商须承诺免费提供配套服务端（</w:t>
            </w:r>
            <w:r>
              <w:rPr>
                <w:rFonts w:ascii="仿宋" w:hAnsi="仿宋" w:eastAsia="仿宋" w:cs="仿宋"/>
                <w:b/>
                <w:bCs/>
                <w:color w:val="000000"/>
                <w:kern w:val="0"/>
                <w:sz w:val="24"/>
                <w:szCs w:val="24"/>
                <w:lang w:bidi="ar"/>
              </w:rPr>
              <w:t>B/S架构）服务及应用运行所需的云端服务器等相关网络资源</w:t>
            </w:r>
            <w:r>
              <w:rPr>
                <w:rFonts w:hint="eastAsia" w:ascii="仿宋" w:hAnsi="仿宋" w:eastAsia="仿宋" w:cs="仿宋"/>
                <w:b/>
                <w:bCs/>
                <w:color w:val="000000"/>
                <w:kern w:val="0"/>
                <w:sz w:val="24"/>
                <w:szCs w:val="24"/>
                <w:lang w:bidi="ar"/>
              </w:rPr>
              <w:t>（承诺书格式自拟）。</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2)</w:t>
            </w:r>
            <w:r>
              <w:rPr>
                <w:rFonts w:hint="eastAsia" w:ascii="仿宋" w:hAnsi="仿宋" w:eastAsia="仿宋" w:cs="仿宋"/>
                <w:b/>
                <w:bCs/>
                <w:color w:val="000000"/>
                <w:kern w:val="0"/>
                <w:sz w:val="24"/>
                <w:szCs w:val="24"/>
                <w:lang w:bidi="ar"/>
              </w:rPr>
              <w:t>供应商需承诺提供的服务器端应用达到网络安全等级保护三级要求（承诺书格式自拟）。</w:t>
            </w:r>
            <w:r>
              <w:rPr>
                <w:rFonts w:ascii="仿宋" w:hAnsi="仿宋" w:eastAsia="仿宋" w:cs="仿宋"/>
                <w:b/>
                <w:bCs/>
                <w:color w:val="000000"/>
                <w:kern w:val="0"/>
                <w:sz w:val="24"/>
                <w:szCs w:val="24"/>
                <w:lang w:bidi="ar"/>
              </w:rPr>
              <w:br w:type="textWrapping"/>
            </w:r>
            <w:r>
              <w:rPr>
                <w:rFonts w:hint="eastAsia" w:ascii="仿宋" w:hAnsi="仿宋" w:eastAsia="仿宋" w:cs="仿宋"/>
                <w:color w:val="000000"/>
                <w:kern w:val="0"/>
                <w:sz w:val="24"/>
                <w:szCs w:val="24"/>
                <w:lang w:bidi="ar"/>
              </w:rPr>
              <w:t>3)服务器端软件中涉及知情同意签署时支持用户电子签名。</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4)服务器端软件需包含但不限于：首页数据汇总、初筛数据汇总、库存管理、项目管理等功能。</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5）待试剂使用完成后，服务器于2026年底前彻底删除安徽省在该服务器云端的所有检测信息，包括但不限于手机号码、自检地址、检测结果等所有信息，</w:t>
            </w:r>
            <w:r>
              <w:rPr>
                <w:rFonts w:hint="eastAsia" w:ascii="仿宋" w:hAnsi="仿宋" w:eastAsia="仿宋" w:cs="仿宋"/>
                <w:b/>
                <w:bCs/>
                <w:color w:val="000000"/>
                <w:kern w:val="0"/>
                <w:sz w:val="24"/>
                <w:szCs w:val="24"/>
                <w:lang w:bidi="ar"/>
              </w:rPr>
              <w:t>供应商需提供相应承诺函并做好服务期间的信息保密工作（承诺书格式自拟）。</w:t>
            </w:r>
            <w:r>
              <w:rPr>
                <w:rFonts w:ascii="仿宋" w:hAnsi="仿宋" w:eastAsia="仿宋" w:cs="仿宋"/>
                <w:b/>
                <w:bCs/>
                <w:color w:val="000000"/>
                <w:kern w:val="0"/>
                <w:sz w:val="24"/>
                <w:szCs w:val="24"/>
                <w:lang w:bidi="ar"/>
              </w:rPr>
              <w:t xml:space="preserve"> </w:t>
            </w:r>
            <w:r>
              <w:rPr>
                <w:rFonts w:hint="eastAsia" w:ascii="仿宋" w:hAnsi="仿宋" w:eastAsia="仿宋" w:cs="仿宋"/>
                <w:color w:val="000000"/>
                <w:kern w:val="0"/>
                <w:sz w:val="24"/>
                <w:szCs w:val="24"/>
                <w:lang w:bidi="ar"/>
              </w:rPr>
              <w:t xml:space="preserve">     </w:t>
            </w:r>
          </w:p>
        </w:tc>
      </w:tr>
      <w:tr w14:paraId="732B2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08" w:type="dxa"/>
            <w:shd w:val="clear" w:color="auto" w:fill="auto"/>
            <w:vAlign w:val="center"/>
          </w:tcPr>
          <w:p w14:paraId="5B6FCDDE">
            <w:pPr>
              <w:widowControl/>
              <w:jc w:val="center"/>
              <w:textAlignment w:val="center"/>
              <w:rPr>
                <w:rFonts w:ascii="仿宋" w:hAnsi="仿宋" w:eastAsia="仿宋" w:cs="仿宋"/>
                <w:b/>
                <w:bCs/>
                <w:color w:val="000000"/>
                <w:sz w:val="24"/>
                <w:szCs w:val="24"/>
              </w:rPr>
            </w:pPr>
            <w:r>
              <w:rPr>
                <w:rFonts w:hint="eastAsia" w:ascii="仿宋" w:hAnsi="仿宋" w:eastAsia="仿宋" w:cs="仿宋"/>
                <w:b/>
                <w:bCs/>
                <w:color w:val="000000"/>
                <w:kern w:val="0"/>
                <w:sz w:val="24"/>
                <w:szCs w:val="24"/>
                <w:lang w:bidi="ar"/>
              </w:rPr>
              <w:t>2</w:t>
            </w:r>
          </w:p>
        </w:tc>
        <w:tc>
          <w:tcPr>
            <w:tcW w:w="1100" w:type="dxa"/>
            <w:shd w:val="clear" w:color="auto" w:fill="auto"/>
            <w:vAlign w:val="center"/>
          </w:tcPr>
          <w:p w14:paraId="6B3993F7">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一次性使用输液器带针</w:t>
            </w:r>
          </w:p>
        </w:tc>
        <w:tc>
          <w:tcPr>
            <w:tcW w:w="986" w:type="dxa"/>
            <w:shd w:val="clear" w:color="auto" w:fill="auto"/>
            <w:vAlign w:val="center"/>
          </w:tcPr>
          <w:p w14:paraId="1AEE4E2A">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支</w:t>
            </w:r>
          </w:p>
        </w:tc>
        <w:tc>
          <w:tcPr>
            <w:tcW w:w="960" w:type="dxa"/>
            <w:shd w:val="clear" w:color="auto" w:fill="auto"/>
            <w:vAlign w:val="center"/>
          </w:tcPr>
          <w:p w14:paraId="4339563B">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200</w:t>
            </w:r>
          </w:p>
        </w:tc>
        <w:tc>
          <w:tcPr>
            <w:tcW w:w="4752" w:type="dxa"/>
            <w:shd w:val="clear" w:color="auto" w:fill="auto"/>
            <w:vAlign w:val="center"/>
          </w:tcPr>
          <w:p w14:paraId="09ADFF63">
            <w:pPr>
              <w:widowControl/>
              <w:jc w:val="left"/>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0.6*25TWLB，用于病人输液</w:t>
            </w:r>
          </w:p>
        </w:tc>
      </w:tr>
      <w:tr w14:paraId="3535A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08" w:type="dxa"/>
            <w:shd w:val="clear" w:color="auto" w:fill="auto"/>
            <w:vAlign w:val="center"/>
          </w:tcPr>
          <w:p w14:paraId="59690753">
            <w:pPr>
              <w:widowControl/>
              <w:jc w:val="center"/>
              <w:textAlignment w:val="center"/>
              <w:rPr>
                <w:rFonts w:ascii="仿宋" w:hAnsi="仿宋" w:eastAsia="仿宋" w:cs="仿宋"/>
                <w:b/>
                <w:bCs/>
                <w:color w:val="000000"/>
                <w:sz w:val="24"/>
                <w:szCs w:val="24"/>
              </w:rPr>
            </w:pPr>
            <w:r>
              <w:rPr>
                <w:rFonts w:hint="eastAsia" w:ascii="仿宋" w:hAnsi="仿宋" w:eastAsia="仿宋" w:cs="仿宋"/>
                <w:b/>
                <w:bCs/>
                <w:color w:val="000000"/>
                <w:kern w:val="0"/>
                <w:sz w:val="24"/>
                <w:szCs w:val="24"/>
                <w:lang w:bidi="ar"/>
              </w:rPr>
              <w:t>3</w:t>
            </w:r>
          </w:p>
        </w:tc>
        <w:tc>
          <w:tcPr>
            <w:tcW w:w="1100" w:type="dxa"/>
            <w:shd w:val="clear" w:color="auto" w:fill="auto"/>
            <w:vAlign w:val="center"/>
          </w:tcPr>
          <w:p w14:paraId="2D4AF390">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一次性使用无菌注射器带针</w:t>
            </w:r>
          </w:p>
        </w:tc>
        <w:tc>
          <w:tcPr>
            <w:tcW w:w="986" w:type="dxa"/>
            <w:shd w:val="clear" w:color="auto" w:fill="auto"/>
            <w:vAlign w:val="center"/>
          </w:tcPr>
          <w:p w14:paraId="2F6EB12F">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支</w:t>
            </w:r>
          </w:p>
        </w:tc>
        <w:tc>
          <w:tcPr>
            <w:tcW w:w="960" w:type="dxa"/>
            <w:shd w:val="clear" w:color="auto" w:fill="auto"/>
            <w:vAlign w:val="center"/>
          </w:tcPr>
          <w:p w14:paraId="449011B2">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400</w:t>
            </w:r>
          </w:p>
        </w:tc>
        <w:tc>
          <w:tcPr>
            <w:tcW w:w="4752" w:type="dxa"/>
            <w:shd w:val="clear" w:color="auto" w:fill="auto"/>
            <w:vAlign w:val="center"/>
          </w:tcPr>
          <w:p w14:paraId="6603A74A">
            <w:pPr>
              <w:widowControl/>
              <w:jc w:val="left"/>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10ml 1.2*30TWLB，用于配药</w:t>
            </w:r>
          </w:p>
        </w:tc>
      </w:tr>
      <w:tr w14:paraId="7B2A7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08" w:type="dxa"/>
            <w:shd w:val="clear" w:color="auto" w:fill="auto"/>
            <w:vAlign w:val="center"/>
          </w:tcPr>
          <w:p w14:paraId="65AC4DFB">
            <w:pPr>
              <w:widowControl/>
              <w:jc w:val="center"/>
              <w:textAlignment w:val="center"/>
              <w:rPr>
                <w:rFonts w:ascii="仿宋" w:hAnsi="仿宋" w:eastAsia="仿宋" w:cs="仿宋"/>
                <w:b/>
                <w:bCs/>
                <w:color w:val="000000"/>
                <w:sz w:val="24"/>
                <w:szCs w:val="24"/>
              </w:rPr>
            </w:pPr>
            <w:r>
              <w:rPr>
                <w:rFonts w:hint="eastAsia" w:ascii="仿宋" w:hAnsi="仿宋" w:eastAsia="仿宋" w:cs="仿宋"/>
                <w:b/>
                <w:bCs/>
                <w:color w:val="000000"/>
                <w:kern w:val="0"/>
                <w:sz w:val="24"/>
                <w:szCs w:val="24"/>
                <w:lang w:bidi="ar"/>
              </w:rPr>
              <w:t>4</w:t>
            </w:r>
          </w:p>
        </w:tc>
        <w:tc>
          <w:tcPr>
            <w:tcW w:w="1100" w:type="dxa"/>
            <w:shd w:val="clear" w:color="auto" w:fill="auto"/>
            <w:vAlign w:val="center"/>
          </w:tcPr>
          <w:p w14:paraId="1E387412">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医用输液贴</w:t>
            </w:r>
          </w:p>
        </w:tc>
        <w:tc>
          <w:tcPr>
            <w:tcW w:w="986" w:type="dxa"/>
            <w:shd w:val="clear" w:color="auto" w:fill="auto"/>
            <w:vAlign w:val="center"/>
          </w:tcPr>
          <w:p w14:paraId="76C9A0DD">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盒</w:t>
            </w:r>
          </w:p>
        </w:tc>
        <w:tc>
          <w:tcPr>
            <w:tcW w:w="960" w:type="dxa"/>
            <w:shd w:val="clear" w:color="auto" w:fill="auto"/>
            <w:vAlign w:val="center"/>
          </w:tcPr>
          <w:p w14:paraId="302D45AF">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5</w:t>
            </w:r>
          </w:p>
        </w:tc>
        <w:tc>
          <w:tcPr>
            <w:tcW w:w="4752" w:type="dxa"/>
            <w:shd w:val="clear" w:color="auto" w:fill="auto"/>
            <w:vAlign w:val="center"/>
          </w:tcPr>
          <w:p w14:paraId="53D706BE">
            <w:pPr>
              <w:widowControl/>
              <w:jc w:val="left"/>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70mm*35mm，200片/盒</w:t>
            </w:r>
          </w:p>
        </w:tc>
      </w:tr>
      <w:tr w14:paraId="38343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08" w:type="dxa"/>
            <w:shd w:val="clear" w:color="auto" w:fill="auto"/>
            <w:vAlign w:val="center"/>
          </w:tcPr>
          <w:p w14:paraId="27CC9966">
            <w:pPr>
              <w:widowControl/>
              <w:jc w:val="center"/>
              <w:textAlignment w:val="center"/>
              <w:rPr>
                <w:rFonts w:ascii="仿宋" w:hAnsi="仿宋" w:eastAsia="仿宋" w:cs="仿宋"/>
                <w:b/>
                <w:bCs/>
                <w:color w:val="000000"/>
                <w:sz w:val="24"/>
                <w:szCs w:val="24"/>
              </w:rPr>
            </w:pPr>
            <w:r>
              <w:rPr>
                <w:rFonts w:hint="eastAsia" w:ascii="仿宋" w:hAnsi="仿宋" w:eastAsia="仿宋" w:cs="仿宋"/>
                <w:b/>
                <w:bCs/>
                <w:color w:val="000000"/>
                <w:kern w:val="0"/>
                <w:sz w:val="24"/>
                <w:szCs w:val="24"/>
                <w:lang w:bidi="ar"/>
              </w:rPr>
              <w:t>5</w:t>
            </w:r>
          </w:p>
        </w:tc>
        <w:tc>
          <w:tcPr>
            <w:tcW w:w="1100" w:type="dxa"/>
            <w:shd w:val="clear" w:color="auto" w:fill="auto"/>
            <w:vAlign w:val="center"/>
          </w:tcPr>
          <w:p w14:paraId="6F25B173">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一次性使用止血带</w:t>
            </w:r>
          </w:p>
        </w:tc>
        <w:tc>
          <w:tcPr>
            <w:tcW w:w="986" w:type="dxa"/>
            <w:shd w:val="clear" w:color="auto" w:fill="auto"/>
            <w:vAlign w:val="center"/>
          </w:tcPr>
          <w:p w14:paraId="141568FD">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盒</w:t>
            </w:r>
          </w:p>
        </w:tc>
        <w:tc>
          <w:tcPr>
            <w:tcW w:w="960" w:type="dxa"/>
            <w:shd w:val="clear" w:color="auto" w:fill="auto"/>
            <w:vAlign w:val="center"/>
          </w:tcPr>
          <w:p w14:paraId="14696E15">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6</w:t>
            </w:r>
          </w:p>
        </w:tc>
        <w:tc>
          <w:tcPr>
            <w:tcW w:w="4752" w:type="dxa"/>
            <w:shd w:val="clear" w:color="auto" w:fill="auto"/>
            <w:vAlign w:val="center"/>
          </w:tcPr>
          <w:p w14:paraId="2BB0C9A3">
            <w:pPr>
              <w:widowControl/>
              <w:jc w:val="left"/>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点连式，50条/盒</w:t>
            </w:r>
          </w:p>
        </w:tc>
      </w:tr>
      <w:tr w14:paraId="78623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08" w:type="dxa"/>
            <w:shd w:val="clear" w:color="auto" w:fill="auto"/>
            <w:vAlign w:val="center"/>
          </w:tcPr>
          <w:p w14:paraId="469EE60E">
            <w:pPr>
              <w:widowControl/>
              <w:jc w:val="center"/>
              <w:textAlignment w:val="center"/>
              <w:rPr>
                <w:rFonts w:ascii="仿宋" w:hAnsi="仿宋" w:eastAsia="仿宋" w:cs="仿宋"/>
                <w:b/>
                <w:bCs/>
                <w:color w:val="000000"/>
                <w:sz w:val="24"/>
                <w:szCs w:val="24"/>
              </w:rPr>
            </w:pPr>
            <w:r>
              <w:rPr>
                <w:rFonts w:hint="eastAsia" w:ascii="仿宋" w:hAnsi="仿宋" w:eastAsia="仿宋" w:cs="仿宋"/>
                <w:b/>
                <w:bCs/>
                <w:color w:val="000000"/>
                <w:kern w:val="0"/>
                <w:sz w:val="24"/>
                <w:szCs w:val="24"/>
                <w:lang w:bidi="ar"/>
              </w:rPr>
              <w:t>6</w:t>
            </w:r>
          </w:p>
        </w:tc>
        <w:tc>
          <w:tcPr>
            <w:tcW w:w="1100" w:type="dxa"/>
            <w:shd w:val="clear" w:color="auto" w:fill="auto"/>
            <w:vAlign w:val="center"/>
          </w:tcPr>
          <w:p w14:paraId="58EC8053">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一次性使用拭子（女性拭子）</w:t>
            </w:r>
          </w:p>
        </w:tc>
        <w:tc>
          <w:tcPr>
            <w:tcW w:w="986" w:type="dxa"/>
            <w:shd w:val="clear" w:color="auto" w:fill="auto"/>
            <w:vAlign w:val="center"/>
          </w:tcPr>
          <w:p w14:paraId="0403D6CF">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袋</w:t>
            </w:r>
          </w:p>
        </w:tc>
        <w:tc>
          <w:tcPr>
            <w:tcW w:w="960" w:type="dxa"/>
            <w:shd w:val="clear" w:color="auto" w:fill="auto"/>
            <w:vAlign w:val="center"/>
          </w:tcPr>
          <w:p w14:paraId="225470D5">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2</w:t>
            </w:r>
          </w:p>
        </w:tc>
        <w:tc>
          <w:tcPr>
            <w:tcW w:w="4752" w:type="dxa"/>
            <w:shd w:val="clear" w:color="auto" w:fill="auto"/>
            <w:vAlign w:val="center"/>
          </w:tcPr>
          <w:p w14:paraId="1C79669C">
            <w:pPr>
              <w:widowControl/>
              <w:jc w:val="left"/>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150支/袋，用于女性分泌物采样</w:t>
            </w:r>
          </w:p>
        </w:tc>
      </w:tr>
      <w:tr w14:paraId="22D68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08" w:type="dxa"/>
            <w:shd w:val="clear" w:color="auto" w:fill="auto"/>
            <w:vAlign w:val="center"/>
          </w:tcPr>
          <w:p w14:paraId="69E14529">
            <w:pPr>
              <w:widowControl/>
              <w:jc w:val="center"/>
              <w:textAlignment w:val="center"/>
              <w:rPr>
                <w:rFonts w:ascii="仿宋" w:hAnsi="仿宋" w:eastAsia="仿宋" w:cs="仿宋"/>
                <w:b/>
                <w:bCs/>
                <w:color w:val="000000"/>
                <w:sz w:val="24"/>
                <w:szCs w:val="24"/>
              </w:rPr>
            </w:pPr>
            <w:r>
              <w:rPr>
                <w:rFonts w:hint="eastAsia" w:ascii="仿宋" w:hAnsi="仿宋" w:eastAsia="仿宋" w:cs="仿宋"/>
                <w:b/>
                <w:bCs/>
                <w:color w:val="000000"/>
                <w:kern w:val="0"/>
                <w:sz w:val="24"/>
                <w:szCs w:val="24"/>
                <w:lang w:bidi="ar"/>
              </w:rPr>
              <w:t>7</w:t>
            </w:r>
          </w:p>
        </w:tc>
        <w:tc>
          <w:tcPr>
            <w:tcW w:w="1100" w:type="dxa"/>
            <w:shd w:val="clear" w:color="auto" w:fill="auto"/>
            <w:vAlign w:val="center"/>
          </w:tcPr>
          <w:p w14:paraId="02272E4F">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一次性使用拭子（男性拭子）</w:t>
            </w:r>
          </w:p>
        </w:tc>
        <w:tc>
          <w:tcPr>
            <w:tcW w:w="986" w:type="dxa"/>
            <w:shd w:val="clear" w:color="auto" w:fill="auto"/>
            <w:vAlign w:val="center"/>
          </w:tcPr>
          <w:p w14:paraId="34283C34">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袋</w:t>
            </w:r>
          </w:p>
        </w:tc>
        <w:tc>
          <w:tcPr>
            <w:tcW w:w="960" w:type="dxa"/>
            <w:shd w:val="clear" w:color="auto" w:fill="auto"/>
            <w:vAlign w:val="center"/>
          </w:tcPr>
          <w:p w14:paraId="069A76E1">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2</w:t>
            </w:r>
          </w:p>
        </w:tc>
        <w:tc>
          <w:tcPr>
            <w:tcW w:w="4752" w:type="dxa"/>
            <w:shd w:val="clear" w:color="auto" w:fill="auto"/>
            <w:vAlign w:val="center"/>
          </w:tcPr>
          <w:p w14:paraId="6ECF5400">
            <w:pPr>
              <w:widowControl/>
              <w:jc w:val="left"/>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200支/袋，用于男性分泌物采样</w:t>
            </w:r>
          </w:p>
        </w:tc>
      </w:tr>
      <w:tr w14:paraId="1CA6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08" w:type="dxa"/>
            <w:shd w:val="clear" w:color="auto" w:fill="auto"/>
            <w:vAlign w:val="center"/>
          </w:tcPr>
          <w:p w14:paraId="1A473477">
            <w:pPr>
              <w:widowControl/>
              <w:jc w:val="center"/>
              <w:textAlignment w:val="center"/>
              <w:rPr>
                <w:rFonts w:ascii="仿宋" w:hAnsi="仿宋" w:eastAsia="仿宋" w:cs="仿宋"/>
                <w:b/>
                <w:bCs/>
                <w:color w:val="000000"/>
                <w:sz w:val="24"/>
                <w:szCs w:val="24"/>
              </w:rPr>
            </w:pPr>
            <w:r>
              <w:rPr>
                <w:rFonts w:hint="eastAsia" w:ascii="仿宋" w:hAnsi="仿宋" w:eastAsia="仿宋" w:cs="仿宋"/>
                <w:b/>
                <w:bCs/>
                <w:color w:val="000000"/>
                <w:kern w:val="0"/>
                <w:sz w:val="24"/>
                <w:szCs w:val="24"/>
                <w:lang w:bidi="ar"/>
              </w:rPr>
              <w:t>8</w:t>
            </w:r>
          </w:p>
        </w:tc>
        <w:tc>
          <w:tcPr>
            <w:tcW w:w="1100" w:type="dxa"/>
            <w:shd w:val="clear" w:color="auto" w:fill="auto"/>
            <w:vAlign w:val="center"/>
          </w:tcPr>
          <w:p w14:paraId="38B47E9D">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过敏原特异性IgE抗体检测试剂盒（免疫印迹法）综合14项</w:t>
            </w:r>
          </w:p>
        </w:tc>
        <w:tc>
          <w:tcPr>
            <w:tcW w:w="986" w:type="dxa"/>
            <w:shd w:val="clear" w:color="auto" w:fill="auto"/>
            <w:vAlign w:val="center"/>
          </w:tcPr>
          <w:p w14:paraId="7F6A2E83">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盒</w:t>
            </w:r>
          </w:p>
        </w:tc>
        <w:tc>
          <w:tcPr>
            <w:tcW w:w="960" w:type="dxa"/>
            <w:shd w:val="clear" w:color="auto" w:fill="auto"/>
            <w:vAlign w:val="center"/>
          </w:tcPr>
          <w:p w14:paraId="278763DB">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1</w:t>
            </w:r>
          </w:p>
        </w:tc>
        <w:tc>
          <w:tcPr>
            <w:tcW w:w="4752" w:type="dxa"/>
            <w:shd w:val="clear" w:color="auto" w:fill="auto"/>
            <w:vAlign w:val="center"/>
          </w:tcPr>
          <w:p w14:paraId="100EA39A">
            <w:pPr>
              <w:widowControl/>
              <w:jc w:val="left"/>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24人份/盒，用于定性检测患者血清中的总IgE抗体和过敏原特异性IgE抗体，试剂条包含吸入性和食入性过敏原检测，配套判读报告系统。</w:t>
            </w:r>
          </w:p>
        </w:tc>
      </w:tr>
      <w:tr w14:paraId="57823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08" w:type="dxa"/>
            <w:shd w:val="clear" w:color="auto" w:fill="auto"/>
            <w:vAlign w:val="center"/>
          </w:tcPr>
          <w:p w14:paraId="4BB7FB36">
            <w:pPr>
              <w:widowControl/>
              <w:jc w:val="center"/>
              <w:textAlignment w:val="center"/>
              <w:rPr>
                <w:rFonts w:ascii="仿宋" w:hAnsi="仿宋" w:eastAsia="仿宋" w:cs="仿宋"/>
                <w:b/>
                <w:bCs/>
                <w:color w:val="000000"/>
                <w:sz w:val="24"/>
                <w:szCs w:val="24"/>
              </w:rPr>
            </w:pPr>
            <w:r>
              <w:rPr>
                <w:rFonts w:hint="eastAsia" w:ascii="仿宋" w:hAnsi="仿宋" w:eastAsia="仿宋" w:cs="仿宋"/>
                <w:b/>
                <w:bCs/>
                <w:color w:val="000000"/>
                <w:kern w:val="0"/>
                <w:sz w:val="24"/>
                <w:szCs w:val="24"/>
                <w:lang w:bidi="ar"/>
              </w:rPr>
              <w:t>9</w:t>
            </w:r>
          </w:p>
        </w:tc>
        <w:tc>
          <w:tcPr>
            <w:tcW w:w="1100" w:type="dxa"/>
            <w:shd w:val="clear" w:color="auto" w:fill="auto"/>
            <w:vAlign w:val="center"/>
          </w:tcPr>
          <w:p w14:paraId="6C2D1AD6">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解脲脲原体和人型支原体培养鉴定药敏试剂盒</w:t>
            </w:r>
          </w:p>
        </w:tc>
        <w:tc>
          <w:tcPr>
            <w:tcW w:w="986" w:type="dxa"/>
            <w:shd w:val="clear" w:color="auto" w:fill="auto"/>
            <w:vAlign w:val="center"/>
          </w:tcPr>
          <w:p w14:paraId="196B63E1">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盒</w:t>
            </w:r>
          </w:p>
        </w:tc>
        <w:tc>
          <w:tcPr>
            <w:tcW w:w="960" w:type="dxa"/>
            <w:shd w:val="clear" w:color="auto" w:fill="auto"/>
            <w:vAlign w:val="center"/>
          </w:tcPr>
          <w:p w14:paraId="47E36403">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1</w:t>
            </w:r>
          </w:p>
        </w:tc>
        <w:tc>
          <w:tcPr>
            <w:tcW w:w="4752" w:type="dxa"/>
            <w:shd w:val="clear" w:color="auto" w:fill="auto"/>
            <w:vAlign w:val="center"/>
          </w:tcPr>
          <w:p w14:paraId="7980A68C">
            <w:pPr>
              <w:widowControl/>
              <w:jc w:val="left"/>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20人份/盒，用于女性宫颈分泌物和男性尿道分泌物或尿液样本中解脲和人型支原体的培养鉴定、半定量计数和药物敏感性试验。由液体培养基、药敏试剂条（包含九项药敏）、石蜡油组成。</w:t>
            </w:r>
          </w:p>
        </w:tc>
      </w:tr>
    </w:tbl>
    <w:p w14:paraId="68B81213">
      <w:pPr>
        <w:wordWrap w:val="0"/>
        <w:spacing w:line="360" w:lineRule="auto"/>
        <w:ind w:firstLine="562" w:firstLineChars="200"/>
        <w:jc w:val="left"/>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三、报价要求</w:t>
      </w:r>
    </w:p>
    <w:p w14:paraId="7E32A855">
      <w:r>
        <w:rPr>
          <w:rFonts w:hint="eastAsia" w:ascii="仿宋" w:hAnsi="仿宋" w:eastAsia="仿宋" w:cs="仿宋"/>
          <w:bCs/>
          <w:sz w:val="24"/>
          <w:highlight w:val="none"/>
        </w:rPr>
        <w:t>本项目报总价，报价包含完成本项目所需的全部费用，成交后采购人不再增加任何费用。</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2C3EE4"/>
    <w:multiLevelType w:val="singleLevel"/>
    <w:tmpl w:val="FB2C3EE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7155D2"/>
    <w:rsid w:val="567155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szCs w:val="20"/>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5">
    <w:name w:val="D&amp;L"/>
    <w:basedOn w:val="2"/>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6">
    <w:name w:val="xl31"/>
    <w:basedOn w:val="1"/>
    <w:qFormat/>
    <w:uiPriority w:val="0"/>
    <w:pPr>
      <w:widowControl/>
      <w:spacing w:before="100" w:beforeAutospacing="1" w:after="100" w:afterAutospacing="1"/>
      <w:jc w:val="center"/>
    </w:pPr>
    <w:rPr>
      <w:b/>
      <w:bCs/>
      <w:kern w:val="0"/>
      <w:sz w:val="28"/>
      <w:szCs w:val="28"/>
    </w:rPr>
  </w:style>
  <w:style w:type="character" w:customStyle="1" w:styleId="7">
    <w:name w:val="font41"/>
    <w:basedOn w:val="4"/>
    <w:qFormat/>
    <w:uiPriority w:val="0"/>
    <w:rPr>
      <w:rFonts w:hint="eastAsia" w:ascii="宋体" w:hAnsi="宋体" w:eastAsia="宋体" w:cs="宋体"/>
      <w:b/>
      <w:bCs/>
      <w:color w:val="000000"/>
      <w:sz w:val="32"/>
      <w:szCs w:val="3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2025-11-11T02:41:00Z</dcterms:created>
  <dc:creator>森</dc:creator>
  <cp:lastModifiedBy>森</cp:lastModifiedBy>
  <dcterms:modified xsi:type="dcterms:W3CDTF">2025-11-11T02:42:27Z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DACB04C88FF14D92ADAA17DAFCE030FF_11</vt:lpwstr>
  </property>
  <property fmtid="{D5CDD505-2E9C-101B-9397-08002B2CF9AE}" pid="4" name="KSOTemplateDocerSaveRecord">
    <vt:lpwstr>eyJoZGlkIjoiOTc3M2Y5NzIzMDFlZjAyY2Q4Njk5ODkyYjFjNzBiNTQiLCJ1c2VySWQiOiI0MzAwMTYzNzkifQ==</vt:lpwstr>
  </property>
</Properties>
</file>