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1C922C">
      <w:pPr>
        <w:pStyle w:val="2"/>
        <w:wordWrap w:val="0"/>
        <w:jc w:val="center"/>
        <w:rPr>
          <w:rFonts w:ascii="华文中宋" w:hAnsi="华文中宋" w:eastAsia="华文中宋" w:cs="Times New Roman"/>
          <w:kern w:val="44"/>
          <w:sz w:val="44"/>
          <w:szCs w:val="44"/>
        </w:rPr>
      </w:pPr>
      <w:r>
        <w:rPr>
          <w:rFonts w:hint="eastAsia" w:ascii="华文中宋" w:hAnsi="华文中宋" w:eastAsia="华文中宋" w:cs="Times New Roman"/>
          <w:kern w:val="44"/>
          <w:sz w:val="44"/>
          <w:szCs w:val="44"/>
        </w:rPr>
        <w:t>第三章  招标需求</w:t>
      </w:r>
    </w:p>
    <w:p w14:paraId="7211EA46">
      <w:pPr>
        <w:wordWrap w:val="0"/>
        <w:spacing w:line="360" w:lineRule="auto"/>
        <w:rPr>
          <w:rFonts w:ascii="宋体" w:hAnsi="宋体" w:eastAsia="宋体"/>
          <w:b/>
          <w:sz w:val="24"/>
        </w:rPr>
      </w:pPr>
      <w:r>
        <w:rPr>
          <w:rFonts w:hint="eastAsia" w:ascii="宋体" w:hAnsi="宋体" w:eastAsia="宋体"/>
          <w:b/>
          <w:sz w:val="24"/>
        </w:rPr>
        <w:t>前注：</w:t>
      </w:r>
    </w:p>
    <w:p w14:paraId="33339941">
      <w:pPr>
        <w:wordWrap w:val="0"/>
        <w:spacing w:line="360" w:lineRule="auto"/>
        <w:ind w:firstLine="437"/>
        <w:rPr>
          <w:rFonts w:ascii="宋体" w:hAnsi="宋体" w:eastAsia="宋体"/>
          <w:sz w:val="24"/>
        </w:rPr>
      </w:pP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w:t>
      </w:r>
      <w:r>
        <w:rPr>
          <w:rFonts w:hint="eastAsia" w:ascii="宋体" w:hAnsi="宋体" w:eastAsia="宋体"/>
          <w:sz w:val="24"/>
        </w:rPr>
        <w:t>投标人</w:t>
      </w:r>
      <w:r>
        <w:rPr>
          <w:rFonts w:ascii="宋体" w:hAnsi="宋体" w:eastAsia="宋体"/>
          <w:sz w:val="24"/>
        </w:rPr>
        <w:t>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w:t>
      </w:r>
      <w:r>
        <w:rPr>
          <w:rFonts w:hint="eastAsia" w:ascii="宋体" w:hAnsi="宋体" w:eastAsia="宋体"/>
          <w:sz w:val="24"/>
        </w:rPr>
        <w:t>评标委员会评标</w:t>
      </w:r>
      <w:r>
        <w:rPr>
          <w:rFonts w:ascii="宋体" w:hAnsi="宋体" w:eastAsia="宋体"/>
          <w:sz w:val="24"/>
        </w:rPr>
        <w:t>认可</w:t>
      </w:r>
      <w:r>
        <w:rPr>
          <w:rFonts w:hint="eastAsia" w:ascii="宋体" w:hAnsi="宋体" w:eastAsia="宋体"/>
          <w:sz w:val="24"/>
        </w:rPr>
        <w:t>。</w:t>
      </w:r>
    </w:p>
    <w:p w14:paraId="73BED15A">
      <w:pPr>
        <w:wordWrap w:val="0"/>
        <w:spacing w:line="360" w:lineRule="auto"/>
        <w:ind w:firstLine="437"/>
        <w:rPr>
          <w:rFonts w:ascii="Arial" w:hAnsi="Arial" w:eastAsia="宋体" w:cs="Arial"/>
          <w:b/>
          <w:sz w:val="28"/>
          <w:szCs w:val="28"/>
        </w:rPr>
      </w:pPr>
      <w:r>
        <w:rPr>
          <w:rFonts w:ascii="Arial" w:hAnsi="Arial" w:eastAsia="宋体" w:cs="Arial"/>
          <w:b/>
          <w:sz w:val="28"/>
          <w:szCs w:val="28"/>
        </w:rPr>
        <w:t>一、</w:t>
      </w:r>
      <w:r>
        <w:rPr>
          <w:rFonts w:hint="eastAsia" w:ascii="Arial" w:hAnsi="Arial" w:eastAsia="宋体" w:cs="Arial"/>
          <w:b/>
          <w:sz w:val="28"/>
          <w:szCs w:val="28"/>
        </w:rPr>
        <w:t>招标需求</w:t>
      </w:r>
      <w:r>
        <w:rPr>
          <w:rFonts w:ascii="Arial" w:hAnsi="Arial" w:eastAsia="宋体" w:cs="Arial"/>
          <w:b/>
          <w:sz w:val="28"/>
          <w:szCs w:val="28"/>
        </w:rPr>
        <w:t>前附表</w:t>
      </w:r>
    </w:p>
    <w:tbl>
      <w:tblPr>
        <w:tblStyle w:val="4"/>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2213"/>
        <w:gridCol w:w="5977"/>
      </w:tblGrid>
      <w:tr w14:paraId="170C8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5FED8082">
            <w:pPr>
              <w:pStyle w:val="6"/>
              <w:pBdr>
                <w:bottom w:val="none" w:color="auto" w:sz="0" w:space="0"/>
              </w:pBdr>
              <w:tabs>
                <w:tab w:val="clear" w:pos="4153"/>
                <w:tab w:val="clear" w:pos="8306"/>
              </w:tabs>
              <w:wordWrap w:val="0"/>
              <w:adjustRightInd/>
              <w:spacing w:line="240" w:lineRule="auto"/>
              <w:textAlignment w:val="auto"/>
              <w:rPr>
                <w:rFonts w:ascii="宋体" w:hAnsi="宋体" w:eastAsia="宋体" w:cs="@仿宋_GB2312"/>
                <w:b/>
                <w:kern w:val="2"/>
                <w:lang w:val="en-US" w:eastAsia="zh-CN"/>
              </w:rPr>
            </w:pPr>
            <w:r>
              <w:rPr>
                <w:rFonts w:hint="eastAsia" w:ascii="宋体" w:hAnsi="宋体" w:eastAsia="宋体" w:cs="@仿宋_GB2312"/>
                <w:b/>
                <w:kern w:val="2"/>
                <w:lang w:val="en-US" w:eastAsia="zh-CN"/>
              </w:rPr>
              <w:t>序号</w:t>
            </w:r>
          </w:p>
        </w:tc>
        <w:tc>
          <w:tcPr>
            <w:tcW w:w="2213" w:type="dxa"/>
            <w:noWrap w:val="0"/>
            <w:vAlign w:val="center"/>
          </w:tcPr>
          <w:p w14:paraId="7A7043B8">
            <w:pPr>
              <w:pStyle w:val="7"/>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条款名称</w:t>
            </w:r>
          </w:p>
        </w:tc>
        <w:tc>
          <w:tcPr>
            <w:tcW w:w="5977" w:type="dxa"/>
            <w:noWrap w:val="0"/>
            <w:vAlign w:val="center"/>
          </w:tcPr>
          <w:p w14:paraId="6959066E">
            <w:pPr>
              <w:pStyle w:val="7"/>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内容、说明与要求</w:t>
            </w:r>
          </w:p>
        </w:tc>
      </w:tr>
      <w:tr w14:paraId="6EB64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4CA5DD9C">
            <w:pPr>
              <w:pStyle w:val="6"/>
              <w:pBdr>
                <w:bottom w:val="none" w:color="auto" w:sz="0" w:space="0"/>
              </w:pBdr>
              <w:tabs>
                <w:tab w:val="clear" w:pos="4153"/>
                <w:tab w:val="clear" w:pos="8306"/>
              </w:tabs>
              <w:wordWrap w:val="0"/>
              <w:adjustRightInd/>
              <w:spacing w:line="240" w:lineRule="auto"/>
              <w:textAlignment w:val="auto"/>
              <w:rPr>
                <w:rFonts w:ascii="宋体" w:hAnsi="宋体" w:eastAsia="宋体" w:cs="@仿宋_GB2312"/>
                <w:bCs/>
                <w:kern w:val="2"/>
                <w:lang w:val="en-US" w:eastAsia="zh-CN"/>
              </w:rPr>
            </w:pPr>
            <w:r>
              <w:rPr>
                <w:rFonts w:hint="eastAsia" w:ascii="宋体" w:hAnsi="宋体" w:eastAsia="宋体" w:cs="@仿宋_GB2312"/>
                <w:bCs/>
                <w:kern w:val="2"/>
                <w:lang w:val="en-US" w:eastAsia="zh-CN"/>
              </w:rPr>
              <w:t>1</w:t>
            </w:r>
          </w:p>
        </w:tc>
        <w:tc>
          <w:tcPr>
            <w:tcW w:w="2213" w:type="dxa"/>
            <w:noWrap w:val="0"/>
            <w:vAlign w:val="center"/>
          </w:tcPr>
          <w:p w14:paraId="6EEE0246">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977" w:type="dxa"/>
            <w:noWrap w:val="0"/>
            <w:vAlign w:val="center"/>
          </w:tcPr>
          <w:p w14:paraId="2282271F">
            <w:pPr>
              <w:pStyle w:val="7"/>
              <w:widowControl w:val="0"/>
              <w:wordWrap w:val="0"/>
              <w:spacing w:before="0" w:beforeAutospacing="0" w:after="0" w:afterAutospacing="0" w:line="360" w:lineRule="auto"/>
              <w:jc w:val="left"/>
              <w:rPr>
                <w:rFonts w:hint="eastAsia" w:ascii="宋体" w:hAnsi="宋体" w:eastAsia="宋体"/>
                <w:b w:val="0"/>
                <w:sz w:val="24"/>
                <w:lang w:bidi="ar"/>
              </w:rPr>
            </w:pPr>
            <w:r>
              <w:rPr>
                <w:rFonts w:hint="eastAsia" w:ascii="宋体" w:hAnsi="宋体" w:eastAsia="宋体"/>
                <w:b w:val="0"/>
                <w:bCs/>
                <w:sz w:val="24"/>
                <w:lang w:bidi="ar"/>
              </w:rPr>
              <w:t>合同签订后，预付50%；项目实施完毕后，付清尾款</w:t>
            </w:r>
            <w:r>
              <w:rPr>
                <w:rFonts w:hint="eastAsia" w:ascii="宋体" w:hAnsi="宋体" w:eastAsia="宋体"/>
                <w:b w:val="0"/>
                <w:sz w:val="24"/>
                <w:lang w:bidi="ar"/>
              </w:rPr>
              <w:t>。</w:t>
            </w:r>
          </w:p>
        </w:tc>
      </w:tr>
      <w:tr w14:paraId="7F054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24D12344">
            <w:pPr>
              <w:pStyle w:val="6"/>
              <w:pBdr>
                <w:bottom w:val="none" w:color="auto" w:sz="0" w:space="0"/>
              </w:pBdr>
              <w:tabs>
                <w:tab w:val="clear" w:pos="4153"/>
                <w:tab w:val="clear" w:pos="8306"/>
              </w:tabs>
              <w:wordWrap w:val="0"/>
              <w:adjustRightInd/>
              <w:spacing w:line="240" w:lineRule="auto"/>
              <w:textAlignment w:val="auto"/>
              <w:rPr>
                <w:rFonts w:ascii="宋体" w:hAnsi="宋体" w:eastAsia="宋体" w:cs="@仿宋_GB2312"/>
                <w:bCs/>
                <w:kern w:val="2"/>
                <w:lang w:val="en-US" w:eastAsia="zh-CN"/>
              </w:rPr>
            </w:pPr>
            <w:r>
              <w:rPr>
                <w:rFonts w:hint="eastAsia" w:ascii="宋体" w:hAnsi="宋体" w:eastAsia="宋体" w:cs="@仿宋_GB2312"/>
                <w:bCs/>
                <w:kern w:val="2"/>
                <w:lang w:val="en-US" w:eastAsia="zh-CN"/>
              </w:rPr>
              <w:t>2</w:t>
            </w:r>
          </w:p>
        </w:tc>
        <w:tc>
          <w:tcPr>
            <w:tcW w:w="2213" w:type="dxa"/>
            <w:noWrap w:val="0"/>
            <w:vAlign w:val="center"/>
          </w:tcPr>
          <w:p w14:paraId="7F096A11">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977" w:type="dxa"/>
            <w:noWrap w:val="0"/>
            <w:vAlign w:val="center"/>
          </w:tcPr>
          <w:p w14:paraId="1B249C44">
            <w:pPr>
              <w:pStyle w:val="7"/>
              <w:widowControl w:val="0"/>
              <w:wordWrap w:val="0"/>
              <w:spacing w:before="0" w:beforeAutospacing="0" w:after="0" w:afterAutospacing="0" w:line="360" w:lineRule="auto"/>
              <w:jc w:val="left"/>
              <w:rPr>
                <w:rFonts w:hint="eastAsia" w:ascii="宋体" w:hAnsi="宋体" w:eastAsia="宋体"/>
                <w:b w:val="0"/>
                <w:sz w:val="24"/>
                <w:lang w:bidi="ar"/>
              </w:rPr>
            </w:pPr>
            <w:r>
              <w:rPr>
                <w:rFonts w:hint="eastAsia" w:ascii="宋体" w:hAnsi="宋体" w:eastAsia="宋体"/>
                <w:b w:val="0"/>
                <w:sz w:val="24"/>
                <w:lang w:bidi="ar"/>
              </w:rPr>
              <w:t>安徽省疾病预防控制中心或采购人指定地点</w:t>
            </w:r>
          </w:p>
        </w:tc>
      </w:tr>
      <w:tr w14:paraId="11477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noWrap w:val="0"/>
            <w:vAlign w:val="center"/>
          </w:tcPr>
          <w:p w14:paraId="6F780E99">
            <w:pPr>
              <w:pStyle w:val="6"/>
              <w:pBdr>
                <w:bottom w:val="none" w:color="auto" w:sz="0" w:space="0"/>
              </w:pBdr>
              <w:tabs>
                <w:tab w:val="clear" w:pos="4153"/>
                <w:tab w:val="clear" w:pos="8306"/>
              </w:tabs>
              <w:wordWrap w:val="0"/>
              <w:adjustRightInd/>
              <w:spacing w:line="240" w:lineRule="auto"/>
              <w:textAlignment w:val="auto"/>
              <w:rPr>
                <w:rFonts w:ascii="宋体" w:hAnsi="宋体" w:eastAsia="宋体" w:cs="@仿宋_GB2312"/>
                <w:bCs/>
                <w:kern w:val="2"/>
                <w:lang w:val="en-US" w:eastAsia="zh-CN"/>
              </w:rPr>
            </w:pPr>
            <w:r>
              <w:rPr>
                <w:rFonts w:hint="eastAsia" w:ascii="宋体" w:hAnsi="宋体" w:eastAsia="宋体" w:cs="@仿宋_GB2312"/>
                <w:bCs/>
                <w:kern w:val="2"/>
                <w:lang w:val="en-US" w:eastAsia="zh-CN"/>
              </w:rPr>
              <w:t>3</w:t>
            </w:r>
          </w:p>
        </w:tc>
        <w:tc>
          <w:tcPr>
            <w:tcW w:w="2213" w:type="dxa"/>
            <w:noWrap w:val="0"/>
            <w:vAlign w:val="center"/>
          </w:tcPr>
          <w:p w14:paraId="10B7B790">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977" w:type="dxa"/>
            <w:noWrap w:val="0"/>
            <w:vAlign w:val="center"/>
          </w:tcPr>
          <w:p w14:paraId="67BBA7F9">
            <w:pPr>
              <w:pStyle w:val="7"/>
              <w:widowControl w:val="0"/>
              <w:wordWrap w:val="0"/>
              <w:spacing w:before="0" w:beforeAutospacing="0" w:after="0" w:afterAutospacing="0" w:line="360" w:lineRule="auto"/>
              <w:jc w:val="left"/>
              <w:rPr>
                <w:rFonts w:hint="eastAsia" w:ascii="宋体" w:hAnsi="宋体" w:eastAsia="宋体"/>
                <w:b w:val="0"/>
                <w:sz w:val="24"/>
                <w:lang w:bidi="ar"/>
              </w:rPr>
            </w:pPr>
            <w:r>
              <w:rPr>
                <w:rFonts w:hint="default" w:ascii="Times New Roman" w:hAnsi="Times New Roman" w:eastAsia="宋体" w:cs="Times New Roman"/>
                <w:b w:val="0"/>
                <w:sz w:val="24"/>
                <w:lang w:bidi="ar"/>
              </w:rPr>
              <w:t>2026年1月1日~2026年12月31日</w:t>
            </w:r>
            <w:r>
              <w:rPr>
                <w:rFonts w:hint="eastAsia" w:ascii="宋体" w:hAnsi="宋体" w:eastAsia="宋体"/>
                <w:b w:val="0"/>
                <w:sz w:val="24"/>
                <w:lang w:bidi="ar"/>
              </w:rPr>
              <w:t>。为保证实验室运行使用的稳定性，服务期满后，经采购人年度考核合格，在年度预算能保障且政策无调整的前提下，可按照上一年度合同价再续签下一年度服务合同（续签次数不可超过1次）</w:t>
            </w:r>
          </w:p>
        </w:tc>
      </w:tr>
    </w:tbl>
    <w:p w14:paraId="56B19233">
      <w:pPr>
        <w:wordWrap w:val="0"/>
        <w:spacing w:line="360" w:lineRule="auto"/>
        <w:ind w:firstLine="437"/>
        <w:rPr>
          <w:rFonts w:ascii="Arial" w:hAnsi="Arial" w:eastAsia="宋体" w:cs="Arial"/>
          <w:b/>
          <w:sz w:val="28"/>
          <w:szCs w:val="28"/>
        </w:rPr>
      </w:pPr>
      <w:r>
        <w:rPr>
          <w:rFonts w:hint="eastAsia" w:ascii="Arial" w:hAnsi="Arial" w:eastAsia="宋体" w:cs="Arial"/>
          <w:b/>
          <w:sz w:val="28"/>
          <w:szCs w:val="28"/>
        </w:rPr>
        <w:t>二、服务</w:t>
      </w:r>
      <w:r>
        <w:rPr>
          <w:rFonts w:ascii="Arial" w:hAnsi="Arial" w:eastAsia="宋体" w:cs="Arial"/>
          <w:b/>
          <w:sz w:val="28"/>
          <w:szCs w:val="28"/>
        </w:rPr>
        <w:t>需求</w:t>
      </w:r>
    </w:p>
    <w:p w14:paraId="0E5442C7">
      <w:pPr>
        <w:wordWrap w:val="0"/>
        <w:spacing w:line="360" w:lineRule="auto"/>
        <w:ind w:firstLine="437"/>
        <w:rPr>
          <w:rFonts w:hint="eastAsia" w:ascii="宋体" w:hAnsi="宋体" w:eastAsia="宋体"/>
          <w:sz w:val="24"/>
        </w:rPr>
      </w:pPr>
      <w:r>
        <w:rPr>
          <w:rFonts w:hint="eastAsia" w:ascii="宋体" w:hAnsi="宋体" w:eastAsia="宋体"/>
          <w:sz w:val="24"/>
        </w:rPr>
        <w:t>1、根据《生物安全实验室建筑技术规范》（GB50346-2011）、《实验室生物安全通用要求》（GB19489-2008）、</w:t>
      </w:r>
      <w:r>
        <w:rPr>
          <w:rFonts w:hint="eastAsia" w:ascii="宋体" w:hAnsi="宋体" w:eastAsia="宋体"/>
          <w:sz w:val="24"/>
          <w:lang w:eastAsia="zh-CN"/>
        </w:rPr>
        <w:t>《</w:t>
      </w:r>
      <w:r>
        <w:rPr>
          <w:rFonts w:hint="eastAsia" w:ascii="宋体" w:hAnsi="宋体" w:eastAsia="宋体"/>
          <w:sz w:val="24"/>
          <w:lang w:val="en-US" w:eastAsia="zh-CN"/>
        </w:rPr>
        <w:t>生物安全柜》</w:t>
      </w:r>
      <w:r>
        <w:rPr>
          <w:rFonts w:hint="eastAsia" w:ascii="宋体" w:hAnsi="宋体" w:eastAsia="宋体"/>
          <w:sz w:val="24"/>
        </w:rPr>
        <w:t>GB4191</w:t>
      </w:r>
      <w:r>
        <w:rPr>
          <w:rFonts w:hint="eastAsia" w:ascii="宋体" w:hAnsi="宋体" w:eastAsia="宋体"/>
          <w:sz w:val="24"/>
          <w:lang w:val="en-US" w:eastAsia="zh-CN"/>
        </w:rPr>
        <w:t>8</w:t>
      </w:r>
      <w:r>
        <w:rPr>
          <w:rFonts w:hint="eastAsia" w:ascii="宋体" w:hAnsi="宋体" w:eastAsia="宋体"/>
          <w:sz w:val="24"/>
        </w:rPr>
        <w:t>-2022、CNAS-CL05：2009《实验室生物安全认可准则》、CNAS-CL05-A002：2020《实验室生物安全认可准则对关键防护设备评价的应用说明》等标准要求，提供BSL-3实验室的</w:t>
      </w:r>
      <w:r>
        <w:rPr>
          <w:rFonts w:hint="eastAsia" w:ascii="宋体" w:hAnsi="宋体" w:eastAsia="宋体"/>
          <w:sz w:val="24"/>
          <w:lang w:val="en-US" w:eastAsia="zh-CN"/>
        </w:rPr>
        <w:t>年度</w:t>
      </w:r>
      <w:r>
        <w:rPr>
          <w:rFonts w:hint="eastAsia" w:ascii="宋体" w:hAnsi="宋体" w:eastAsia="宋体"/>
          <w:sz w:val="24"/>
        </w:rPr>
        <w:t>运行维护维修服务，确保其状态完好，运行正常保障实验室安全稳定运行；</w:t>
      </w:r>
    </w:p>
    <w:p w14:paraId="178A0D75">
      <w:pPr>
        <w:wordWrap w:val="0"/>
        <w:spacing w:line="360" w:lineRule="auto"/>
        <w:ind w:firstLine="437"/>
        <w:rPr>
          <w:rFonts w:hint="eastAsia" w:ascii="宋体" w:hAnsi="宋体" w:eastAsia="宋体"/>
          <w:sz w:val="24"/>
        </w:rPr>
      </w:pPr>
      <w:r>
        <w:rPr>
          <w:rFonts w:hint="eastAsia" w:ascii="宋体" w:hAnsi="宋体" w:eastAsia="宋体"/>
          <w:sz w:val="24"/>
        </w:rPr>
        <w:t>2、维护维修服务方在合同期内对实验室</w:t>
      </w:r>
      <w:r>
        <w:rPr>
          <w:rFonts w:hint="eastAsia" w:ascii="宋体" w:hAnsi="宋体" w:eastAsia="宋体"/>
          <w:sz w:val="24"/>
          <w:lang w:val="en-US" w:eastAsia="zh-CN"/>
        </w:rPr>
        <w:t>在用的所有关键</w:t>
      </w:r>
      <w:r>
        <w:rPr>
          <w:rFonts w:hint="eastAsia" w:ascii="宋体" w:hAnsi="宋体" w:eastAsia="宋体"/>
          <w:sz w:val="24"/>
        </w:rPr>
        <w:t>设施设备按标准要求制定巡检计划、维护保养计划、应急维修方案以及其它配合服务，巡检发现问题及时向实验室相关主管部门汇报情况，根据故障情况制定有针对性切实可行的维修方案，协商并确定维修事宜，在最短的时间内排除故障，保障实验室安全有效运行。</w:t>
      </w:r>
    </w:p>
    <w:p w14:paraId="18272B20">
      <w:pPr>
        <w:wordWrap w:val="0"/>
        <w:spacing w:line="360" w:lineRule="auto"/>
        <w:ind w:firstLine="437"/>
        <w:rPr>
          <w:rFonts w:hint="eastAsia" w:ascii="宋体" w:hAnsi="宋体" w:eastAsia="宋体"/>
          <w:sz w:val="24"/>
        </w:rPr>
      </w:pPr>
      <w:r>
        <w:rPr>
          <w:rFonts w:hint="eastAsia" w:ascii="宋体" w:hAnsi="宋体" w:eastAsia="宋体"/>
          <w:sz w:val="24"/>
        </w:rPr>
        <w:t>2.1 实验室空调、水路系统维护：确保实验室空调、水路系统正常运行，保证实验室内温湿度达到标准要求和舒适性要求。空调表冷器、加湿器定期检修维护，故障维修，工况预警和应急处理。每年逢换季模式工况切换，需要增加检修力度，提前做好换季模式工况切换前的准备工作，确保制冷制热工况模式切换运行正常，保证空调模块机组使用正常；</w:t>
      </w:r>
    </w:p>
    <w:p w14:paraId="44737DA3">
      <w:pPr>
        <w:wordWrap w:val="0"/>
        <w:spacing w:line="360" w:lineRule="auto"/>
        <w:ind w:firstLine="437"/>
        <w:rPr>
          <w:rFonts w:hint="eastAsia" w:ascii="宋体" w:hAnsi="宋体" w:eastAsia="宋体"/>
          <w:sz w:val="24"/>
        </w:rPr>
      </w:pPr>
      <w:r>
        <w:rPr>
          <w:rFonts w:hint="eastAsia" w:ascii="宋体" w:hAnsi="宋体" w:eastAsia="宋体"/>
          <w:sz w:val="24"/>
        </w:rPr>
        <w:t>2.2 实验室送排风系统维护：确保送风机、双排风机组工况运行正常，主备排风机故障工况切换正常，送风机工况切换正常。新风初、中效过滤器的定期检查压力记录，滤器更换。送排风系统相关定风量阀门、变风量阀门、手动阀门运行工况校准，零点位校准。管路密封性及保温层完整性、机箱组气密性、消音器的密闭性检查。文丘里风量调解阀门动作工况、精度标度定期确认核准。生物型密闭阀门开关运行工况检修维护，排风机箱组检修维护，排风帽逆止阀日常维护；</w:t>
      </w:r>
    </w:p>
    <w:p w14:paraId="62010B9D">
      <w:pPr>
        <w:wordWrap w:val="0"/>
        <w:spacing w:line="360" w:lineRule="auto"/>
        <w:ind w:firstLine="437"/>
        <w:rPr>
          <w:rFonts w:hint="eastAsia" w:ascii="宋体" w:hAnsi="宋体" w:eastAsia="宋体"/>
          <w:sz w:val="24"/>
        </w:rPr>
      </w:pPr>
      <w:r>
        <w:rPr>
          <w:rFonts w:hint="eastAsia" w:ascii="宋体" w:hAnsi="宋体" w:eastAsia="宋体"/>
          <w:sz w:val="24"/>
        </w:rPr>
        <w:t>2.3 高效过滤器：日常包括高效过滤器使用状态记录、分析监测相关数据、原位排风过滤器每季进行定期检漏，特别是每个实验周期结束终末消毒完成后必须进行检漏测试。送风高效过滤器工况监测、工况数据记录分析，必要时进行送排风过滤器更换安装、自检测、配合第三方检测并处理检测过程中的问题等工作。相关更换事宜需要根据过滤器的监测数据双方协商确认对高效过滤器进行更换维护工作；</w:t>
      </w:r>
    </w:p>
    <w:p w14:paraId="3DCFA9A7">
      <w:pPr>
        <w:wordWrap w:val="0"/>
        <w:spacing w:line="360" w:lineRule="auto"/>
        <w:ind w:firstLine="437"/>
        <w:rPr>
          <w:rFonts w:hint="eastAsia" w:ascii="宋体" w:hAnsi="宋体" w:eastAsia="宋体"/>
          <w:sz w:val="24"/>
        </w:rPr>
      </w:pPr>
      <w:r>
        <w:rPr>
          <w:rFonts w:hint="eastAsia" w:ascii="宋体" w:hAnsi="宋体" w:eastAsia="宋体"/>
          <w:sz w:val="24"/>
        </w:rPr>
        <w:t>2.4 自控、电气系统：保障实验室PLC自动控制系统运行工况稳定，维护自控配电柜、控制模块、通讯模块、仪器仪表、IO数据校验、信号线缆检查、压差传感器检修校验、温湿度传感器检修校验、紧急按钮、一般报警、重要报警校验。启停记录、运行记录、报警记录，重要故障记录，确保实验室自控系统运行稳定安全；确保实验室日常供电双路转换正常、照明电力设施正常，风机空调动力电工况正常、UPS系统日常维护，实验室照明工况维护，应急照明维护维修，保证工况正常稳定；</w:t>
      </w:r>
    </w:p>
    <w:p w14:paraId="6B0DEDF6">
      <w:pPr>
        <w:wordWrap w:val="0"/>
        <w:spacing w:line="360" w:lineRule="auto"/>
        <w:ind w:firstLine="437"/>
        <w:rPr>
          <w:rFonts w:hint="eastAsia" w:ascii="宋体" w:hAnsi="宋体" w:eastAsia="宋体"/>
          <w:sz w:val="24"/>
        </w:rPr>
      </w:pPr>
      <w:r>
        <w:rPr>
          <w:rFonts w:hint="eastAsia" w:ascii="宋体" w:hAnsi="宋体" w:eastAsia="宋体"/>
          <w:sz w:val="24"/>
        </w:rPr>
        <w:t>2.5 维护结构定期检漏维护：包括洁净彩钢板、PVC地面、安全逃生门、实验室出入口门，实验室防护区内墙、地面、吊顶、穿墙管线、门窗及各类设备连接口密闭检修维护整体气密维护测试，淋浴房、下水地漏及紧急喷淋系统与外部连通处密闭情况定期检测巡查，保证维护结构完整实验室气密性安全，始终保持良好的密封状态，达到生物安全实验室相应标准；</w:t>
      </w:r>
    </w:p>
    <w:p w14:paraId="04BD5847">
      <w:pPr>
        <w:wordWrap w:val="0"/>
        <w:spacing w:line="360" w:lineRule="auto"/>
        <w:ind w:firstLine="437"/>
        <w:rPr>
          <w:rFonts w:hint="eastAsia" w:ascii="宋体" w:hAnsi="宋体" w:eastAsia="宋体"/>
          <w:sz w:val="24"/>
        </w:rPr>
      </w:pPr>
      <w:r>
        <w:rPr>
          <w:rFonts w:hint="eastAsia" w:ascii="宋体" w:hAnsi="宋体" w:eastAsia="宋体"/>
          <w:sz w:val="24"/>
        </w:rPr>
        <w:t>2.6 安全柜定期巡检，对</w:t>
      </w:r>
      <w:r>
        <w:rPr>
          <w:rFonts w:hint="default" w:ascii="Times New Roman" w:hAnsi="Times New Roman" w:eastAsia="宋体" w:cs="Times New Roman"/>
          <w:sz w:val="24"/>
        </w:rPr>
        <w:t>2台AⅡ型生物安全柜</w:t>
      </w:r>
      <w:r>
        <w:rPr>
          <w:rFonts w:hint="eastAsia" w:ascii="宋体" w:hAnsi="宋体" w:eastAsia="宋体"/>
          <w:sz w:val="24"/>
        </w:rPr>
        <w:t>进行物理工况监测，运行工况调试，运行安全工况确认，保证生物安全柜正常使用；</w:t>
      </w:r>
    </w:p>
    <w:p w14:paraId="0A78A205">
      <w:pPr>
        <w:wordWrap w:val="0"/>
        <w:spacing w:line="360" w:lineRule="auto"/>
        <w:ind w:firstLine="437"/>
        <w:rPr>
          <w:rFonts w:hint="eastAsia" w:ascii="宋体" w:hAnsi="宋体" w:eastAsia="宋体"/>
          <w:sz w:val="24"/>
        </w:rPr>
      </w:pPr>
      <w:r>
        <w:rPr>
          <w:rFonts w:hint="eastAsia" w:ascii="宋体" w:hAnsi="宋体" w:eastAsia="宋体"/>
          <w:sz w:val="24"/>
        </w:rPr>
        <w:t>2.7 供水、供气系统：维护维修实验室日常供水、高压锅软水系统。保证实验室供气系统正常，确保实验室用气安全和及时供应；</w:t>
      </w:r>
    </w:p>
    <w:p w14:paraId="3E8E87F7">
      <w:pPr>
        <w:wordWrap w:val="0"/>
        <w:spacing w:line="360" w:lineRule="auto"/>
        <w:ind w:firstLine="437"/>
        <w:rPr>
          <w:rFonts w:hint="eastAsia" w:ascii="宋体" w:hAnsi="宋体" w:eastAsia="宋体"/>
          <w:sz w:val="24"/>
        </w:rPr>
      </w:pPr>
      <w:r>
        <w:rPr>
          <w:rFonts w:hint="eastAsia" w:ascii="宋体" w:hAnsi="宋体" w:eastAsia="宋体"/>
          <w:sz w:val="24"/>
        </w:rPr>
        <w:t>2.8 监控、对讲、门禁系统：保证实验室云台监控、全景监控运行显示，记录录像工况，备份存档数据，随时备查。保证对讲系统和门禁系统安全使用，应急工况维修处理；</w:t>
      </w:r>
    </w:p>
    <w:p w14:paraId="7571BFCF">
      <w:pPr>
        <w:wordWrap w:val="0"/>
        <w:spacing w:line="360" w:lineRule="auto"/>
        <w:ind w:firstLine="437"/>
        <w:rPr>
          <w:rFonts w:hint="eastAsia" w:ascii="宋体" w:hAnsi="宋体" w:eastAsia="宋体"/>
          <w:sz w:val="24"/>
        </w:rPr>
      </w:pPr>
      <w:r>
        <w:rPr>
          <w:rFonts w:hint="eastAsia" w:ascii="宋体" w:hAnsi="宋体" w:eastAsia="宋体"/>
          <w:sz w:val="24"/>
        </w:rPr>
        <w:t>2.9实验室终末消毒：根据实验室工作需要，实验室实验活动结束，必要时配合进行实验室终末消毒工作，包括消毒活动操作及消毒工作结束后现场的处理等；</w:t>
      </w:r>
    </w:p>
    <w:p w14:paraId="1A904210">
      <w:pPr>
        <w:wordWrap w:val="0"/>
        <w:spacing w:line="360" w:lineRule="auto"/>
        <w:ind w:firstLine="437"/>
        <w:rPr>
          <w:rFonts w:hint="eastAsia" w:ascii="宋体" w:hAnsi="宋体" w:eastAsia="宋体"/>
          <w:sz w:val="24"/>
        </w:rPr>
      </w:pPr>
      <w:r>
        <w:rPr>
          <w:rFonts w:hint="eastAsia" w:ascii="宋体" w:hAnsi="宋体" w:eastAsia="宋体"/>
          <w:sz w:val="24"/>
        </w:rPr>
        <w:t>2.10实验室送风机房、UPS机房、楼顶排风机组、设备夹层、中控室日常维护维修，卫生清洁，门禁管理，协调配合好与物业的工作分割面，保证出入安全、使用安全和消防安全；</w:t>
      </w:r>
    </w:p>
    <w:p w14:paraId="77F27F00">
      <w:pPr>
        <w:wordWrap w:val="0"/>
        <w:spacing w:line="360" w:lineRule="auto"/>
        <w:ind w:firstLine="437"/>
        <w:rPr>
          <w:rFonts w:hint="eastAsia" w:ascii="宋体" w:hAnsi="宋体" w:eastAsia="宋体"/>
          <w:sz w:val="24"/>
        </w:rPr>
      </w:pPr>
      <w:r>
        <w:rPr>
          <w:rFonts w:hint="eastAsia" w:ascii="宋体" w:hAnsi="宋体" w:eastAsia="宋体"/>
          <w:sz w:val="24"/>
        </w:rPr>
        <w:t>2.11极端天气要有应急预案，确保上述系统的正常运行及实验室相关设备的完好工况；</w:t>
      </w:r>
    </w:p>
    <w:p w14:paraId="7CB0AFE3">
      <w:pPr>
        <w:wordWrap w:val="0"/>
        <w:spacing w:line="360" w:lineRule="auto"/>
        <w:ind w:firstLine="437"/>
        <w:rPr>
          <w:rFonts w:hint="eastAsia" w:ascii="宋体" w:hAnsi="宋体" w:eastAsia="宋体"/>
          <w:sz w:val="24"/>
        </w:rPr>
      </w:pPr>
      <w:r>
        <w:rPr>
          <w:rFonts w:hint="eastAsia" w:ascii="宋体" w:hAnsi="宋体" w:eastAsia="宋体"/>
          <w:sz w:val="24"/>
        </w:rPr>
        <w:t>3、每年4月、10月为实验室大型检修期，届时需对BSL-3实验室全系统进行彻底检修，如遇不可抗因素，可协商更改时间；</w:t>
      </w:r>
    </w:p>
    <w:p w14:paraId="5B71997E">
      <w:pPr>
        <w:wordWrap w:val="0"/>
        <w:spacing w:line="360" w:lineRule="auto"/>
        <w:ind w:firstLine="437"/>
        <w:rPr>
          <w:rFonts w:hint="eastAsia" w:ascii="宋体" w:hAnsi="宋体" w:eastAsia="宋体"/>
          <w:sz w:val="24"/>
        </w:rPr>
      </w:pPr>
      <w:r>
        <w:rPr>
          <w:rFonts w:hint="eastAsia" w:ascii="宋体" w:hAnsi="宋体" w:eastAsia="宋体"/>
          <w:sz w:val="24"/>
        </w:rPr>
        <w:t>4、维保服务方保证至少安排1名工作人员为项目负责人与我中心工作人员建立联系</w:t>
      </w:r>
      <w:r>
        <w:rPr>
          <w:rFonts w:hint="eastAsia" w:ascii="宋体" w:hAnsi="宋体" w:eastAsia="宋体"/>
          <w:sz w:val="24"/>
          <w:lang w:eastAsia="zh-CN"/>
        </w:rPr>
        <w:t>。</w:t>
      </w:r>
      <w:r>
        <w:rPr>
          <w:rFonts w:hint="default" w:ascii="Times New Roman" w:hAnsi="Times New Roman" w:eastAsia="宋体" w:cs="Times New Roman"/>
          <w:sz w:val="24"/>
        </w:rPr>
        <w:t>当接到BSL-3实验</w:t>
      </w:r>
      <w:r>
        <w:rPr>
          <w:rFonts w:hint="eastAsia" w:ascii="宋体" w:hAnsi="宋体" w:eastAsia="宋体"/>
          <w:sz w:val="24"/>
        </w:rPr>
        <w:t>室设施设备出现故障电话通知时，应立即组织工程技术人员到达现场进行处理，确保能及时响应实验室运行中的硬件问题，第一时间启动应急措施</w:t>
      </w:r>
      <w:r>
        <w:rPr>
          <w:rFonts w:hint="eastAsia" w:ascii="宋体" w:hAnsi="宋体" w:eastAsia="宋体"/>
          <w:sz w:val="24"/>
          <w:lang w:eastAsia="zh-CN"/>
        </w:rPr>
        <w:t>。</w:t>
      </w:r>
      <w:r>
        <w:rPr>
          <w:rFonts w:hint="eastAsia" w:ascii="宋体" w:hAnsi="宋体" w:eastAsia="宋体"/>
          <w:sz w:val="24"/>
          <w:lang w:val="en-US" w:eastAsia="zh-CN"/>
        </w:rPr>
        <w:t>服务期内，电话响应时</w:t>
      </w:r>
      <w:r>
        <w:rPr>
          <w:rFonts w:hint="default" w:ascii="Times New Roman" w:hAnsi="Times New Roman" w:eastAsia="宋体" w:cs="Times New Roman"/>
          <w:sz w:val="24"/>
          <w:lang w:val="en-US" w:eastAsia="zh-CN"/>
        </w:rPr>
        <w:t>间应小于</w:t>
      </w:r>
      <w:r>
        <w:rPr>
          <w:rFonts w:hint="eastAsia" w:ascii="Times New Roman" w:hAnsi="Times New Roman" w:eastAsia="宋体" w:cs="Times New Roman"/>
          <w:sz w:val="24"/>
          <w:lang w:val="en-US" w:eastAsia="zh-CN"/>
        </w:rPr>
        <w:t>20</w:t>
      </w:r>
      <w:r>
        <w:rPr>
          <w:rFonts w:hint="default" w:ascii="Times New Roman" w:hAnsi="Times New Roman" w:eastAsia="宋体" w:cs="Times New Roman"/>
          <w:sz w:val="24"/>
          <w:lang w:val="en-US" w:eastAsia="zh-CN"/>
        </w:rPr>
        <w:t>min</w:t>
      </w:r>
      <w:r>
        <w:rPr>
          <w:rFonts w:hint="eastAsia" w:ascii="宋体" w:hAnsi="宋体" w:eastAsia="宋体"/>
          <w:sz w:val="24"/>
          <w:lang w:val="en-US" w:eastAsia="zh-CN"/>
        </w:rPr>
        <w:t>，</w:t>
      </w:r>
      <w:r>
        <w:rPr>
          <w:rFonts w:hint="default" w:ascii="Times New Roman" w:hAnsi="Times New Roman" w:eastAsia="宋体" w:cs="Times New Roman"/>
          <w:sz w:val="24"/>
        </w:rPr>
        <w:t>当接到BSL-3</w:t>
      </w:r>
      <w:r>
        <w:rPr>
          <w:rFonts w:hint="eastAsia" w:ascii="宋体" w:hAnsi="宋体" w:eastAsia="宋体"/>
          <w:sz w:val="24"/>
        </w:rPr>
        <w:t>实验室设施设备出现故障电话通知时，应立即组织工程技术人员到达现场进行处理，紧急情况</w:t>
      </w:r>
      <w:r>
        <w:rPr>
          <w:rFonts w:hint="eastAsia" w:ascii="宋体" w:hAnsi="宋体" w:eastAsia="宋体"/>
          <w:sz w:val="24"/>
          <w:lang w:val="en-US" w:eastAsia="zh-CN"/>
        </w:rPr>
        <w:t>下</w:t>
      </w:r>
      <w:r>
        <w:rPr>
          <w:rFonts w:hint="eastAsia" w:ascii="宋体" w:hAnsi="宋体" w:eastAsia="宋体"/>
          <w:sz w:val="24"/>
        </w:rPr>
        <w:t>至少有3名维护工作人员能8小时内到</w:t>
      </w:r>
      <w:r>
        <w:rPr>
          <w:rFonts w:hint="eastAsia" w:ascii="宋体" w:hAnsi="宋体" w:eastAsia="宋体"/>
          <w:sz w:val="24"/>
          <w:lang w:val="en-US" w:eastAsia="zh-CN"/>
        </w:rPr>
        <w:t>达</w:t>
      </w:r>
      <w:r>
        <w:rPr>
          <w:rFonts w:hint="eastAsia" w:ascii="宋体" w:hAnsi="宋体" w:eastAsia="宋体"/>
          <w:sz w:val="24"/>
        </w:rPr>
        <w:t>实验室现场保障服务，非紧急情况双方协商确认维护维修时间</w:t>
      </w:r>
      <w:r>
        <w:rPr>
          <w:rFonts w:hint="eastAsia" w:ascii="宋体" w:hAnsi="宋体" w:eastAsia="宋体"/>
          <w:b/>
          <w:bCs/>
          <w:sz w:val="24"/>
        </w:rPr>
        <w:t>（投标文件中须提供承诺书，格式自拟）</w:t>
      </w:r>
      <w:r>
        <w:rPr>
          <w:rFonts w:hint="eastAsia" w:ascii="宋体" w:hAnsi="宋体" w:eastAsia="宋体"/>
          <w:sz w:val="24"/>
        </w:rPr>
        <w:t>；</w:t>
      </w:r>
    </w:p>
    <w:p w14:paraId="45E64504">
      <w:pPr>
        <w:wordWrap w:val="0"/>
        <w:spacing w:line="360" w:lineRule="auto"/>
        <w:ind w:firstLine="437"/>
        <w:rPr>
          <w:rFonts w:hint="eastAsia" w:ascii="宋体" w:hAnsi="宋体" w:eastAsia="宋体"/>
          <w:sz w:val="24"/>
        </w:rPr>
      </w:pPr>
      <w:r>
        <w:rPr>
          <w:rFonts w:hint="eastAsia" w:ascii="宋体" w:hAnsi="宋体" w:eastAsia="宋体"/>
          <w:sz w:val="24"/>
        </w:rPr>
        <w:t>5、每年协调配合第三方检测机构对BSL-3实验室硬件设施运行状况进行年检，依具相关标准对实验室工况进行全面检测，并负责解决处理在检测过程发现的问题，直至出具合格的第三方检测报告。</w:t>
      </w:r>
    </w:p>
    <w:p w14:paraId="0D9CE151">
      <w:pPr>
        <w:wordWrap w:val="0"/>
        <w:spacing w:line="360" w:lineRule="auto"/>
        <w:ind w:firstLine="437"/>
        <w:rPr>
          <w:rFonts w:hint="eastAsia" w:ascii="宋体" w:hAnsi="宋体" w:eastAsia="宋体"/>
          <w:sz w:val="24"/>
        </w:rPr>
      </w:pPr>
      <w:r>
        <w:rPr>
          <w:rFonts w:hint="eastAsia" w:ascii="宋体" w:hAnsi="宋体" w:eastAsia="宋体"/>
          <w:sz w:val="24"/>
        </w:rPr>
        <w:t>6、积极配合BSL-3实验室完成实验室认可评审部门CNAS对实验室的评审及对设施设备工况的测试工作，确保实验室硬件设施满足评审标准要求。</w:t>
      </w:r>
    </w:p>
    <w:p w14:paraId="547A0B57">
      <w:pPr>
        <w:wordWrap w:val="0"/>
        <w:spacing w:line="360" w:lineRule="auto"/>
        <w:ind w:firstLine="437"/>
        <w:rPr>
          <w:rFonts w:hint="eastAsia" w:ascii="宋体" w:hAnsi="宋体" w:eastAsia="宋体"/>
          <w:sz w:val="24"/>
        </w:rPr>
      </w:pPr>
      <w:r>
        <w:rPr>
          <w:rFonts w:hint="eastAsia" w:ascii="宋体" w:hAnsi="宋体" w:eastAsia="宋体"/>
          <w:sz w:val="24"/>
        </w:rPr>
        <w:t>7、积极配合实验室进行对外的公开性活动，如国家安全日实验室开放活动、领导参观视察活动、生物安全交流参观活动等。</w:t>
      </w:r>
    </w:p>
    <w:p w14:paraId="25EC5334">
      <w:pPr>
        <w:wordWrap w:val="0"/>
        <w:spacing w:line="360" w:lineRule="auto"/>
        <w:ind w:firstLine="437"/>
        <w:rPr>
          <w:rFonts w:hint="eastAsia" w:ascii="宋体" w:hAnsi="宋体" w:eastAsia="@仿宋_GB2312"/>
          <w:sz w:val="24"/>
          <w:lang w:val="en-US" w:eastAsia="zh-CN"/>
        </w:rPr>
      </w:pPr>
      <w:r>
        <w:rPr>
          <w:rFonts w:hint="eastAsia" w:ascii="宋体" w:hAnsi="宋体" w:eastAsia="宋体"/>
          <w:sz w:val="24"/>
        </w:rPr>
        <w:t>8、根据BSL-3实验室设施、设备耗损的程度，如需要更换相关部件时，应按相关流程上报，审核确认后实施。更换后，须根据《生物安全实验室建筑技术规范》 GB50346-2011、《实验室生物安全通用要求》GB19489-2008等标准进行维护后自检，并出具检测记录和报告，记录存</w:t>
      </w:r>
      <w:r>
        <w:rPr>
          <w:rFonts w:hint="eastAsia" w:ascii="宋体" w:hAnsi="宋体" w:eastAsia="宋体"/>
          <w:sz w:val="24"/>
          <w:lang w:val="en-US" w:eastAsia="zh-CN"/>
        </w:rPr>
        <w:t>档。一般情况下，实验室低值易损件（如进风初效过滤器、插座、电线和空气开关等）的更换费用由维保单位负责，其它部件更换费用由双方协商确定。</w:t>
      </w:r>
    </w:p>
    <w:p w14:paraId="4C9F117F">
      <w:pPr>
        <w:wordWrap w:val="0"/>
        <w:spacing w:line="360" w:lineRule="auto"/>
        <w:ind w:firstLine="437"/>
        <w:rPr>
          <w:rFonts w:hint="eastAsia" w:ascii="宋体" w:hAnsi="宋体" w:eastAsia="宋体"/>
          <w:sz w:val="24"/>
        </w:rPr>
      </w:pPr>
      <w:r>
        <w:rPr>
          <w:rFonts w:hint="eastAsia" w:ascii="宋体" w:hAnsi="宋体" w:eastAsia="宋体"/>
          <w:sz w:val="24"/>
        </w:rPr>
        <w:t>9、完成维护维修工作后应认真、如实填写维护维修工作记录单，需要实验室负责老师确认签字，所有工作内容需要有文字资料，整理成册，备案存档。</w:t>
      </w:r>
    </w:p>
    <w:p w14:paraId="52B600EB">
      <w:pPr>
        <w:wordWrap w:val="0"/>
        <w:spacing w:line="360" w:lineRule="auto"/>
        <w:ind w:firstLine="437"/>
        <w:rPr>
          <w:rFonts w:hint="eastAsia" w:ascii="宋体" w:hAnsi="宋体" w:eastAsia="宋体"/>
          <w:sz w:val="24"/>
        </w:rPr>
      </w:pPr>
      <w:r>
        <w:rPr>
          <w:rFonts w:hint="eastAsia" w:ascii="宋体" w:hAnsi="宋体" w:eastAsia="宋体"/>
          <w:sz w:val="24"/>
        </w:rPr>
        <w:t>10、提供技术培训/进行经验交流，辅导实验室相关人员掌握系统的基本操作和简单的故障分析，每季安排培训讲座，对实验室运行进行分析报告，维修维护总结，案例分析。</w:t>
      </w:r>
    </w:p>
    <w:p w14:paraId="524CE87D">
      <w:pPr>
        <w:wordWrap w:val="0"/>
        <w:spacing w:line="360" w:lineRule="auto"/>
        <w:ind w:firstLine="437"/>
        <w:rPr>
          <w:rFonts w:hint="eastAsia" w:ascii="宋体" w:hAnsi="宋体" w:eastAsia="宋体"/>
          <w:sz w:val="24"/>
        </w:rPr>
      </w:pPr>
      <w:r>
        <w:rPr>
          <w:rFonts w:hint="eastAsia" w:ascii="宋体" w:hAnsi="宋体" w:eastAsia="宋体"/>
          <w:sz w:val="24"/>
        </w:rPr>
        <w:t>11、根据实验室需要以及UPS电源的实际工况，必要时进行UPS电池更换服务</w:t>
      </w:r>
      <w:r>
        <w:rPr>
          <w:rFonts w:hint="eastAsia" w:ascii="宋体" w:hAnsi="宋体" w:eastAsia="宋体"/>
          <w:b/>
          <w:bCs/>
          <w:sz w:val="24"/>
        </w:rPr>
        <w:t>（费用另计）</w:t>
      </w:r>
      <w:r>
        <w:rPr>
          <w:rFonts w:hint="eastAsia" w:ascii="宋体" w:hAnsi="宋体" w:eastAsia="宋体"/>
          <w:sz w:val="24"/>
        </w:rPr>
        <w:t>。</w:t>
      </w:r>
    </w:p>
    <w:p w14:paraId="31EDB3F4">
      <w:pPr>
        <w:wordWrap w:val="0"/>
        <w:spacing w:line="360" w:lineRule="auto"/>
        <w:ind w:firstLine="437"/>
        <w:rPr>
          <w:rFonts w:hint="eastAsia" w:ascii="宋体" w:hAnsi="宋体" w:eastAsia="宋体"/>
          <w:sz w:val="24"/>
        </w:rPr>
      </w:pPr>
      <w:r>
        <w:rPr>
          <w:rFonts w:hint="eastAsia" w:ascii="宋体" w:hAnsi="宋体" w:eastAsia="宋体"/>
          <w:sz w:val="24"/>
        </w:rPr>
        <w:t>12、人员需求:维护服务团队应不少于5人，其中核心成员应通过高等级生物安全实验室国家级培训，且应有BSL-3实验室相关建造或维护经验</w:t>
      </w:r>
      <w:r>
        <w:rPr>
          <w:rFonts w:hint="eastAsia" w:ascii="宋体" w:hAnsi="宋体" w:eastAsia="宋体"/>
          <w:b/>
          <w:bCs/>
          <w:sz w:val="24"/>
        </w:rPr>
        <w:t>（投标文件中须提供相关证明材料，包括但不限于国家级培训证书、公司技术人员名单和相应辅助证明材料等）</w:t>
      </w:r>
      <w:r>
        <w:rPr>
          <w:rFonts w:hint="eastAsia" w:ascii="宋体" w:hAnsi="宋体" w:eastAsia="宋体"/>
          <w:sz w:val="24"/>
        </w:rPr>
        <w:t>；</w:t>
      </w:r>
    </w:p>
    <w:p w14:paraId="647D9652">
      <w:pPr>
        <w:wordWrap w:val="0"/>
        <w:spacing w:line="360" w:lineRule="auto"/>
        <w:ind w:firstLine="437"/>
        <w:rPr>
          <w:rFonts w:hint="eastAsia" w:ascii="宋体" w:hAnsi="宋体" w:eastAsia="宋体"/>
          <w:sz w:val="24"/>
        </w:rPr>
      </w:pPr>
      <w:r>
        <w:rPr>
          <w:rFonts w:hint="eastAsia" w:ascii="宋体" w:hAnsi="宋体" w:eastAsia="宋体"/>
          <w:sz w:val="24"/>
        </w:rPr>
        <w:t>13、维保人员服务态度良好，能与中心工作人员良好沟通，服从中心相关管理制度，无不良服务投诉</w:t>
      </w:r>
      <w:r>
        <w:rPr>
          <w:rFonts w:hint="eastAsia" w:ascii="宋体" w:hAnsi="宋体" w:eastAsia="宋体"/>
          <w:b/>
          <w:bCs/>
          <w:sz w:val="24"/>
        </w:rPr>
        <w:t>（投标文件中须提供承诺书，格式自拟）</w:t>
      </w:r>
      <w:r>
        <w:rPr>
          <w:rFonts w:hint="eastAsia" w:ascii="宋体" w:hAnsi="宋体" w:eastAsia="宋体"/>
          <w:sz w:val="24"/>
        </w:rPr>
        <w:t>；</w:t>
      </w:r>
    </w:p>
    <w:p w14:paraId="48A0385A">
      <w:pPr>
        <w:wordWrap w:val="0"/>
        <w:spacing w:line="360" w:lineRule="auto"/>
        <w:ind w:firstLine="437"/>
        <w:rPr>
          <w:rFonts w:hint="eastAsia" w:ascii="宋体" w:hAnsi="宋体" w:eastAsia="宋体"/>
          <w:sz w:val="24"/>
        </w:rPr>
      </w:pPr>
      <w:r>
        <w:rPr>
          <w:rFonts w:hint="eastAsia" w:ascii="宋体" w:hAnsi="宋体" w:eastAsia="宋体"/>
          <w:sz w:val="24"/>
        </w:rPr>
        <w:t>1</w:t>
      </w:r>
      <w:r>
        <w:rPr>
          <w:rFonts w:hint="eastAsia" w:ascii="宋体" w:hAnsi="宋体" w:eastAsia="宋体"/>
          <w:sz w:val="24"/>
          <w:lang w:val="en-US" w:eastAsia="zh-CN"/>
        </w:rPr>
        <w:t>4</w:t>
      </w:r>
      <w:r>
        <w:rPr>
          <w:rFonts w:hint="eastAsia" w:ascii="宋体" w:hAnsi="宋体" w:eastAsia="宋体"/>
          <w:sz w:val="24"/>
        </w:rPr>
        <w:t>、遵守实验室相关管理规定，按照相关标准操作规程及防护要求等实施维护工作，确保维护服务人员安全，无违规操作</w:t>
      </w:r>
      <w:r>
        <w:rPr>
          <w:rFonts w:hint="eastAsia" w:ascii="宋体" w:hAnsi="宋体" w:eastAsia="宋体"/>
          <w:b/>
          <w:bCs/>
          <w:sz w:val="24"/>
        </w:rPr>
        <w:t>（投标文件中须提供承诺书，格式自拟）；</w:t>
      </w:r>
    </w:p>
    <w:p w14:paraId="4458668D">
      <w:pPr>
        <w:wordWrap w:val="0"/>
        <w:spacing w:line="360" w:lineRule="auto"/>
        <w:ind w:firstLine="437"/>
        <w:rPr>
          <w:rFonts w:ascii="Arial" w:hAnsi="Arial" w:eastAsia="宋体" w:cs="Arial"/>
          <w:b/>
          <w:sz w:val="28"/>
          <w:szCs w:val="28"/>
        </w:rPr>
      </w:pPr>
      <w:r>
        <w:rPr>
          <w:rFonts w:hint="eastAsia" w:ascii="Arial" w:hAnsi="Arial" w:eastAsia="宋体" w:cs="Arial"/>
          <w:b/>
          <w:sz w:val="28"/>
          <w:szCs w:val="28"/>
        </w:rPr>
        <w:t>三、报价要求</w:t>
      </w:r>
    </w:p>
    <w:p w14:paraId="02560BDC">
      <w:r>
        <w:rPr>
          <w:rFonts w:hint="eastAsia" w:ascii="宋体" w:hAnsi="宋体" w:eastAsia="宋体"/>
          <w:sz w:val="24"/>
          <w:lang w:val="zh-TW" w:eastAsia="zh-TW"/>
        </w:rPr>
        <w:t>本项目报总价，报价中须包含完成本项目的全部费用，采购人不再另行追加费用</w:t>
      </w:r>
      <w:r>
        <w:rPr>
          <w:rFonts w:hint="eastAsia" w:ascii="宋体" w:hAnsi="宋体" w:eastAsia="宋体"/>
          <w:sz w:val="24"/>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0030101010101"/>
    <w:charset w:val="86"/>
    <w:family w:val="auto"/>
    <w:pitch w:val="default"/>
    <w:sig w:usb0="00000000" w:usb1="00000000" w:usb2="0000000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387021"/>
    <w:rsid w:val="27387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rFonts w:cs="Times New Roman"/>
      <w:kern w:val="0"/>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2025-11-05T07:41:00Z</dcterms:created>
  <dc:creator>森</dc:creator>
  <cp:lastModifiedBy>森</cp:lastModifiedBy>
  <dcterms:modified xsi:type="dcterms:W3CDTF">2025-11-05T07:41:54Z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5663104A20F64150B58A1FC5BA378664_11</vt:lpwstr>
  </property>
  <property fmtid="{D5CDD505-2E9C-101B-9397-08002B2CF9AE}" pid="4" name="KSOTemplateDocerSaveRecord">
    <vt:lpwstr>eyJoZGlkIjoiOTc3M2Y5NzIzMDFlZjAyY2Q4Njk5ODkyYjFjNzBiNTQiLCJ1c2VySWQiOiI0MzAwMTYzNzkifQ==</vt:lpwstr>
  </property>
</Properties>
</file>