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0D8162">
      <w:pPr>
        <w:wordWrap w:val="0"/>
        <w:spacing w:line="360" w:lineRule="auto"/>
        <w:jc w:val="center"/>
        <w:outlineLvl w:val="1"/>
        <w:rPr>
          <w:rFonts w:hint="eastAsia" w:ascii="仿宋" w:hAnsi="仿宋" w:eastAsia="仿宋" w:cs="仿宋"/>
          <w:b/>
          <w:bCs/>
          <w:kern w:val="44"/>
          <w:sz w:val="44"/>
          <w:szCs w:val="44"/>
        </w:rPr>
      </w:pPr>
      <w:r>
        <w:rPr>
          <w:rFonts w:hint="eastAsia" w:ascii="仿宋" w:hAnsi="仿宋" w:eastAsia="仿宋" w:cs="仿宋"/>
          <w:b/>
          <w:bCs/>
          <w:kern w:val="44"/>
          <w:sz w:val="44"/>
          <w:szCs w:val="44"/>
        </w:rPr>
        <w:t>第三章  采购需求</w:t>
      </w:r>
    </w:p>
    <w:p w14:paraId="0F095D0F">
      <w:pPr>
        <w:wordWrap w:val="0"/>
        <w:spacing w:line="440" w:lineRule="exact"/>
        <w:jc w:val="left"/>
        <w:rPr>
          <w:rFonts w:hint="eastAsia" w:ascii="仿宋" w:hAnsi="仿宋" w:eastAsia="仿宋" w:cs="仿宋"/>
          <w:b/>
          <w:sz w:val="24"/>
        </w:rPr>
      </w:pPr>
      <w:r>
        <w:rPr>
          <w:rFonts w:hint="eastAsia" w:ascii="仿宋" w:hAnsi="仿宋" w:eastAsia="仿宋" w:cs="仿宋"/>
          <w:b/>
          <w:sz w:val="24"/>
        </w:rPr>
        <w:t>前注：</w:t>
      </w:r>
    </w:p>
    <w:p w14:paraId="7BF0268A">
      <w:pPr>
        <w:wordWrap w:val="0"/>
        <w:spacing w:line="440" w:lineRule="exact"/>
        <w:ind w:firstLine="437"/>
        <w:jc w:val="left"/>
        <w:rPr>
          <w:rFonts w:hint="eastAsia" w:ascii="仿宋" w:hAnsi="仿宋" w:eastAsia="仿宋" w:cs="仿宋"/>
          <w:sz w:val="24"/>
        </w:rPr>
      </w:pPr>
      <w:r>
        <w:rPr>
          <w:rFonts w:hint="eastAsia" w:ascii="仿宋" w:hAnsi="仿宋" w:eastAsia="仿宋" w:cs="仿宋"/>
          <w:sz w:val="24"/>
        </w:rPr>
        <w:t>1.本说明中提出的服务方案仅为参考，如无明确限制，供应商可以进行优化，提供满足用户实际需要的更优（或者性能实质上不低于的）服务方案，且此方案须经比选小组评审认可。</w:t>
      </w:r>
    </w:p>
    <w:p w14:paraId="62187D7E">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lang w:val="en-US" w:eastAsia="zh-CN"/>
        </w:rPr>
        <w:t>第1包：</w:t>
      </w:r>
      <w:r>
        <w:rPr>
          <w:rFonts w:hint="eastAsia" w:ascii="仿宋" w:hAnsi="仿宋" w:eastAsia="仿宋" w:cs="仿宋"/>
          <w:b/>
          <w:sz w:val="28"/>
          <w:szCs w:val="28"/>
          <w:lang w:eastAsia="zh-CN"/>
        </w:rPr>
        <w:t>4季度常规测序服务</w:t>
      </w:r>
      <w:r>
        <w:rPr>
          <w:rFonts w:hint="eastAsia" w:ascii="仿宋" w:hAnsi="仿宋" w:eastAsia="仿宋" w:cs="仿宋"/>
          <w:b/>
          <w:sz w:val="28"/>
          <w:szCs w:val="28"/>
          <w:lang w:val="en-US" w:eastAsia="zh-CN"/>
        </w:rPr>
        <w:t>1</w:t>
      </w:r>
    </w:p>
    <w:p w14:paraId="1D59C3F5">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7F3E2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65A53C8F">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
                <w:kern w:val="2"/>
              </w:rPr>
            </w:pPr>
            <w:r>
              <w:rPr>
                <w:rFonts w:hint="eastAsia" w:ascii="仿宋" w:hAnsi="仿宋" w:eastAsia="仿宋" w:cs="仿宋"/>
                <w:b/>
                <w:kern w:val="2"/>
              </w:rPr>
              <w:t>序号</w:t>
            </w:r>
          </w:p>
        </w:tc>
        <w:tc>
          <w:tcPr>
            <w:tcW w:w="2025" w:type="dxa"/>
            <w:vAlign w:val="center"/>
          </w:tcPr>
          <w:p w14:paraId="51E33E38">
            <w:pPr>
              <w:pStyle w:val="7"/>
              <w:widowControl w:val="0"/>
              <w:wordWrap w:val="0"/>
              <w:spacing w:before="0" w:beforeAutospacing="0" w:after="0" w:afterAutospacing="0" w:line="440" w:lineRule="exact"/>
              <w:rPr>
                <w:rFonts w:hint="eastAsia" w:ascii="仿宋" w:hAnsi="仿宋" w:eastAsia="仿宋" w:cs="仿宋"/>
                <w:bCs w:val="0"/>
                <w:sz w:val="24"/>
              </w:rPr>
            </w:pPr>
            <w:r>
              <w:rPr>
                <w:rFonts w:hint="eastAsia" w:ascii="仿宋" w:hAnsi="仿宋" w:eastAsia="仿宋" w:cs="仿宋"/>
                <w:bCs w:val="0"/>
                <w:sz w:val="24"/>
              </w:rPr>
              <w:t>内容</w:t>
            </w:r>
          </w:p>
        </w:tc>
        <w:tc>
          <w:tcPr>
            <w:tcW w:w="5466" w:type="dxa"/>
            <w:vAlign w:val="center"/>
          </w:tcPr>
          <w:p w14:paraId="257F0DEE">
            <w:pPr>
              <w:pStyle w:val="7"/>
              <w:widowControl w:val="0"/>
              <w:wordWrap w:val="0"/>
              <w:spacing w:before="0" w:beforeAutospacing="0" w:after="0" w:afterAutospacing="0" w:line="440" w:lineRule="exact"/>
              <w:rPr>
                <w:rFonts w:hint="eastAsia" w:ascii="仿宋" w:hAnsi="仿宋" w:eastAsia="仿宋" w:cs="仿宋"/>
                <w:bCs w:val="0"/>
                <w:sz w:val="24"/>
              </w:rPr>
            </w:pPr>
            <w:r>
              <w:rPr>
                <w:rFonts w:hint="eastAsia" w:ascii="仿宋" w:hAnsi="仿宋" w:eastAsia="仿宋" w:cs="仿宋"/>
                <w:bCs w:val="0"/>
                <w:sz w:val="24"/>
              </w:rPr>
              <w:t>说明与要求</w:t>
            </w:r>
          </w:p>
        </w:tc>
      </w:tr>
      <w:tr w14:paraId="6E4E0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2C24B8C">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1</w:t>
            </w:r>
          </w:p>
        </w:tc>
        <w:tc>
          <w:tcPr>
            <w:tcW w:w="2025" w:type="dxa"/>
            <w:vAlign w:val="center"/>
          </w:tcPr>
          <w:p w14:paraId="6C9B9B7C">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付款方式</w:t>
            </w:r>
          </w:p>
        </w:tc>
        <w:tc>
          <w:tcPr>
            <w:tcW w:w="5466" w:type="dxa"/>
            <w:vAlign w:val="center"/>
          </w:tcPr>
          <w:p w14:paraId="1C9A6247">
            <w:pPr>
              <w:pStyle w:val="7"/>
              <w:widowControl w:val="0"/>
              <w:spacing w:before="0" w:beforeAutospacing="0" w:after="0" w:afterAutospacing="0" w:line="360" w:lineRule="auto"/>
              <w:jc w:val="both"/>
              <w:rPr>
                <w:rFonts w:hint="eastAsia" w:ascii="仿宋" w:hAnsi="仿宋" w:eastAsia="仿宋" w:cs="仿宋"/>
                <w:b w:val="0"/>
                <w:sz w:val="24"/>
                <w:szCs w:val="24"/>
                <w:lang w:val="en-US"/>
              </w:rPr>
            </w:pPr>
            <w:r>
              <w:rPr>
                <w:rFonts w:hint="eastAsia" w:ascii="仿宋" w:hAnsi="仿宋" w:eastAsia="仿宋" w:cs="仿宋"/>
                <w:b w:val="0"/>
                <w:sz w:val="24"/>
                <w:szCs w:val="24"/>
                <w:lang w:val="en-US" w:eastAsia="zh-CN"/>
              </w:rPr>
              <w:t>验收合格后一次性付款.</w:t>
            </w:r>
          </w:p>
        </w:tc>
      </w:tr>
      <w:tr w14:paraId="22EC6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9AEA9C8">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2</w:t>
            </w:r>
          </w:p>
        </w:tc>
        <w:tc>
          <w:tcPr>
            <w:tcW w:w="2025" w:type="dxa"/>
            <w:vAlign w:val="center"/>
          </w:tcPr>
          <w:p w14:paraId="4C243B3E">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服务地点</w:t>
            </w:r>
          </w:p>
        </w:tc>
        <w:tc>
          <w:tcPr>
            <w:tcW w:w="5466" w:type="dxa"/>
            <w:vAlign w:val="center"/>
          </w:tcPr>
          <w:p w14:paraId="25C6A780">
            <w:pPr>
              <w:pStyle w:val="7"/>
              <w:widowControl w:val="0"/>
              <w:spacing w:before="0" w:beforeAutospacing="0" w:after="0" w:afterAutospacing="0" w:line="360" w:lineRule="auto"/>
              <w:jc w:val="both"/>
              <w:rPr>
                <w:rFonts w:hint="eastAsia" w:ascii="仿宋" w:hAnsi="仿宋" w:eastAsia="仿宋" w:cs="仿宋"/>
                <w:b w:val="0"/>
                <w:sz w:val="24"/>
                <w:szCs w:val="24"/>
              </w:rPr>
            </w:pPr>
            <w:r>
              <w:rPr>
                <w:rFonts w:hint="eastAsia" w:ascii="仿宋" w:hAnsi="仿宋" w:eastAsia="仿宋" w:cs="仿宋"/>
                <w:b w:val="0"/>
                <w:sz w:val="24"/>
                <w:szCs w:val="24"/>
              </w:rPr>
              <w:t>安徽省疾病预防控制中心或采购人指定地点。</w:t>
            </w:r>
          </w:p>
        </w:tc>
      </w:tr>
      <w:tr w14:paraId="482E2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771CD561">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3</w:t>
            </w:r>
          </w:p>
        </w:tc>
        <w:tc>
          <w:tcPr>
            <w:tcW w:w="2025" w:type="dxa"/>
            <w:vAlign w:val="center"/>
          </w:tcPr>
          <w:p w14:paraId="05129930">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服务期限</w:t>
            </w:r>
          </w:p>
        </w:tc>
        <w:tc>
          <w:tcPr>
            <w:tcW w:w="5466" w:type="dxa"/>
            <w:vAlign w:val="center"/>
          </w:tcPr>
          <w:p w14:paraId="0FD56ADF">
            <w:pPr>
              <w:pStyle w:val="2"/>
              <w:spacing w:line="360" w:lineRule="auto"/>
              <w:rPr>
                <w:rFonts w:hint="eastAsia" w:ascii="仿宋" w:hAnsi="仿宋" w:eastAsia="仿宋" w:cs="仿宋"/>
                <w:bCs/>
                <w:kern w:val="0"/>
                <w:sz w:val="24"/>
                <w:szCs w:val="24"/>
              </w:rPr>
            </w:pPr>
            <w:r>
              <w:rPr>
                <w:rFonts w:hint="eastAsia" w:ascii="仿宋" w:hAnsi="仿宋" w:eastAsia="仿宋" w:cs="仿宋"/>
                <w:bCs/>
                <w:kern w:val="0"/>
                <w:sz w:val="24"/>
                <w:szCs w:val="24"/>
                <w:lang w:val="en-US" w:eastAsia="zh-CN"/>
              </w:rPr>
              <w:t>合同签订生效后，根据买方提交样本日开始原则上5个工作日内即可通过E-mail发送测序结果，全年可接受样品测序，并上门收标本</w:t>
            </w:r>
            <w:r>
              <w:rPr>
                <w:rFonts w:hint="eastAsia" w:ascii="仿宋" w:hAnsi="仿宋" w:eastAsia="仿宋" w:cs="仿宋"/>
                <w:bCs/>
                <w:kern w:val="0"/>
                <w:sz w:val="24"/>
                <w:szCs w:val="24"/>
              </w:rPr>
              <w:t>。</w:t>
            </w:r>
          </w:p>
        </w:tc>
      </w:tr>
    </w:tbl>
    <w:p w14:paraId="2E77C439">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rPr>
        <w:t>二、服务</w:t>
      </w:r>
      <w:r>
        <w:rPr>
          <w:rFonts w:hint="eastAsia" w:ascii="仿宋" w:hAnsi="仿宋" w:eastAsia="仿宋" w:cs="仿宋"/>
          <w:b/>
          <w:sz w:val="28"/>
          <w:szCs w:val="28"/>
          <w:lang w:val="en-US" w:eastAsia="zh-CN"/>
        </w:rPr>
        <w:t>需求</w:t>
      </w:r>
    </w:p>
    <w:tbl>
      <w:tblPr>
        <w:tblStyle w:val="4"/>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988"/>
        <w:gridCol w:w="827"/>
        <w:gridCol w:w="840"/>
        <w:gridCol w:w="5075"/>
      </w:tblGrid>
      <w:tr w14:paraId="6C06E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50" w:type="dxa"/>
            <w:vAlign w:val="center"/>
          </w:tcPr>
          <w:p w14:paraId="449E2E4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988" w:type="dxa"/>
            <w:vAlign w:val="center"/>
          </w:tcPr>
          <w:p w14:paraId="254F6EC0">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 名</w:t>
            </w:r>
          </w:p>
        </w:tc>
        <w:tc>
          <w:tcPr>
            <w:tcW w:w="827" w:type="dxa"/>
            <w:vAlign w:val="center"/>
          </w:tcPr>
          <w:p w14:paraId="2266F23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840" w:type="dxa"/>
            <w:vAlign w:val="center"/>
          </w:tcPr>
          <w:p w14:paraId="32BBAEF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5075" w:type="dxa"/>
            <w:vAlign w:val="center"/>
          </w:tcPr>
          <w:p w14:paraId="45A59B5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简要参数</w:t>
            </w:r>
          </w:p>
        </w:tc>
      </w:tr>
      <w:tr w14:paraId="17E0A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750" w:type="dxa"/>
            <w:vAlign w:val="center"/>
          </w:tcPr>
          <w:p w14:paraId="2272FB9B">
            <w:pPr>
              <w:widowControl/>
              <w:spacing w:beforeLines="0" w:afterLines="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color w:val="000000"/>
                <w:kern w:val="0"/>
                <w:sz w:val="24"/>
                <w:szCs w:val="24"/>
                <w:lang w:bidi="ar"/>
              </w:rPr>
              <w:t>1</w:t>
            </w:r>
          </w:p>
        </w:tc>
        <w:tc>
          <w:tcPr>
            <w:tcW w:w="988" w:type="dxa"/>
            <w:vAlign w:val="center"/>
          </w:tcPr>
          <w:p w14:paraId="7BEE2020">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医学有参转录组学</w:t>
            </w:r>
          </w:p>
        </w:tc>
        <w:tc>
          <w:tcPr>
            <w:tcW w:w="827" w:type="dxa"/>
            <w:vAlign w:val="center"/>
          </w:tcPr>
          <w:p w14:paraId="15CC3CFF">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株</w:t>
            </w:r>
          </w:p>
        </w:tc>
        <w:tc>
          <w:tcPr>
            <w:tcW w:w="840" w:type="dxa"/>
            <w:vAlign w:val="center"/>
          </w:tcPr>
          <w:p w14:paraId="63EEA279">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30</w:t>
            </w:r>
          </w:p>
        </w:tc>
        <w:tc>
          <w:tcPr>
            <w:tcW w:w="5075" w:type="dxa"/>
            <w:vAlign w:val="center"/>
          </w:tcPr>
          <w:p w14:paraId="575A1524">
            <w:pPr>
              <w:widowControl/>
              <w:spacing w:beforeLines="0" w:afterLine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1、实验室需搭载高通量测序技术平台，如Illumina NovaSeq或DNBseqT7等测序平台。</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2、具备处理背景复杂的原始标本的能力，能够接收和处理的样本类型包括粪便、病毒保存液、细胞培养液、水样、底泥、动物等类型样本，且可针对不同基质样本提供专属前处理方案。</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3、检测周期：</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在收到采购方确认启动信息后3个工作日内安排人员进行上门取样本，收到样本后15个自然日提供样本质检报告，25个自然日完成建库测序，40个自然日内完成分析工作，且在满足检测质量标准前提下，周期越短越优。</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4、样本制备：能够提取样本的核酸，通过凝胶电泳检测核酸完整性，并提供质检报告。进行PCR扩增，并基于PCR产物进行建库，使用高通量测序平台进行测序。</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5、建库测序：测序为测序平台PE300/PE150双末端测序；使用Illumina NovaSeq或DNBseqT7高通量测序平台或同等或更优的平台进行测序。</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6、数据质量监控：每个检测样本的数据量≥6G clean data，Q30≥80%。若数据质量不合格，</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需免费补测或重测直至数据质量符合要求。</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★7、参选人应具有数据分析团队和服务器集群分析平台，提供专属医学有参转录云分析流程，且交互分析完成以下分析：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（1）基础分析：运用统计学的方法，对所测序列进行统计和质控，将质控后的原始数据，即clean data（reads），与参考基因组比对，获取用于后续分析的有效数据，通过序列比对分析对该次转录组测序的比对结果进行质量评估（饱和度、覆盖度等方面）；</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（2）标准分析1：根据基因/转录本在不同样本间的表达情况，对样本进行功能注释与查询（9个数据库-GO、KEGG 、NR、EggNOG、Uniprot、Pfam、Reactome、DO和DisGeNet）、表达量分析（样本间相关性分析、样本间PCA分析、样本间Venn分析等）；</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（3）标准分析2：自主筛选感兴趣的基因集，进行深度数据挖掘，包括但不限于Venn分析、聚类分析（聚类热图、子聚类趋势图）、功能注释分析（4个数据库-GO+KEGG+Reactome+DO）、功能富集分析等；</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（4）标准分析3：通过可变剪切分析、SNP/InDel分析，对样本进行基因结构方面的深入挖掘；</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（5）个性化分析1：进行数据深度挖掘，包括WGCNA、GSEA分析、GSVA分析、转录因子分析、蛋白互作网络分析、时序分析、iPath代谢通路分析等；</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（6）个性化分析2：基于深度学习的模型构建分析，用于筛选分子标志物，如Lasso -Logistic回归模型、Lasso-cox回归模型、支持向量机、随机森林等。</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★9、生信分析必须具备云平台</w:t>
            </w:r>
            <w:r>
              <w:rPr>
                <w:rFonts w:hint="eastAsia" w:ascii="仿宋" w:hAnsi="仿宋" w:eastAsia="仿宋" w:cs="仿宋"/>
                <w:b/>
                <w:color w:val="000000"/>
                <w:kern w:val="0"/>
                <w:sz w:val="24"/>
                <w:szCs w:val="24"/>
                <w:lang w:bidi="ar"/>
              </w:rPr>
              <w:t>（响应文件中须提供云平台的相关截图）</w:t>
            </w:r>
            <w:r>
              <w:rPr>
                <w:rFonts w:hint="eastAsia" w:ascii="仿宋" w:hAnsi="仿宋" w:eastAsia="仿宋" w:cs="仿宋"/>
                <w:color w:val="000000"/>
                <w:kern w:val="0"/>
                <w:sz w:val="24"/>
                <w:szCs w:val="24"/>
                <w:lang w:bidi="ar"/>
              </w:rPr>
              <w:t>，云平台要求包括以下分析：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（1）云平台拥有完善的资料体系，综述、FAQ、文献案例解析、视频教程、分析Tips五位一体；</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（2）云平台可在线自主设置参数进行动态交互分析，灵活选择参数；</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（3）云平台具备个性化呈图方案：可进行项目中所有分析绘图的配色方案及字体一键化修改，个性化展示数据呈图结果。</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10、数据交付包括以下方面：</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交付内容：包括但不限于质检合格的原始数据、完整的结题报告（交互式云平台+PDF静态，交互结果可插入报告)、质检报告（RNA检测质量信息）、样本前处理操作手册。采用加密移动硬盘/网盘形式进行数据传输；</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（2）数据存储：在项目结题完成全部数据交付后，</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承诺数据保存时间不少于1年；</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（3）样本的保存及返回：应采购方需求提供样品保存和返还服务，保存和返还时限为自数据交付之日起6个月内。</w:t>
            </w:r>
          </w:p>
        </w:tc>
      </w:tr>
      <w:tr w14:paraId="57966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50" w:type="dxa"/>
            <w:vAlign w:val="center"/>
          </w:tcPr>
          <w:p w14:paraId="1189D79C">
            <w:pPr>
              <w:widowControl/>
              <w:spacing w:beforeLines="0" w:afterLines="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color w:val="000000"/>
                <w:kern w:val="0"/>
                <w:sz w:val="24"/>
                <w:szCs w:val="24"/>
                <w:lang w:bidi="ar"/>
              </w:rPr>
              <w:t>2</w:t>
            </w:r>
          </w:p>
        </w:tc>
        <w:tc>
          <w:tcPr>
            <w:tcW w:w="988" w:type="dxa"/>
            <w:vAlign w:val="center"/>
          </w:tcPr>
          <w:p w14:paraId="28B5028A">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宏转录组学</w:t>
            </w:r>
          </w:p>
        </w:tc>
        <w:tc>
          <w:tcPr>
            <w:tcW w:w="827" w:type="dxa"/>
            <w:vAlign w:val="center"/>
          </w:tcPr>
          <w:p w14:paraId="0FBB64D1">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株</w:t>
            </w:r>
          </w:p>
        </w:tc>
        <w:tc>
          <w:tcPr>
            <w:tcW w:w="840" w:type="dxa"/>
            <w:vAlign w:val="center"/>
          </w:tcPr>
          <w:p w14:paraId="74BBFC10">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80</w:t>
            </w:r>
          </w:p>
        </w:tc>
        <w:tc>
          <w:tcPr>
            <w:tcW w:w="5075" w:type="dxa"/>
            <w:vAlign w:val="center"/>
          </w:tcPr>
          <w:p w14:paraId="629D3536">
            <w:pPr>
              <w:widowControl/>
              <w:spacing w:beforeLines="0" w:afterLine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1、实验室需搭载高通量测序技术平台，如Illumina NovaSeq或DNBseqT7等测序平台。</w:t>
            </w:r>
            <w:r>
              <w:rPr>
                <w:rFonts w:hint="eastAsia" w:ascii="仿宋" w:hAnsi="仿宋" w:eastAsia="仿宋" w:cs="仿宋"/>
                <w:b/>
                <w:color w:val="000000"/>
                <w:kern w:val="0"/>
                <w:sz w:val="24"/>
                <w:szCs w:val="24"/>
                <w:lang w:bidi="ar"/>
              </w:rPr>
              <w:br w:type="textWrapping"/>
            </w:r>
            <w:r>
              <w:rPr>
                <w:rFonts w:hint="eastAsia" w:ascii="仿宋" w:hAnsi="仿宋" w:eastAsia="仿宋" w:cs="仿宋"/>
                <w:color w:val="000000"/>
                <w:kern w:val="0"/>
                <w:sz w:val="24"/>
                <w:szCs w:val="24"/>
                <w:lang w:bidi="ar"/>
              </w:rPr>
              <w:t>2、具备处理背景复杂的原始标本的能力，能够接收和处理的样本类型包括粪便、病毒保存液、细胞培养液、水样、底泥、动物等类型样本，且可针对不同基质样本提供专属前处理方案。</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3、检测周期：</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在收到采购方确认启动信息后3个工作日内安排人员进行上门取样本，收到样本后15个自然日提供样本质检报告，25个自然日完成建库测序，40个自然日内完成分析工作，且在满足检测质量标准前提下，周期越短越优。</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4、样本制备：能够提取样本的核酸，通过凝胶电泳检测核酸完整性，并提供质检报告。进行PCR扩增，并基于PCR产物进行建库，使用高通量测序平台进行测序。</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5、建库测序：测序为测序平台PE300/PE150双末端测序；使用Illumina NovaSeq或DNBseqT7高通量测序平台或同等或更优的平台进行测序。</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6、数据质量监控：每个检测样本的数据量≥6G clean data，Q30≥80%。若数据质量不合格，</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需免费补测或重测直至数据质量符合要求。</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★7、参选人应具有数据分析团队和服务器集群分析平台，提供专属高级宏转录组云分析流程，在线自主设置参数动态交互分析。且交互分析完成以下分析：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（1）基础分析：使用软件对所有clean data进行从头组装，挑取长度大于等于300bp的转录本，利用软件对组装得到的所有转录本序列进行ORF预测，预测后的基因ORFs进行去冗余，获得非冗余的基因，使用定量软件和定量指标对基因的整体表达水平进行定量分析，并以箱式图和密度图两种形式展示各个样本中的表达量分布情况。</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（2）标准分析1：使用DIAMOND将非冗余基因集与注释数据库（NR、COG、GO、KEGG、CAZY、CARD、BacMet、VFDB、PHI等数据库）进行比对。</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（3）标准分析2：基因表达量差异分析（提供统计表、火山图、MA图）、目标基因集Venn分析、目标基因集聚类分析、目标基因功能注释（COG、GO、KEGG）、功能富集分析（GO、KEGG、GSEA）等。</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（3）标准分析3：提供至少25种距离算法进行层级聚类分析、PCA分析、PCoA分析等分析。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（4）标准分析4：组成分析（提供Venn图、Bar图、Heatmap图）、差异分析、相关性分析（如VIF方差膨胀因子分析、RDA/CCA分析、相关性Heatmap图、相关性网络图）。</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（5）个性化分析：随机森林、联合ROC分析、WGCNA分析等。</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★8、生信分析必须具备云平台</w:t>
            </w:r>
            <w:r>
              <w:rPr>
                <w:rFonts w:hint="eastAsia" w:ascii="仿宋" w:hAnsi="仿宋" w:eastAsia="仿宋" w:cs="仿宋"/>
                <w:b/>
                <w:color w:val="000000"/>
                <w:kern w:val="0"/>
                <w:sz w:val="24"/>
                <w:szCs w:val="24"/>
                <w:lang w:bidi="ar"/>
              </w:rPr>
              <w:t>（响应文件中须提供云平台的相关截图）</w:t>
            </w:r>
            <w:r>
              <w:rPr>
                <w:rFonts w:hint="eastAsia" w:ascii="仿宋" w:hAnsi="仿宋" w:eastAsia="仿宋" w:cs="仿宋"/>
                <w:color w:val="000000"/>
                <w:kern w:val="0"/>
                <w:sz w:val="24"/>
                <w:szCs w:val="24"/>
                <w:lang w:bidi="ar"/>
              </w:rPr>
              <w:t>，云平台要求包括以下分析：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（1）云平台可在线自主设置参数进行动态交互分析，灵活选择参数、检验方法。</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（2）云平台具备个性化呈图方案：可进行项目中所有分析绘图的配色方案及字体一键化修改，个性化展示数据呈图结果。</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10、数据交付包括以下方面：</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（1）交付内容：包括但不限于质检合格的原始数据、完整的结题报告（交互式云平台+PDF静态，交互结果可插入报告)、质检报告（RNA 检测质量信息）、样本前处理操作手册。采用加密移动硬盘/网盘形式进行数据传输；</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（2）数据存储：在项目结题完成全部数据交付后，</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承诺数据保存时间不少于1年；</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（3）样本的保存及返回：应采购方需求提供样品保存和返还服务，保存和返还时限为自数据交付之日起6个月内。</w:t>
            </w:r>
          </w:p>
        </w:tc>
      </w:tr>
      <w:tr w14:paraId="17902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50" w:type="dxa"/>
            <w:vAlign w:val="center"/>
          </w:tcPr>
          <w:p w14:paraId="62466AA5">
            <w:pPr>
              <w:widowControl/>
              <w:spacing w:beforeLines="0" w:afterLines="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color w:val="000000"/>
                <w:kern w:val="0"/>
                <w:sz w:val="24"/>
                <w:szCs w:val="24"/>
                <w:lang w:bidi="ar"/>
              </w:rPr>
              <w:t>3</w:t>
            </w:r>
          </w:p>
        </w:tc>
        <w:tc>
          <w:tcPr>
            <w:tcW w:w="988" w:type="dxa"/>
            <w:vAlign w:val="center"/>
          </w:tcPr>
          <w:p w14:paraId="32AE760B">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sz w:val="24"/>
                <w:szCs w:val="24"/>
              </w:rPr>
              <w:t>▲</w:t>
            </w:r>
            <w:r>
              <w:rPr>
                <w:rFonts w:hint="eastAsia" w:ascii="仿宋" w:hAnsi="仿宋" w:eastAsia="仿宋" w:cs="仿宋"/>
                <w:color w:val="000000"/>
                <w:kern w:val="0"/>
                <w:sz w:val="24"/>
                <w:szCs w:val="24"/>
                <w:lang w:bidi="ar"/>
              </w:rPr>
              <w:t>非靶代谢组学</w:t>
            </w:r>
          </w:p>
        </w:tc>
        <w:tc>
          <w:tcPr>
            <w:tcW w:w="827" w:type="dxa"/>
            <w:vAlign w:val="center"/>
          </w:tcPr>
          <w:p w14:paraId="10C95F59">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株</w:t>
            </w:r>
          </w:p>
        </w:tc>
        <w:tc>
          <w:tcPr>
            <w:tcW w:w="840" w:type="dxa"/>
            <w:vAlign w:val="center"/>
          </w:tcPr>
          <w:p w14:paraId="57EB0982">
            <w:pPr>
              <w:widowControl/>
              <w:spacing w:beforeLines="0" w:afterLine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300</w:t>
            </w:r>
          </w:p>
        </w:tc>
        <w:tc>
          <w:tcPr>
            <w:tcW w:w="5075" w:type="dxa"/>
            <w:vAlign w:val="center"/>
          </w:tcPr>
          <w:p w14:paraId="38FCAEE8">
            <w:pPr>
              <w:widowControl/>
              <w:spacing w:beforeLines="0" w:afterLines="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color w:val="000000"/>
                <w:kern w:val="0"/>
                <w:sz w:val="24"/>
                <w:szCs w:val="24"/>
                <w:lang w:bidi="ar"/>
              </w:rPr>
              <w:t>1、实验室需搭载专业非靶向代谢组检测技术平台，具备超高效液相色谱 - 高分辨质谱联用系统如 Orbitrap-HFX、Exploris480、AB6600等。</w:t>
            </w:r>
            <w:r>
              <w:rPr>
                <w:rFonts w:hint="eastAsia" w:ascii="仿宋" w:hAnsi="仿宋" w:eastAsia="仿宋" w:cs="仿宋"/>
                <w:b/>
                <w:color w:val="000000"/>
                <w:kern w:val="0"/>
                <w:sz w:val="24"/>
                <w:szCs w:val="24"/>
                <w:lang w:bidi="ar"/>
              </w:rPr>
              <w:br w:type="textWrapping"/>
            </w:r>
            <w:r>
              <w:rPr>
                <w:rFonts w:hint="eastAsia" w:ascii="仿宋" w:hAnsi="仿宋" w:eastAsia="仿宋" w:cs="仿宋"/>
                <w:color w:val="000000"/>
                <w:kern w:val="0"/>
                <w:sz w:val="24"/>
                <w:szCs w:val="24"/>
                <w:lang w:bidi="ar"/>
              </w:rPr>
              <w:t>2、具备处理多种复杂基质原始标本的能力，能够接收和处理的样本类型包括血清 / 血浆、尿液、粪便、组织匀浆（动物 / 植物）、细胞裂解液、脑脊液、唾液、水样、发酵液等，且可针对不同基质样本提供专属前处理方案。</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3、检测周期：</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在收到采购方确认启动信息后 3 个工作日内安排人员上门取样本；收到样本后 15个自然日完成样本质检，并提供样本质检报告；样本质检合格后，40 个自然日内完成非靶向代谢组学检测及分析工作，且在满足检测质量标准前提下，周期越短越优。</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4、QC样本制备：混样制备QC样本，均匀穿插进样。</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5、数据采集：使用高分辨液质联用质谱仪（如Orbitrap-HFX、Exploris480或AB6600等）进行数据采集，每个样本正、负离子模式分开采集，正、负采集时间总和≥16min，且必须每个样本均采集一级及二级离子信息。</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6、数据质量监控：QC样本的TIC响应变化 ≤ 30%，RT变化 ≤ 0.2分钟。仪器质量精度 ≤ 10 ppm。</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★7、</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应具有数据分析团队和服务器集群分析平台，提供专属医学非靶向代谢组学云分析流程，且交互分析完成以下分析：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（1）基础分析：在分析前对原始数据进行预处理（包括缺失值过滤、模拟、数据归一化、QC验证和数据转换），并进行色谱图分析、质谱图分析。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（2）标准分析1：根据代谢物在不同样本间的表达情况，对样本的进行相关性热图分析和 PCA 主成分分析等分析项，评价组内样本的相似性和组间样本的差异性。</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（3）标准分析2：根据质谱鉴定得到全部代谢物与 KEGG 和 HMDB 数据库进行比对，获得代谢物在数据库的注释信息，并对其在数据库的注释情况进行统计。</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标准分析3：根据一定的筛选条件获得的代谢集，并对其进行分析（比如Venn图、代谢物聚类分析、VIP值分析、代谢物相关性分析、KEGG通路富集、iPath代谢通路分析、ROC分析等），最终从众多代谢物中挖掘与表型、实验处理等生物学相关的目标差异代谢物，并进行功能、表达等研究。</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（5）高级分析：进行数据深度挖掘，包括时序分析、WGCNA分析、多因素相关性网络图、MIMOSA2分析、机器学习、GSEA富集分析等。</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（6）个性化分析：提供多组学联合分析，如转录代谢关联分析。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★8、生信分析必须具备云平台</w:t>
            </w:r>
            <w:r>
              <w:rPr>
                <w:rFonts w:hint="eastAsia" w:ascii="仿宋" w:hAnsi="仿宋" w:eastAsia="仿宋" w:cs="仿宋"/>
                <w:b/>
                <w:color w:val="000000"/>
                <w:kern w:val="0"/>
                <w:sz w:val="24"/>
                <w:szCs w:val="24"/>
                <w:lang w:bidi="ar"/>
              </w:rPr>
              <w:t>（响应文件中须提供云平台的相关截图）</w:t>
            </w:r>
            <w:r>
              <w:rPr>
                <w:rFonts w:hint="eastAsia" w:ascii="仿宋" w:hAnsi="仿宋" w:eastAsia="仿宋" w:cs="仿宋"/>
                <w:color w:val="000000"/>
                <w:kern w:val="0"/>
                <w:sz w:val="24"/>
                <w:szCs w:val="24"/>
                <w:lang w:bidi="ar"/>
              </w:rPr>
              <w:t>，云平台要求包括以下分析：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（1）云平台拥有完善的资料体系，综述、FAQ、文献案例解析、视频教程、分析Tips五位一体。</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（2）云平台可在线自主设置参数进行动态交互分析，灵活选择参数、检验方法。</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（3）云平台具备个性化呈图方案：可进行项目中所有分析绘图的配色方案及字体一键化修改，个性化展示数据呈图结果。</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9、数据交付包括以下方面：​</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（1）交付内容：包括质检合格的原始质谱数据（如 RAW 格式或mzXML 格式等）、标准化代谢物特征表（含代谢物名称、精确质量数、保留时间、峰面积、鉴定得分、数据库注释信息）、完整的结题报告（交互式云平台+PDF静态，交互结果可插入报告)、样本前处理操作手册；采用加密移动硬盘 /云盘形式进行数据传输。​</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（2）数据存储：在项目结题完成全部数据交付后，</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承诺数据保存时间不少于 1 年。​</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（3）样本的保存及返回：应采购方需求提供剩余样本保存和返还服务，保存条件需符合代谢物稳定性要求保存和返还时限为自数据交付之日起 6 个月内。</w:t>
            </w:r>
          </w:p>
        </w:tc>
      </w:tr>
      <w:tr w14:paraId="111F0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50" w:type="dxa"/>
            <w:vAlign w:val="center"/>
          </w:tcPr>
          <w:p w14:paraId="68CCF7F7">
            <w:pPr>
              <w:widowControl/>
              <w:spacing w:beforeLines="0" w:afterLines="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color w:val="000000"/>
                <w:kern w:val="0"/>
                <w:sz w:val="24"/>
                <w:szCs w:val="24"/>
                <w:lang w:bidi="ar"/>
              </w:rPr>
              <w:t>4</w:t>
            </w:r>
          </w:p>
        </w:tc>
        <w:tc>
          <w:tcPr>
            <w:tcW w:w="988" w:type="dxa"/>
            <w:vAlign w:val="center"/>
          </w:tcPr>
          <w:p w14:paraId="50356B86">
            <w:pPr>
              <w:widowControl/>
              <w:spacing w:beforeLines="0" w:afterLine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color w:val="000000"/>
                <w:kern w:val="0"/>
                <w:sz w:val="24"/>
                <w:szCs w:val="24"/>
                <w:lang w:bidi="ar"/>
              </w:rPr>
              <w:t>高通量蛋白组学</w:t>
            </w:r>
          </w:p>
        </w:tc>
        <w:tc>
          <w:tcPr>
            <w:tcW w:w="827" w:type="dxa"/>
            <w:vAlign w:val="center"/>
          </w:tcPr>
          <w:p w14:paraId="671C84A0">
            <w:pPr>
              <w:widowControl/>
              <w:spacing w:beforeLines="0" w:afterLine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color w:val="000000"/>
                <w:kern w:val="0"/>
                <w:sz w:val="24"/>
                <w:szCs w:val="24"/>
                <w:lang w:bidi="ar"/>
              </w:rPr>
              <w:t>株</w:t>
            </w:r>
          </w:p>
        </w:tc>
        <w:tc>
          <w:tcPr>
            <w:tcW w:w="840" w:type="dxa"/>
            <w:vAlign w:val="center"/>
          </w:tcPr>
          <w:p w14:paraId="50664670">
            <w:pPr>
              <w:widowControl/>
              <w:spacing w:beforeLines="0" w:afterLine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color w:val="000000"/>
                <w:kern w:val="0"/>
                <w:sz w:val="24"/>
                <w:szCs w:val="24"/>
                <w:lang w:bidi="ar"/>
              </w:rPr>
              <w:t>80</w:t>
            </w:r>
          </w:p>
        </w:tc>
        <w:tc>
          <w:tcPr>
            <w:tcW w:w="5075" w:type="dxa"/>
            <w:vAlign w:val="center"/>
          </w:tcPr>
          <w:p w14:paraId="1B4862B3">
            <w:pPr>
              <w:widowControl/>
              <w:spacing w:beforeLines="0" w:afterLines="0"/>
              <w:jc w:val="left"/>
              <w:textAlignment w:val="center"/>
              <w:rPr>
                <w:rStyle w:val="8"/>
                <w:rFonts w:hint="eastAsia" w:ascii="仿宋" w:hAnsi="仿宋" w:eastAsia="仿宋" w:cs="仿宋"/>
                <w:sz w:val="24"/>
                <w:szCs w:val="24"/>
                <w:lang w:val="en-US" w:eastAsia="zh-CN" w:bidi="ar"/>
              </w:rPr>
            </w:pPr>
            <w:r>
              <w:rPr>
                <w:rFonts w:hint="eastAsia" w:ascii="仿宋" w:hAnsi="仿宋" w:eastAsia="仿宋" w:cs="仿宋"/>
                <w:color w:val="000000"/>
                <w:kern w:val="0"/>
                <w:sz w:val="24"/>
                <w:szCs w:val="24"/>
                <w:lang w:bidi="ar"/>
              </w:rPr>
              <w:t>1、实验室需搭载专业高通量蛋白组学检测技术平台，具备如 Orbitrap Astral 或 timsTOF Ultra 2 等型号的高分辨质谱仪，同时配套超高效液相色谱系统</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2、具备处理多种复杂基质原始标本的能力，能够接收和处理的样本类型包括血清 / 血浆、组织匀浆（动物 / 植物）、细胞裂解液、脑脊液、尿液、粪便蛋白提取物、体液分泌物等，且可针对不同基质样本提供专属前处理优化方案。</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3、检测周期：</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在收到采购方确认启动信息后 3 个工作日内安排人员上门取样本；收到样本后 15 个自然日完成样本质检，并提供样本质检报告；样本质检合格后，40 个自然日内完成高通量蛋白组学检测及分析工作，且在满足检测质量标准前提下，周期越短越优。</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4、QC样本制备：混样制备QC样本，均匀穿插进样。</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5、数据采集：使用高分辨质谱仪（Orbitrap Astral或timsTOF Ultra 2）进行数据采集。采用数据非依赖型采集（DIA）模式。正离子模式采集，单样本使用8min梯度采集模式。</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6、数据质量监控：全部酶解产物，包括QC样本，加入iRT 作为内标，进行DIA 分析，基于iRT进行保留时间矫正，平均半峰宽保持在0.3min以内。</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★7、服务商应具有数据分析团队和服务器集群分析平台，提供专属医学高通量蛋白组学云分析流程，且交互分析（不包括云工具）完成以下分析：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（1）基础分析：对原始数据进行预处理，消除系统误差。将质谱下机的原始数据与已经建立好的数据库（如UniProt、NCBI等）进行搜索。</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（2）标准分析1：根据蛋白在不同样本间的表达情况，对样本进行相关性热图分析和 PCA 主成分分析等分析项，评价组内样本的相似性和组间样本的差异性。</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（3）标准分析2：根据质谱鉴定得到全部蛋白与Uniprot、GO、KEGG、EggNOG、Pfam以及亚细胞定位等各大数据库进行比对，获得蛋白在数据库的注释信息，并对其在数据库的注释情况进行统计。</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（4）标准分析3：通过差异蛋白统计和多组差异分析，筛选出两个比较组或者多个比较组之间的显著差异蛋白，从而发现参与重要的代谢通路，行使极其重要的生物学功能的差异显著且稳定高表达的蛋白。</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5）标准分析4：根据一定的筛选条件获得的蛋白集，并对其进行分析（比如表达模式聚类、蛋白Venn图、功能注释、蛋白互作网络分析等），最终从众多蛋白中挖掘与表型、实验处理等生物学相关的一些蛋白，并进行功能、表达等研究。</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（6）高级分析1：提供WGCNA、GSEA、Mfuzz时序分析等辅助数据深层次挖掘关键蛋白。提供组合图可视化，如聚类热图+趋势图+富集词条图、桑基图+气泡图等，可将不同类型的数据整合在一个图中。</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（7）高级分析2：基于深度学习的模型构建分析，用于筛选分子标志物，如Lasso -Logistic回归模型、Lasso-cox回归模型、支持向量机、随机森林等。</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★8、生信分析必须具备云平台</w:t>
            </w:r>
            <w:r>
              <w:rPr>
                <w:rFonts w:hint="eastAsia" w:ascii="仿宋" w:hAnsi="仿宋" w:eastAsia="仿宋" w:cs="仿宋"/>
                <w:b/>
                <w:color w:val="000000"/>
                <w:kern w:val="0"/>
                <w:sz w:val="24"/>
                <w:szCs w:val="24"/>
                <w:lang w:bidi="ar"/>
              </w:rPr>
              <w:t>（响应文件中须提供云平台的相关截图）</w:t>
            </w:r>
            <w:r>
              <w:rPr>
                <w:rFonts w:hint="eastAsia" w:ascii="仿宋" w:hAnsi="仿宋" w:eastAsia="仿宋" w:cs="仿宋"/>
                <w:color w:val="000000"/>
                <w:kern w:val="0"/>
                <w:sz w:val="24"/>
                <w:szCs w:val="24"/>
                <w:lang w:bidi="ar"/>
              </w:rPr>
              <w:t>，云平台要求包括以下分析：</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（1）云平台拥有完善的资料体系，综述、FAQ、文献案例解析、视频教程、分析Tips五位一体。</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（2）云平台可在线自主设置参数进行动态交互分析，灵活选择参数、检验方法。</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（3）云平台具备个性化呈图方案：可进行项目中所有分析绘图的配色方案及字体一键化修改，个性化展示数据呈图结果。</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9、数据交付包括以下方面：​</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（1）交付内容：包括质检合格的原始数据、蛋白质鉴定与定量结果表、完整的结题报告（交互式云平台+PDF静态，交互结果可插入报告)；采用加密移动硬盘/云盘（提供永久访问链接）形式进行数据传输。​</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（2）数据存储：在项目结题完成全部数据交付后，</w:t>
            </w:r>
            <w:r>
              <w:rPr>
                <w:rFonts w:hint="eastAsia" w:ascii="仿宋" w:hAnsi="仿宋" w:eastAsia="仿宋" w:cs="仿宋"/>
                <w:color w:val="000000"/>
                <w:kern w:val="0"/>
                <w:sz w:val="24"/>
                <w:szCs w:val="24"/>
                <w:lang w:eastAsia="zh-CN" w:bidi="ar"/>
              </w:rPr>
              <w:t>参选人</w:t>
            </w:r>
            <w:r>
              <w:rPr>
                <w:rFonts w:hint="eastAsia" w:ascii="仿宋" w:hAnsi="仿宋" w:eastAsia="仿宋" w:cs="仿宋"/>
                <w:color w:val="000000"/>
                <w:kern w:val="0"/>
                <w:sz w:val="24"/>
                <w:szCs w:val="24"/>
                <w:lang w:bidi="ar"/>
              </w:rPr>
              <w:t>承诺数据保存时间不少于 1 年。​</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（3）样本的保存及返回：应采购方需求提供剩余样本保存和返还服务，保存条件需符合蛋白质稳定性要求，保存和返还时限为自数据交付之日起 6 个月内。</w:t>
            </w:r>
          </w:p>
        </w:tc>
      </w:tr>
    </w:tbl>
    <w:p w14:paraId="3871F3E4">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三、报价要求</w:t>
      </w:r>
    </w:p>
    <w:p w14:paraId="2C5EBE13">
      <w:pPr>
        <w:wordWrap w:val="0"/>
        <w:spacing w:line="440" w:lineRule="exact"/>
        <w:rPr>
          <w:rFonts w:hint="eastAsia" w:ascii="仿宋" w:hAnsi="仿宋" w:eastAsia="仿宋" w:cs="仿宋"/>
          <w:b/>
          <w:sz w:val="28"/>
          <w:szCs w:val="28"/>
        </w:rPr>
      </w:pPr>
      <w:r>
        <w:rPr>
          <w:rFonts w:hint="eastAsia" w:ascii="仿宋" w:hAnsi="仿宋" w:eastAsia="仿宋" w:cs="仿宋"/>
          <w:bCs/>
          <w:sz w:val="24"/>
          <w:szCs w:val="24"/>
        </w:rPr>
        <w:t>本项目报总价，总价包含完成本项目内容的全部费用，中选后比选人不再增加任何费用。</w:t>
      </w:r>
    </w:p>
    <w:p w14:paraId="074B6C52">
      <w:pPr>
        <w:wordWrap w:val="0"/>
        <w:spacing w:line="440" w:lineRule="exact"/>
        <w:ind w:firstLine="480" w:firstLineChars="200"/>
        <w:rPr>
          <w:rFonts w:hint="eastAsia" w:ascii="仿宋" w:hAnsi="仿宋" w:eastAsia="仿宋" w:cs="仿宋"/>
          <w:sz w:val="24"/>
        </w:rPr>
      </w:pPr>
    </w:p>
    <w:p w14:paraId="79B4C777">
      <w:pPr>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br w:type="page"/>
      </w:r>
    </w:p>
    <w:p w14:paraId="730B3B05">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lang w:val="en-US" w:eastAsia="zh-CN"/>
        </w:rPr>
        <w:t>第2包：</w:t>
      </w:r>
      <w:r>
        <w:rPr>
          <w:rFonts w:hint="eastAsia" w:ascii="仿宋" w:hAnsi="仿宋" w:eastAsia="仿宋" w:cs="仿宋"/>
          <w:b/>
          <w:sz w:val="28"/>
          <w:szCs w:val="28"/>
          <w:lang w:eastAsia="zh-CN"/>
        </w:rPr>
        <w:t>4季度常规测序服务</w:t>
      </w:r>
      <w:r>
        <w:rPr>
          <w:rFonts w:hint="eastAsia" w:ascii="仿宋" w:hAnsi="仿宋" w:eastAsia="仿宋" w:cs="仿宋"/>
          <w:b/>
          <w:sz w:val="28"/>
          <w:szCs w:val="28"/>
          <w:lang w:val="en-US" w:eastAsia="zh-CN"/>
        </w:rPr>
        <w:t>2</w:t>
      </w:r>
    </w:p>
    <w:p w14:paraId="71502270">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5677D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153AAAE2">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
                <w:kern w:val="2"/>
              </w:rPr>
            </w:pPr>
            <w:r>
              <w:rPr>
                <w:rFonts w:hint="eastAsia" w:ascii="仿宋" w:hAnsi="仿宋" w:eastAsia="仿宋" w:cs="仿宋"/>
                <w:b/>
                <w:kern w:val="2"/>
              </w:rPr>
              <w:t>序号</w:t>
            </w:r>
          </w:p>
        </w:tc>
        <w:tc>
          <w:tcPr>
            <w:tcW w:w="2025" w:type="dxa"/>
            <w:vAlign w:val="center"/>
          </w:tcPr>
          <w:p w14:paraId="5463C1BA">
            <w:pPr>
              <w:pStyle w:val="7"/>
              <w:widowControl w:val="0"/>
              <w:wordWrap w:val="0"/>
              <w:spacing w:before="0" w:beforeAutospacing="0" w:after="0" w:afterAutospacing="0" w:line="440" w:lineRule="exact"/>
              <w:rPr>
                <w:rFonts w:hint="eastAsia" w:ascii="仿宋" w:hAnsi="仿宋" w:eastAsia="仿宋" w:cs="仿宋"/>
                <w:bCs w:val="0"/>
                <w:sz w:val="24"/>
              </w:rPr>
            </w:pPr>
            <w:r>
              <w:rPr>
                <w:rFonts w:hint="eastAsia" w:ascii="仿宋" w:hAnsi="仿宋" w:eastAsia="仿宋" w:cs="仿宋"/>
                <w:bCs w:val="0"/>
                <w:sz w:val="24"/>
              </w:rPr>
              <w:t>内容</w:t>
            </w:r>
          </w:p>
        </w:tc>
        <w:tc>
          <w:tcPr>
            <w:tcW w:w="5466" w:type="dxa"/>
            <w:vAlign w:val="center"/>
          </w:tcPr>
          <w:p w14:paraId="12B40E64">
            <w:pPr>
              <w:pStyle w:val="7"/>
              <w:widowControl w:val="0"/>
              <w:wordWrap w:val="0"/>
              <w:spacing w:before="0" w:beforeAutospacing="0" w:after="0" w:afterAutospacing="0" w:line="440" w:lineRule="exact"/>
              <w:rPr>
                <w:rFonts w:hint="eastAsia" w:ascii="仿宋" w:hAnsi="仿宋" w:eastAsia="仿宋" w:cs="仿宋"/>
                <w:bCs w:val="0"/>
                <w:sz w:val="24"/>
              </w:rPr>
            </w:pPr>
            <w:r>
              <w:rPr>
                <w:rFonts w:hint="eastAsia" w:ascii="仿宋" w:hAnsi="仿宋" w:eastAsia="仿宋" w:cs="仿宋"/>
                <w:bCs w:val="0"/>
                <w:sz w:val="24"/>
              </w:rPr>
              <w:t>说明与要求</w:t>
            </w:r>
          </w:p>
        </w:tc>
      </w:tr>
      <w:tr w14:paraId="29778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AD11BD8">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1</w:t>
            </w:r>
          </w:p>
        </w:tc>
        <w:tc>
          <w:tcPr>
            <w:tcW w:w="2025" w:type="dxa"/>
            <w:vAlign w:val="center"/>
          </w:tcPr>
          <w:p w14:paraId="746E96F0">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付款方式</w:t>
            </w:r>
          </w:p>
        </w:tc>
        <w:tc>
          <w:tcPr>
            <w:tcW w:w="5466" w:type="dxa"/>
            <w:vAlign w:val="center"/>
          </w:tcPr>
          <w:p w14:paraId="05C510CE">
            <w:pPr>
              <w:pStyle w:val="7"/>
              <w:widowControl w:val="0"/>
              <w:spacing w:before="0" w:beforeAutospacing="0" w:after="0" w:afterAutospacing="0" w:line="360" w:lineRule="auto"/>
              <w:jc w:val="both"/>
              <w:rPr>
                <w:rFonts w:hint="eastAsia" w:ascii="仿宋" w:hAnsi="仿宋" w:eastAsia="仿宋" w:cs="仿宋"/>
                <w:b w:val="0"/>
                <w:sz w:val="24"/>
                <w:szCs w:val="24"/>
                <w:lang w:val="en-US"/>
              </w:rPr>
            </w:pPr>
            <w:r>
              <w:rPr>
                <w:rFonts w:hint="eastAsia" w:ascii="仿宋" w:hAnsi="仿宋" w:eastAsia="仿宋" w:cs="仿宋"/>
                <w:b w:val="0"/>
                <w:sz w:val="24"/>
                <w:szCs w:val="24"/>
                <w:lang w:val="en-US" w:eastAsia="zh-CN"/>
              </w:rPr>
              <w:t>验收合格后一次性付款.</w:t>
            </w:r>
          </w:p>
        </w:tc>
      </w:tr>
      <w:tr w14:paraId="2D1ED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1714DAA5">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2</w:t>
            </w:r>
          </w:p>
        </w:tc>
        <w:tc>
          <w:tcPr>
            <w:tcW w:w="2025" w:type="dxa"/>
            <w:vAlign w:val="center"/>
          </w:tcPr>
          <w:p w14:paraId="2BBF7961">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服务地点</w:t>
            </w:r>
          </w:p>
        </w:tc>
        <w:tc>
          <w:tcPr>
            <w:tcW w:w="5466" w:type="dxa"/>
            <w:vAlign w:val="center"/>
          </w:tcPr>
          <w:p w14:paraId="4A0EDBA7">
            <w:pPr>
              <w:pStyle w:val="7"/>
              <w:widowControl w:val="0"/>
              <w:spacing w:before="0" w:beforeAutospacing="0" w:after="0" w:afterAutospacing="0" w:line="360" w:lineRule="auto"/>
              <w:jc w:val="both"/>
              <w:rPr>
                <w:rFonts w:hint="eastAsia" w:ascii="仿宋" w:hAnsi="仿宋" w:eastAsia="仿宋" w:cs="仿宋"/>
                <w:b w:val="0"/>
                <w:sz w:val="24"/>
                <w:szCs w:val="24"/>
              </w:rPr>
            </w:pPr>
            <w:r>
              <w:rPr>
                <w:rFonts w:hint="eastAsia" w:ascii="仿宋" w:hAnsi="仿宋" w:eastAsia="仿宋" w:cs="仿宋"/>
                <w:b w:val="0"/>
                <w:sz w:val="24"/>
                <w:szCs w:val="24"/>
              </w:rPr>
              <w:t>安徽省疾病预防控制中心或采购人指定地点。</w:t>
            </w:r>
          </w:p>
        </w:tc>
      </w:tr>
      <w:tr w14:paraId="7B32F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B635D24">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3</w:t>
            </w:r>
          </w:p>
        </w:tc>
        <w:tc>
          <w:tcPr>
            <w:tcW w:w="2025" w:type="dxa"/>
            <w:vAlign w:val="center"/>
          </w:tcPr>
          <w:p w14:paraId="5B64327F">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服务期限</w:t>
            </w:r>
          </w:p>
        </w:tc>
        <w:tc>
          <w:tcPr>
            <w:tcW w:w="5466" w:type="dxa"/>
            <w:vAlign w:val="center"/>
          </w:tcPr>
          <w:p w14:paraId="372FCABD">
            <w:pPr>
              <w:pStyle w:val="2"/>
              <w:spacing w:line="360" w:lineRule="auto"/>
              <w:rPr>
                <w:rFonts w:hint="eastAsia" w:ascii="仿宋" w:hAnsi="仿宋" w:eastAsia="仿宋" w:cs="仿宋"/>
                <w:bCs/>
                <w:kern w:val="0"/>
                <w:sz w:val="24"/>
                <w:szCs w:val="24"/>
              </w:rPr>
            </w:pPr>
            <w:r>
              <w:rPr>
                <w:rFonts w:hint="eastAsia" w:ascii="仿宋" w:hAnsi="仿宋" w:eastAsia="仿宋" w:cs="仿宋"/>
                <w:bCs/>
                <w:kern w:val="0"/>
                <w:sz w:val="24"/>
                <w:szCs w:val="24"/>
                <w:lang w:val="en-US" w:eastAsia="zh-CN"/>
              </w:rPr>
              <w:t>合同签订生效后，根据买方提交样本日开始原则上5个工作日内即可通过E-mail发送测序结果，全年可接受样品测序，并上门收标本</w:t>
            </w:r>
            <w:r>
              <w:rPr>
                <w:rFonts w:hint="eastAsia" w:ascii="仿宋" w:hAnsi="仿宋" w:eastAsia="仿宋" w:cs="仿宋"/>
                <w:bCs/>
                <w:kern w:val="0"/>
                <w:sz w:val="24"/>
                <w:szCs w:val="24"/>
              </w:rPr>
              <w:t>。</w:t>
            </w:r>
          </w:p>
        </w:tc>
      </w:tr>
    </w:tbl>
    <w:p w14:paraId="635A8AF6">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rPr>
        <w:t>二、服务</w:t>
      </w:r>
      <w:r>
        <w:rPr>
          <w:rFonts w:hint="eastAsia" w:ascii="仿宋" w:hAnsi="仿宋" w:eastAsia="仿宋" w:cs="仿宋"/>
          <w:b/>
          <w:sz w:val="28"/>
          <w:szCs w:val="28"/>
          <w:lang w:val="en-US" w:eastAsia="zh-CN"/>
        </w:rPr>
        <w:t>需求</w:t>
      </w:r>
    </w:p>
    <w:tbl>
      <w:tblPr>
        <w:tblStyle w:val="4"/>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988"/>
        <w:gridCol w:w="827"/>
        <w:gridCol w:w="840"/>
        <w:gridCol w:w="5075"/>
      </w:tblGrid>
      <w:tr w14:paraId="65842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50" w:type="dxa"/>
            <w:vAlign w:val="center"/>
          </w:tcPr>
          <w:p w14:paraId="05AD836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988" w:type="dxa"/>
            <w:vAlign w:val="center"/>
          </w:tcPr>
          <w:p w14:paraId="5BC70684">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 名</w:t>
            </w:r>
          </w:p>
        </w:tc>
        <w:tc>
          <w:tcPr>
            <w:tcW w:w="827" w:type="dxa"/>
            <w:vAlign w:val="center"/>
          </w:tcPr>
          <w:p w14:paraId="40AD52F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840" w:type="dxa"/>
            <w:vAlign w:val="center"/>
          </w:tcPr>
          <w:p w14:paraId="2B7CC25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5075" w:type="dxa"/>
            <w:vAlign w:val="center"/>
          </w:tcPr>
          <w:p w14:paraId="68A174F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简要参数</w:t>
            </w:r>
          </w:p>
        </w:tc>
      </w:tr>
      <w:tr w14:paraId="7CBF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750" w:type="dxa"/>
            <w:vAlign w:val="center"/>
          </w:tcPr>
          <w:p w14:paraId="79EC254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988" w:type="dxa"/>
            <w:vAlign w:val="center"/>
          </w:tcPr>
          <w:p w14:paraId="225CF90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RNA-seq测序</w:t>
            </w:r>
          </w:p>
        </w:tc>
        <w:tc>
          <w:tcPr>
            <w:tcW w:w="827" w:type="dxa"/>
            <w:vAlign w:val="center"/>
          </w:tcPr>
          <w:p w14:paraId="6F07BF4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条</w:t>
            </w:r>
          </w:p>
        </w:tc>
        <w:tc>
          <w:tcPr>
            <w:tcW w:w="840" w:type="dxa"/>
            <w:vAlign w:val="center"/>
          </w:tcPr>
          <w:p w14:paraId="681600A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5075" w:type="dxa"/>
            <w:vAlign w:val="center"/>
          </w:tcPr>
          <w:p w14:paraId="633EC08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★1、实验室具有生物安全II级（BSL-2）资质</w:t>
            </w:r>
            <w:r>
              <w:rPr>
                <w:rFonts w:hint="eastAsia" w:ascii="仿宋" w:hAnsi="仿宋" w:eastAsia="仿宋" w:cs="仿宋"/>
                <w:b/>
                <w:bCs/>
                <w:i w:val="0"/>
                <w:iCs w:val="0"/>
                <w:color w:val="000000"/>
                <w:kern w:val="0"/>
                <w:sz w:val="24"/>
                <w:szCs w:val="24"/>
                <w:u w:val="none"/>
                <w:lang w:val="en-US" w:eastAsia="zh-CN" w:bidi="ar"/>
              </w:rPr>
              <w:t>（响应文件中须提供相关佐证材料）</w:t>
            </w:r>
            <w:r>
              <w:rPr>
                <w:rFonts w:hint="eastAsia" w:ascii="仿宋" w:hAnsi="仿宋" w:eastAsia="仿宋" w:cs="仿宋"/>
                <w:i w:val="0"/>
                <w:iCs w:val="0"/>
                <w:color w:val="000000"/>
                <w:kern w:val="0"/>
                <w:sz w:val="24"/>
                <w:szCs w:val="24"/>
                <w:u w:val="none"/>
                <w:lang w:val="en-US" w:eastAsia="zh-CN" w:bidi="ar"/>
              </w:rPr>
              <w:t>。</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2、实验室搭载二代测序及三代测序的技术平台，拥有五台以上测序仪,并标明以上设备的序列号，以及现场图片</w:t>
            </w:r>
            <w:r>
              <w:rPr>
                <w:rFonts w:hint="eastAsia" w:ascii="仿宋" w:hAnsi="仿宋" w:eastAsia="仿宋" w:cs="仿宋"/>
                <w:b/>
                <w:bCs/>
                <w:i w:val="0"/>
                <w:iCs w:val="0"/>
                <w:color w:val="000000"/>
                <w:kern w:val="0"/>
                <w:sz w:val="24"/>
                <w:szCs w:val="24"/>
                <w:u w:val="none"/>
                <w:lang w:val="en-US" w:eastAsia="zh-CN" w:bidi="ar"/>
              </w:rPr>
              <w:t>（响应文件中须提供图片证明）；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★3、为保证安全，送样根据需要可提供稳定文库产物，前期文库构建需适配采购人的AIOS200建库仪，提供卡盒由采购人自行操作完成，全封闭避免气溶胶污染，保证流程安全。</w:t>
            </w:r>
            <w:r>
              <w:rPr>
                <w:rFonts w:hint="eastAsia" w:ascii="仿宋" w:hAnsi="仿宋" w:eastAsia="仿宋" w:cs="仿宋"/>
                <w:b/>
                <w:bCs/>
                <w:i w:val="0"/>
                <w:iCs w:val="0"/>
                <w:color w:val="000000"/>
                <w:kern w:val="0"/>
                <w:sz w:val="24"/>
                <w:szCs w:val="24"/>
                <w:u w:val="none"/>
                <w:lang w:val="en-US" w:eastAsia="zh-CN" w:bidi="ar"/>
              </w:rPr>
              <w:t>（响应文件中须提供适配新布尼亚、流感卡盒、琅琊病毒建库说明书）</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4、可接收环境、动/植物来源、食物和人源等多种类型样本，根据样本特征完成样本处理、真核转录组测序及数据质控;</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★5、测序周期≤20个自然日，加急情况下≤10个工作日；</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6、提供核酸提取、文库制备、测序、数据分析和报告解读的全流程服务。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7、测序平台和策略：均利用二代测序平台，能完成双端PE150测序及以上测序;</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8、测序质量：碱基数据质量值Q30比例≥85%。</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 xml:space="preserve">9、交付高质量原始数据和生物信息分析报告等内容； </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★10、生物信息学分析内容：表达水平分析和结构水平分析。表达水平分析包括基因表达量分析、 相关性分析、差异基因及其富集分析、GSEA分析、WGCNA分析等，结构水平包括可变剪切分析、变异位点分析、新转录本预测。以及参考基因组比对、变异检测与RNA编辑、差异表达分析等等，给出具体分析及相关谱图，根据相关需要可免费进行修改，直到满意为止，后期分析费用包含在测序费内，无需产生额外费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11、售后服务：提供每周7天24小时在线服务，提供报告解读及售后服务</w:t>
            </w:r>
            <w:r>
              <w:rPr>
                <w:rFonts w:hint="eastAsia" w:ascii="仿宋" w:hAnsi="仿宋" w:eastAsia="仿宋" w:cs="仿宋"/>
                <w:b/>
                <w:bCs/>
                <w:i w:val="0"/>
                <w:iCs w:val="0"/>
                <w:color w:val="000000"/>
                <w:kern w:val="0"/>
                <w:sz w:val="24"/>
                <w:szCs w:val="24"/>
                <w:u w:val="none"/>
                <w:lang w:val="en-US" w:eastAsia="zh-CN" w:bidi="ar"/>
              </w:rPr>
              <w:t>（响应文件中须提供售后服务承诺书）</w:t>
            </w:r>
            <w:r>
              <w:rPr>
                <w:rFonts w:hint="eastAsia" w:ascii="仿宋" w:hAnsi="仿宋" w:eastAsia="仿宋" w:cs="仿宋"/>
                <w:i w:val="0"/>
                <w:iCs w:val="0"/>
                <w:color w:val="000000"/>
                <w:kern w:val="0"/>
                <w:sz w:val="24"/>
                <w:szCs w:val="24"/>
                <w:u w:val="none"/>
                <w:lang w:val="en-US" w:eastAsia="zh-CN" w:bidi="ar"/>
              </w:rPr>
              <w:t>，可以根据客户需求进行有偿个性化报告定制分析。</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★12、转录组分析最终须根据科研方向会有所调整，提出的额外分析，参选人需给出相关分析，直到满足要求为止，这些分析需包含在以上测序整体费用内，不能另外产生额外费用。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13、整体项目分批次送样，每次送样参选人需提供相关转运耗材，如干冰，制成卡夹等。</w:t>
            </w:r>
          </w:p>
        </w:tc>
      </w:tr>
      <w:tr w14:paraId="7398B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50" w:type="dxa"/>
            <w:vAlign w:val="center"/>
          </w:tcPr>
          <w:p w14:paraId="70375C5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988" w:type="dxa"/>
            <w:vAlign w:val="center"/>
          </w:tcPr>
          <w:p w14:paraId="5B11097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sz w:val="24"/>
                <w:szCs w:val="24"/>
              </w:rPr>
              <w:t>▲</w:t>
            </w:r>
            <w:r>
              <w:rPr>
                <w:rFonts w:hint="eastAsia" w:ascii="仿宋" w:hAnsi="仿宋" w:eastAsia="仿宋" w:cs="仿宋"/>
                <w:i w:val="0"/>
                <w:iCs w:val="0"/>
                <w:color w:val="000000"/>
                <w:kern w:val="0"/>
                <w:sz w:val="24"/>
                <w:szCs w:val="24"/>
                <w:u w:val="none"/>
                <w:lang w:val="en-US" w:eastAsia="zh-CN" w:bidi="ar"/>
              </w:rPr>
              <w:t>病毒类全基因组测序</w:t>
            </w:r>
          </w:p>
        </w:tc>
        <w:tc>
          <w:tcPr>
            <w:tcW w:w="827" w:type="dxa"/>
            <w:vAlign w:val="center"/>
          </w:tcPr>
          <w:p w14:paraId="49F1538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株</w:t>
            </w:r>
          </w:p>
        </w:tc>
        <w:tc>
          <w:tcPr>
            <w:tcW w:w="840" w:type="dxa"/>
            <w:vAlign w:val="center"/>
          </w:tcPr>
          <w:p w14:paraId="71F98BC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5075" w:type="dxa"/>
            <w:vAlign w:val="center"/>
          </w:tcPr>
          <w:p w14:paraId="0501C2E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★1、适用于肠道相关病毒全基因扩增和测序；提供临床样本验证数据；</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2、全基因组长度7.4-7.7Kb；</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3、具备优化好的肠道病毒测序引物；</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★4、测定提交的全基因组需拼接完整，包含完整的5’和3’非编码区；</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5、可进行序列比对BLAST，同时具有一定遗传进化和突变分析能力。具备处理背景复杂的原始标本的能力，能够采用富集等处理技术对靶基因进行富集;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6、针对原始样本，对宿主核酸进行处理，确保下机数据中宿主基因含量＜60%，能够使用SOAPaligner软件把 clean reads 与宿主数据库(根据实际情况客户提供的宿主基因组)进行比对，统计分析病毒的组成;</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7、能够按要求上传完整的基因序列数据至公共数据库NCBI、GISAID基因</w:t>
            </w:r>
          </w:p>
        </w:tc>
      </w:tr>
    </w:tbl>
    <w:p w14:paraId="567AB8D7">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三、报价要求</w:t>
      </w:r>
    </w:p>
    <w:p w14:paraId="345B4FDF">
      <w:pPr>
        <w:rPr>
          <w:rFonts w:hint="eastAsia" w:ascii="仿宋" w:hAnsi="仿宋" w:eastAsia="仿宋" w:cs="仿宋"/>
          <w:bCs/>
          <w:sz w:val="24"/>
          <w:szCs w:val="24"/>
        </w:rPr>
      </w:pPr>
      <w:r>
        <w:rPr>
          <w:rFonts w:hint="eastAsia" w:ascii="仿宋" w:hAnsi="仿宋" w:eastAsia="仿宋" w:cs="仿宋"/>
          <w:bCs/>
          <w:sz w:val="24"/>
          <w:szCs w:val="24"/>
        </w:rPr>
        <w:t>本项目报总价，总价包含完成本项目内容的全部费用，中选后比选人不再增加任何费用。</w:t>
      </w:r>
    </w:p>
    <w:p w14:paraId="626575F6">
      <w:pPr>
        <w:wordWrap w:val="0"/>
        <w:spacing w:line="440" w:lineRule="exact"/>
        <w:ind w:firstLine="437"/>
        <w:jc w:val="left"/>
        <w:rPr>
          <w:rFonts w:hint="eastAsia" w:ascii="仿宋" w:hAnsi="仿宋" w:eastAsia="仿宋" w:cs="仿宋"/>
          <w:b/>
          <w:sz w:val="28"/>
          <w:szCs w:val="28"/>
          <w:lang w:val="en-US" w:eastAsia="zh-CN"/>
        </w:rPr>
      </w:pPr>
    </w:p>
    <w:p w14:paraId="0423A85B">
      <w:pPr>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br w:type="page"/>
      </w:r>
    </w:p>
    <w:p w14:paraId="238B9850">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lang w:val="en-US" w:eastAsia="zh-CN"/>
        </w:rPr>
        <w:t>第3包：</w:t>
      </w:r>
      <w:r>
        <w:rPr>
          <w:rFonts w:hint="eastAsia" w:ascii="仿宋" w:hAnsi="仿宋" w:eastAsia="仿宋" w:cs="仿宋"/>
          <w:b/>
          <w:sz w:val="28"/>
          <w:szCs w:val="28"/>
          <w:lang w:eastAsia="zh-CN"/>
        </w:rPr>
        <w:t>4季度常规测序服务</w:t>
      </w:r>
      <w:r>
        <w:rPr>
          <w:rFonts w:hint="eastAsia" w:ascii="仿宋" w:hAnsi="仿宋" w:eastAsia="仿宋" w:cs="仿宋"/>
          <w:b/>
          <w:sz w:val="28"/>
          <w:szCs w:val="28"/>
          <w:lang w:val="en-US" w:eastAsia="zh-CN"/>
        </w:rPr>
        <w:t>3</w:t>
      </w:r>
    </w:p>
    <w:p w14:paraId="10EEF31E">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517FB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B23727C">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
                <w:kern w:val="2"/>
              </w:rPr>
            </w:pPr>
            <w:r>
              <w:rPr>
                <w:rFonts w:hint="eastAsia" w:ascii="仿宋" w:hAnsi="仿宋" w:eastAsia="仿宋" w:cs="仿宋"/>
                <w:b/>
                <w:kern w:val="2"/>
              </w:rPr>
              <w:t>序号</w:t>
            </w:r>
          </w:p>
        </w:tc>
        <w:tc>
          <w:tcPr>
            <w:tcW w:w="2025" w:type="dxa"/>
            <w:vAlign w:val="center"/>
          </w:tcPr>
          <w:p w14:paraId="356F556E">
            <w:pPr>
              <w:pStyle w:val="7"/>
              <w:widowControl w:val="0"/>
              <w:wordWrap w:val="0"/>
              <w:spacing w:before="0" w:beforeAutospacing="0" w:after="0" w:afterAutospacing="0" w:line="440" w:lineRule="exact"/>
              <w:rPr>
                <w:rFonts w:hint="eastAsia" w:ascii="仿宋" w:hAnsi="仿宋" w:eastAsia="仿宋" w:cs="仿宋"/>
                <w:bCs w:val="0"/>
                <w:sz w:val="24"/>
              </w:rPr>
            </w:pPr>
            <w:r>
              <w:rPr>
                <w:rFonts w:hint="eastAsia" w:ascii="仿宋" w:hAnsi="仿宋" w:eastAsia="仿宋" w:cs="仿宋"/>
                <w:bCs w:val="0"/>
                <w:sz w:val="24"/>
              </w:rPr>
              <w:t>内容</w:t>
            </w:r>
          </w:p>
        </w:tc>
        <w:tc>
          <w:tcPr>
            <w:tcW w:w="5466" w:type="dxa"/>
            <w:vAlign w:val="center"/>
          </w:tcPr>
          <w:p w14:paraId="61B0F9C1">
            <w:pPr>
              <w:pStyle w:val="7"/>
              <w:widowControl w:val="0"/>
              <w:wordWrap w:val="0"/>
              <w:spacing w:before="0" w:beforeAutospacing="0" w:after="0" w:afterAutospacing="0" w:line="440" w:lineRule="exact"/>
              <w:rPr>
                <w:rFonts w:hint="eastAsia" w:ascii="仿宋" w:hAnsi="仿宋" w:eastAsia="仿宋" w:cs="仿宋"/>
                <w:bCs w:val="0"/>
                <w:sz w:val="24"/>
              </w:rPr>
            </w:pPr>
            <w:r>
              <w:rPr>
                <w:rFonts w:hint="eastAsia" w:ascii="仿宋" w:hAnsi="仿宋" w:eastAsia="仿宋" w:cs="仿宋"/>
                <w:bCs w:val="0"/>
                <w:sz w:val="24"/>
              </w:rPr>
              <w:t>说明与要求</w:t>
            </w:r>
          </w:p>
        </w:tc>
      </w:tr>
      <w:tr w14:paraId="1C97B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E77FC18">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1</w:t>
            </w:r>
          </w:p>
        </w:tc>
        <w:tc>
          <w:tcPr>
            <w:tcW w:w="2025" w:type="dxa"/>
            <w:vAlign w:val="center"/>
          </w:tcPr>
          <w:p w14:paraId="049469CC">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付款方式</w:t>
            </w:r>
          </w:p>
        </w:tc>
        <w:tc>
          <w:tcPr>
            <w:tcW w:w="5466" w:type="dxa"/>
            <w:vAlign w:val="center"/>
          </w:tcPr>
          <w:p w14:paraId="761AA865">
            <w:pPr>
              <w:pStyle w:val="7"/>
              <w:widowControl w:val="0"/>
              <w:spacing w:before="0" w:beforeAutospacing="0" w:after="0" w:afterAutospacing="0" w:line="360" w:lineRule="auto"/>
              <w:jc w:val="both"/>
              <w:rPr>
                <w:rFonts w:hint="eastAsia" w:ascii="仿宋" w:hAnsi="仿宋" w:eastAsia="仿宋" w:cs="仿宋"/>
                <w:b w:val="0"/>
                <w:sz w:val="24"/>
                <w:szCs w:val="24"/>
                <w:lang w:val="en-US"/>
              </w:rPr>
            </w:pPr>
            <w:r>
              <w:rPr>
                <w:rFonts w:hint="eastAsia" w:ascii="仿宋" w:hAnsi="仿宋" w:eastAsia="仿宋" w:cs="仿宋"/>
                <w:b w:val="0"/>
                <w:sz w:val="24"/>
                <w:szCs w:val="24"/>
                <w:lang w:val="en-US" w:eastAsia="zh-CN"/>
              </w:rPr>
              <w:t>验收合格后一次性付款.</w:t>
            </w:r>
          </w:p>
        </w:tc>
      </w:tr>
      <w:tr w14:paraId="2E9C1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0506EDE">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2</w:t>
            </w:r>
          </w:p>
        </w:tc>
        <w:tc>
          <w:tcPr>
            <w:tcW w:w="2025" w:type="dxa"/>
            <w:vAlign w:val="center"/>
          </w:tcPr>
          <w:p w14:paraId="0E034A0B">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服务地点</w:t>
            </w:r>
          </w:p>
        </w:tc>
        <w:tc>
          <w:tcPr>
            <w:tcW w:w="5466" w:type="dxa"/>
            <w:vAlign w:val="center"/>
          </w:tcPr>
          <w:p w14:paraId="63C6C892">
            <w:pPr>
              <w:pStyle w:val="7"/>
              <w:widowControl w:val="0"/>
              <w:spacing w:before="0" w:beforeAutospacing="0" w:after="0" w:afterAutospacing="0" w:line="360" w:lineRule="auto"/>
              <w:jc w:val="both"/>
              <w:rPr>
                <w:rFonts w:hint="eastAsia" w:ascii="仿宋" w:hAnsi="仿宋" w:eastAsia="仿宋" w:cs="仿宋"/>
                <w:b w:val="0"/>
                <w:sz w:val="24"/>
                <w:szCs w:val="24"/>
              </w:rPr>
            </w:pPr>
            <w:r>
              <w:rPr>
                <w:rFonts w:hint="eastAsia" w:ascii="仿宋" w:hAnsi="仿宋" w:eastAsia="仿宋" w:cs="仿宋"/>
                <w:b w:val="0"/>
                <w:sz w:val="24"/>
                <w:szCs w:val="24"/>
              </w:rPr>
              <w:t>安徽省疾病预防控制中心或采购人指定地点。</w:t>
            </w:r>
          </w:p>
        </w:tc>
      </w:tr>
      <w:tr w14:paraId="1941A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6658FCD">
            <w:pPr>
              <w:pStyle w:val="6"/>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3</w:t>
            </w:r>
          </w:p>
        </w:tc>
        <w:tc>
          <w:tcPr>
            <w:tcW w:w="2025" w:type="dxa"/>
            <w:vAlign w:val="center"/>
          </w:tcPr>
          <w:p w14:paraId="2578BF67">
            <w:pPr>
              <w:pStyle w:val="7"/>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服务期限</w:t>
            </w:r>
          </w:p>
        </w:tc>
        <w:tc>
          <w:tcPr>
            <w:tcW w:w="5466" w:type="dxa"/>
            <w:vAlign w:val="center"/>
          </w:tcPr>
          <w:p w14:paraId="188052CC">
            <w:pPr>
              <w:pStyle w:val="2"/>
              <w:spacing w:line="360" w:lineRule="auto"/>
              <w:rPr>
                <w:rFonts w:hint="eastAsia" w:ascii="仿宋" w:hAnsi="仿宋" w:eastAsia="仿宋" w:cs="仿宋"/>
                <w:bCs/>
                <w:kern w:val="0"/>
                <w:sz w:val="24"/>
                <w:szCs w:val="24"/>
              </w:rPr>
            </w:pPr>
            <w:r>
              <w:rPr>
                <w:rFonts w:hint="eastAsia" w:ascii="仿宋" w:hAnsi="仿宋" w:eastAsia="仿宋" w:cs="仿宋"/>
                <w:bCs/>
                <w:kern w:val="0"/>
                <w:sz w:val="24"/>
                <w:szCs w:val="24"/>
                <w:lang w:val="en-US" w:eastAsia="zh-CN"/>
              </w:rPr>
              <w:t>合同签订生效后，根据买方提交样本日开始原则上5个工作日内即可通过E-mail发送测序结果，全年可接受样品测序，并上门收标本</w:t>
            </w:r>
            <w:r>
              <w:rPr>
                <w:rFonts w:hint="eastAsia" w:ascii="仿宋" w:hAnsi="仿宋" w:eastAsia="仿宋" w:cs="仿宋"/>
                <w:bCs/>
                <w:kern w:val="0"/>
                <w:sz w:val="24"/>
                <w:szCs w:val="24"/>
              </w:rPr>
              <w:t>。</w:t>
            </w:r>
          </w:p>
        </w:tc>
      </w:tr>
    </w:tbl>
    <w:p w14:paraId="22B0388A">
      <w:pPr>
        <w:wordWrap w:val="0"/>
        <w:spacing w:line="440" w:lineRule="exact"/>
        <w:ind w:firstLine="437"/>
        <w:jc w:val="left"/>
        <w:rPr>
          <w:rFonts w:hint="eastAsia" w:ascii="仿宋" w:hAnsi="仿宋" w:eastAsia="仿宋" w:cs="仿宋"/>
          <w:b/>
          <w:sz w:val="28"/>
          <w:szCs w:val="28"/>
          <w:lang w:eastAsia="zh-CN"/>
        </w:rPr>
      </w:pPr>
      <w:r>
        <w:rPr>
          <w:rFonts w:hint="eastAsia" w:ascii="仿宋" w:hAnsi="仿宋" w:eastAsia="仿宋" w:cs="仿宋"/>
          <w:b/>
          <w:sz w:val="28"/>
          <w:szCs w:val="28"/>
        </w:rPr>
        <w:t>二、服务</w:t>
      </w:r>
      <w:r>
        <w:rPr>
          <w:rFonts w:hint="eastAsia" w:ascii="仿宋" w:hAnsi="仿宋" w:eastAsia="仿宋" w:cs="仿宋"/>
          <w:b/>
          <w:sz w:val="28"/>
          <w:szCs w:val="28"/>
          <w:lang w:val="en-US" w:eastAsia="zh-CN"/>
        </w:rPr>
        <w:t>需求</w:t>
      </w:r>
    </w:p>
    <w:tbl>
      <w:tblPr>
        <w:tblStyle w:val="4"/>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988"/>
        <w:gridCol w:w="827"/>
        <w:gridCol w:w="840"/>
        <w:gridCol w:w="5075"/>
      </w:tblGrid>
      <w:tr w14:paraId="1FC33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50" w:type="dxa"/>
            <w:vAlign w:val="center"/>
          </w:tcPr>
          <w:p w14:paraId="5CA253F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988" w:type="dxa"/>
            <w:vAlign w:val="center"/>
          </w:tcPr>
          <w:p w14:paraId="46509F0C">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 名</w:t>
            </w:r>
          </w:p>
        </w:tc>
        <w:tc>
          <w:tcPr>
            <w:tcW w:w="827" w:type="dxa"/>
            <w:vAlign w:val="center"/>
          </w:tcPr>
          <w:p w14:paraId="4B23D0D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840" w:type="dxa"/>
            <w:vAlign w:val="center"/>
          </w:tcPr>
          <w:p w14:paraId="763F648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5075" w:type="dxa"/>
            <w:vAlign w:val="center"/>
          </w:tcPr>
          <w:p w14:paraId="2C40A28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简要参数</w:t>
            </w:r>
          </w:p>
        </w:tc>
      </w:tr>
      <w:tr w14:paraId="76D34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750" w:type="dxa"/>
            <w:vAlign w:val="center"/>
          </w:tcPr>
          <w:p w14:paraId="49DEB5B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988" w:type="dxa"/>
            <w:vAlign w:val="center"/>
          </w:tcPr>
          <w:p w14:paraId="562725A5">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宋体" w:hAnsi="宋体" w:eastAsia="宋体" w:cs="宋体"/>
                <w:sz w:val="24"/>
                <w:szCs w:val="24"/>
              </w:rPr>
              <w:t>▲</w:t>
            </w:r>
            <w:r>
              <w:rPr>
                <w:rFonts w:hint="eastAsia" w:ascii="仿宋" w:hAnsi="仿宋" w:eastAsia="仿宋" w:cs="仿宋"/>
                <w:i w:val="0"/>
                <w:iCs w:val="0"/>
                <w:color w:val="000000"/>
                <w:kern w:val="0"/>
                <w:sz w:val="24"/>
                <w:szCs w:val="24"/>
                <w:u w:val="none"/>
                <w:lang w:val="en-US" w:eastAsia="zh-CN" w:bidi="ar"/>
              </w:rPr>
              <w:t>普通PCR产物测序（一代）</w:t>
            </w:r>
          </w:p>
        </w:tc>
        <w:tc>
          <w:tcPr>
            <w:tcW w:w="827" w:type="dxa"/>
            <w:vAlign w:val="center"/>
          </w:tcPr>
          <w:p w14:paraId="4446BA7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0" w:type="dxa"/>
            <w:vAlign w:val="center"/>
          </w:tcPr>
          <w:p w14:paraId="00A6A23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2500</w:t>
            </w:r>
          </w:p>
        </w:tc>
        <w:tc>
          <w:tcPr>
            <w:tcW w:w="5075" w:type="dxa"/>
            <w:vAlign w:val="center"/>
          </w:tcPr>
          <w:p w14:paraId="12AEAB9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1、PCR产物未纯化测序，测序片段长度300-1200bp（大于600bp的样品可双向测序）；</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color w:val="000000"/>
                <w:kern w:val="0"/>
                <w:sz w:val="24"/>
                <w:szCs w:val="24"/>
                <w:lang w:bidi="ar"/>
              </w:rPr>
              <w:t>★</w:t>
            </w:r>
            <w:r>
              <w:rPr>
                <w:rFonts w:hint="eastAsia" w:ascii="仿宋" w:hAnsi="仿宋" w:eastAsia="仿宋" w:cs="仿宋"/>
                <w:i w:val="0"/>
                <w:iCs w:val="0"/>
                <w:color w:val="000000"/>
                <w:kern w:val="0"/>
                <w:sz w:val="24"/>
                <w:szCs w:val="24"/>
                <w:u w:val="none"/>
                <w:lang w:val="en-US" w:eastAsia="zh-CN" w:bidi="ar"/>
              </w:rPr>
              <w:t>2、对于有明显目的条带的样品测序成功率≥90%，测序失败需提供参考原因及解决方案；叠峰免费优化条件重测。3、提供核苷酸碱基序列和测序图谱；</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4、提供测通的拼接序列；</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color w:val="000000"/>
                <w:kern w:val="0"/>
                <w:sz w:val="24"/>
                <w:szCs w:val="24"/>
                <w:lang w:bidi="ar"/>
              </w:rPr>
              <w:t>★</w:t>
            </w:r>
            <w:r>
              <w:rPr>
                <w:rFonts w:hint="eastAsia" w:ascii="仿宋" w:hAnsi="仿宋" w:eastAsia="仿宋" w:cs="仿宋"/>
                <w:i w:val="0"/>
                <w:iCs w:val="0"/>
                <w:color w:val="000000"/>
                <w:kern w:val="0"/>
                <w:sz w:val="24"/>
                <w:szCs w:val="24"/>
                <w:u w:val="none"/>
                <w:lang w:val="en-US" w:eastAsia="zh-CN" w:bidi="ar"/>
              </w:rPr>
              <w:t>5、对于5’和3’端100个碱基的准确性不小于70%；</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6、收样后反馈结果不超过72小时；</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7、可根据客户需求，多次上门取样</w:t>
            </w:r>
          </w:p>
        </w:tc>
      </w:tr>
      <w:tr w14:paraId="0FE48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50" w:type="dxa"/>
            <w:vAlign w:val="center"/>
          </w:tcPr>
          <w:p w14:paraId="24C14CF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w:t>
            </w:r>
          </w:p>
        </w:tc>
        <w:tc>
          <w:tcPr>
            <w:tcW w:w="988" w:type="dxa"/>
            <w:vAlign w:val="center"/>
          </w:tcPr>
          <w:p w14:paraId="1A91A913">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普通测序</w:t>
            </w:r>
          </w:p>
        </w:tc>
        <w:tc>
          <w:tcPr>
            <w:tcW w:w="827" w:type="dxa"/>
            <w:vAlign w:val="center"/>
          </w:tcPr>
          <w:p w14:paraId="38D44B8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次</w:t>
            </w:r>
          </w:p>
        </w:tc>
        <w:tc>
          <w:tcPr>
            <w:tcW w:w="840" w:type="dxa"/>
            <w:vAlign w:val="center"/>
          </w:tcPr>
          <w:p w14:paraId="6E5880B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w:t>
            </w:r>
          </w:p>
        </w:tc>
        <w:tc>
          <w:tcPr>
            <w:tcW w:w="5075" w:type="dxa"/>
            <w:vAlign w:val="center"/>
          </w:tcPr>
          <w:p w14:paraId="5EDAC776">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1、PCR产物未纯化测序测序片段长度300-1200bp(双向测序):</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2、对于有明显目的条带的样品测序成功率&gt;90%，测序失败需提供参考原因及解决方案，叠峰免费优化条件重测;</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3、可以根据提供的序列合成测序引物。</w:t>
            </w:r>
          </w:p>
        </w:tc>
      </w:tr>
      <w:tr w14:paraId="5C64D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50" w:type="dxa"/>
            <w:vAlign w:val="center"/>
          </w:tcPr>
          <w:p w14:paraId="06614B1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w:t>
            </w:r>
          </w:p>
        </w:tc>
        <w:tc>
          <w:tcPr>
            <w:tcW w:w="988" w:type="dxa"/>
            <w:vAlign w:val="center"/>
          </w:tcPr>
          <w:p w14:paraId="7C19A721">
            <w:pPr>
              <w:keepNext w:val="0"/>
              <w:keepLines w:val="0"/>
              <w:widowControl/>
              <w:suppressLineNumbers w:val="0"/>
              <w:jc w:val="both"/>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引物合成</w:t>
            </w:r>
          </w:p>
        </w:tc>
        <w:tc>
          <w:tcPr>
            <w:tcW w:w="827" w:type="dxa"/>
            <w:vAlign w:val="center"/>
          </w:tcPr>
          <w:p w14:paraId="0C0F3AC4">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OD</w:t>
            </w:r>
          </w:p>
        </w:tc>
        <w:tc>
          <w:tcPr>
            <w:tcW w:w="840" w:type="dxa"/>
            <w:vAlign w:val="center"/>
          </w:tcPr>
          <w:p w14:paraId="3D78215E">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w:t>
            </w:r>
          </w:p>
        </w:tc>
        <w:tc>
          <w:tcPr>
            <w:tcW w:w="5075" w:type="dxa"/>
            <w:vAlign w:val="center"/>
          </w:tcPr>
          <w:p w14:paraId="011A6116">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1、可提供OPC、PAGE、TPAGE、HPLC等纯化方式 ；</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2、干粉成品，每OD分装1管；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3、干粉成品保质期大于等于24个月</w:t>
            </w:r>
          </w:p>
        </w:tc>
      </w:tr>
    </w:tbl>
    <w:p w14:paraId="07A75E7A">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三、报价要求</w:t>
      </w:r>
    </w:p>
    <w:p w14:paraId="127DC7F0">
      <w:r>
        <w:rPr>
          <w:rFonts w:hint="eastAsia" w:ascii="仿宋" w:hAnsi="仿宋" w:eastAsia="仿宋" w:cs="仿宋"/>
          <w:bCs/>
          <w:sz w:val="24"/>
          <w:szCs w:val="24"/>
        </w:rPr>
        <w:t>本项目报总价，总价包含完成本项目内容的全部费用，中选后比选人不再增加任何费用。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962AF4"/>
    <w:rsid w:val="46962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 w:type="character" w:customStyle="1" w:styleId="8">
    <w:name w:val="font11"/>
    <w:basedOn w:val="5"/>
    <w:qFormat/>
    <w:uiPriority w:val="0"/>
    <w:rPr>
      <w:rFonts w:hint="eastAsia" w:ascii="仿宋" w:hAnsi="仿宋" w:eastAsia="仿宋" w:cs="仿宋"/>
      <w:b/>
      <w:bCs/>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2025-10-30T03:51:00Z</dcterms:created>
  <dc:creator>森</dc:creator>
  <cp:lastModifiedBy>森</cp:lastModifiedBy>
  <dcterms:modified xsi:type="dcterms:W3CDTF">2025-10-30T03:52:07Z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F19F0CF982214AE7ACF597C1D975C665_11</vt:lpwstr>
  </property>
  <property fmtid="{D5CDD505-2E9C-101B-9397-08002B2CF9AE}" pid="4" name="KSOTemplateDocerSaveRecord">
    <vt:lpwstr>eyJoZGlkIjoiOTc3M2Y5NzIzMDFlZjAyY2Q4Njk5ODkyYjFjNzBiNTQiLCJ1c2VySWQiOiI0MzAwMTYzNzkifQ==</vt:lpwstr>
  </property>
</Properties>
</file>