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F4E9D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1" w:name="_GoBack"/>
      <w:bookmarkEnd w:id="1"/>
      <w:bookmarkStart w:id="0" w:name="_Toc10927"/>
      <w:r>
        <w:rPr>
          <w:rFonts w:hint="eastAsia" w:ascii="仿宋" w:hAnsi="仿宋" w:eastAsia="仿宋" w:cs="仿宋"/>
          <w:b/>
          <w:bCs/>
          <w:kern w:val="44"/>
          <w:sz w:val="44"/>
          <w:szCs w:val="44"/>
          <w:highlight w:val="none"/>
          <w:lang w:val="en-US" w:eastAsia="zh-CN" w:bidi="ar-SA"/>
        </w:rPr>
        <w:t>采购需求</w:t>
      </w:r>
      <w:bookmarkEnd w:id="0"/>
    </w:p>
    <w:p w14:paraId="0037E176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hint="eastAsia" w:ascii="仿宋" w:hAnsi="仿宋" w:eastAsia="仿宋" w:cs="仿宋"/>
          <w:b/>
          <w:sz w:val="24"/>
          <w:highlight w:val="none"/>
        </w:rPr>
      </w:pPr>
      <w:r>
        <w:rPr>
          <w:rFonts w:hint="eastAsia" w:ascii="仿宋" w:hAnsi="仿宋" w:eastAsia="仿宋" w:cs="仿宋"/>
          <w:b/>
          <w:sz w:val="24"/>
          <w:highlight w:val="none"/>
        </w:rPr>
        <w:t>前注：</w:t>
      </w:r>
    </w:p>
    <w:p w14:paraId="37C9A724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Cs/>
          <w:sz w:val="24"/>
          <w:highlight w:val="none"/>
        </w:rPr>
      </w:pP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技术</w:t>
      </w:r>
      <w:r>
        <w:rPr>
          <w:rFonts w:hint="eastAsia" w:ascii="仿宋" w:hAnsi="仿宋" w:eastAsia="仿宋" w:cs="仿宋"/>
          <w:bCs/>
          <w:sz w:val="24"/>
          <w:highlight w:val="none"/>
        </w:rPr>
        <w:t>方案，且此方案须经</w:t>
      </w:r>
      <w:r>
        <w:rPr>
          <w:rFonts w:hint="eastAsia" w:ascii="仿宋" w:hAnsi="仿宋" w:eastAsia="仿宋" w:cs="仿宋"/>
          <w:bCs/>
          <w:sz w:val="24"/>
          <w:highlight w:val="none"/>
          <w:lang w:val="en-US" w:eastAsia="zh-CN"/>
        </w:rPr>
        <w:t>询比</w:t>
      </w:r>
      <w:r>
        <w:rPr>
          <w:rFonts w:hint="eastAsia" w:ascii="仿宋" w:hAnsi="仿宋" w:eastAsia="仿宋" w:cs="仿宋"/>
          <w:bCs/>
          <w:sz w:val="24"/>
          <w:highlight w:val="none"/>
        </w:rPr>
        <w:t>小组评审认可。</w:t>
      </w:r>
    </w:p>
    <w:p w14:paraId="706EC3B7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仿宋" w:hAnsi="仿宋" w:eastAsia="仿宋" w:cs="仿宋"/>
          <w:b/>
          <w:bCs w:val="0"/>
          <w:color w:val="FF0000"/>
          <w:sz w:val="24"/>
          <w:highlight w:val="none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47B31524">
      <w:pPr>
        <w:wordWrap w:val="0"/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4B037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0832809F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vAlign w:val="center"/>
          </w:tcPr>
          <w:p w14:paraId="2F3EC419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vAlign w:val="center"/>
          </w:tcPr>
          <w:p w14:paraId="7D84B901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196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63F4C8B2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vAlign w:val="center"/>
          </w:tcPr>
          <w:p w14:paraId="7E223AAD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vAlign w:val="center"/>
          </w:tcPr>
          <w:p w14:paraId="3B883891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highlight w:val="none"/>
                <w:u w:val="none"/>
                <w:lang w:eastAsia="zh-CN"/>
              </w:rPr>
              <w:t>验收合格后一次性付款。</w:t>
            </w:r>
          </w:p>
        </w:tc>
      </w:tr>
      <w:tr w14:paraId="4F3BD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3F11D277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vAlign w:val="center"/>
          </w:tcPr>
          <w:p w14:paraId="5FCEC2EB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vAlign w:val="center"/>
          </w:tcPr>
          <w:p w14:paraId="2694035D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36A24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40CB0822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vAlign w:val="center"/>
          </w:tcPr>
          <w:p w14:paraId="104C25A8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vAlign w:val="center"/>
          </w:tcPr>
          <w:p w14:paraId="60A079FC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合同签订生效后，须在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val="en-US" w:eastAsia="zh-CN"/>
              </w:rPr>
              <w:t>12月15日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  <w:lang w:eastAsia="zh-CN"/>
              </w:rPr>
              <w:t>前完成全部供货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。</w:t>
            </w:r>
          </w:p>
        </w:tc>
      </w:tr>
      <w:tr w14:paraId="1BC12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vAlign w:val="center"/>
          </w:tcPr>
          <w:p w14:paraId="75C92E6C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vAlign w:val="center"/>
          </w:tcPr>
          <w:p w14:paraId="50A8A439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vAlign w:val="center"/>
          </w:tcPr>
          <w:p w14:paraId="798DA120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仿宋" w:hAnsi="仿宋" w:eastAsia="仿宋" w:cs="仿宋"/>
                <w:b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原则上要求验收合格之日起至少总有效期三分之二以上（</w:t>
            </w:r>
            <w:r>
              <w:rPr>
                <w:rFonts w:hint="eastAsia" w:ascii="仿宋" w:hAnsi="仿宋" w:eastAsia="仿宋" w:cs="仿宋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7561C574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787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539"/>
        <w:gridCol w:w="645"/>
        <w:gridCol w:w="684"/>
        <w:gridCol w:w="4978"/>
      </w:tblGrid>
      <w:tr w14:paraId="0207E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DD2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04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02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7A3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850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简要参数</w:t>
            </w:r>
          </w:p>
        </w:tc>
      </w:tr>
      <w:tr w14:paraId="64C28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5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过氧化氢灭菌化学指示卡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B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0E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适用于过氧化氢灭菌效果的监测；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经过灭菌后，指示油墨颜色达到或红于卡面标准色说明物品灭菌合格。</w:t>
            </w:r>
          </w:p>
        </w:tc>
      </w:tr>
      <w:tr w14:paraId="76532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0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7E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过氧化氢灭菌生物指示菌片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B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44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、用于过氧化氢灭菌效果监测，主要由嗜热脂肪杆菌芽胞和恢复培养基组成，可根据培养后恢复培养基颜色的变化来判断过氧化氢灭菌是否合格；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、芽胞含量需为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5x10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～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5x10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6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cfu/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支。</w:t>
            </w:r>
          </w:p>
        </w:tc>
      </w:tr>
      <w:tr w14:paraId="50F49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压力蒸汽灭菌化学指示卡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F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F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、适用于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实验室双扉高压灭菌装置；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、灭菌温度为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121℃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134℃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盒）</w:t>
            </w:r>
          </w:p>
        </w:tc>
      </w:tr>
      <w:tr w14:paraId="6E91C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7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B-D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66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0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、适用于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实验室双扉脉冲式高压灭菌装置灭菌效果验证；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、灭菌温度为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134℃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623E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D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Rapid Readout Steam Pack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5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、适用于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实验室双扉脉冲式高压灭菌装置灭菌效果验证；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、灭菌温度为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121℃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0646C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5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96孔细胞培养板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2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72D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1.U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形底，独立包装；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经过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ɤ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射线灭菌处理，无热源；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带盖</w:t>
            </w:r>
          </w:p>
        </w:tc>
      </w:tr>
      <w:tr w14:paraId="2601B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01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一次性无菌医用注射器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8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5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最小刻度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0.01ml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无菌；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独立包装；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最大刻度为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</w:tc>
      </w:tr>
      <w:tr w14:paraId="1DD1A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7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加样槽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6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独立包装；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环氧乙烷灭菌；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3.V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型槽</w:t>
            </w:r>
          </w:p>
        </w:tc>
      </w:tr>
      <w:tr w14:paraId="40155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C0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酒精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1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mL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7D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瓶，医用级别，酒精浓度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75%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，用于常规消毒。</w:t>
            </w:r>
          </w:p>
        </w:tc>
      </w:tr>
      <w:tr w14:paraId="6DA6F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E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5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9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1.S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麻面；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独立包装；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环氧乙烷灭菌</w:t>
            </w:r>
          </w:p>
        </w:tc>
      </w:tr>
      <w:tr w14:paraId="35FF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84消毒液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2F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6D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D6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消字号；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有效含氯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4%-5.5%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</w:tr>
      <w:tr w14:paraId="600B5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C4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F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15mL离心管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E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5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箱，聚丙烯材质，锥形底，灭菌</w:t>
            </w:r>
          </w:p>
        </w:tc>
      </w:tr>
      <w:tr w14:paraId="2EBC9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9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50mL离心管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1F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E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C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箱，聚丙烯材质，锥形底，灭菌</w:t>
            </w:r>
          </w:p>
        </w:tc>
      </w:tr>
      <w:tr w14:paraId="1CE45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A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一次性医用手套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6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B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0F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盒，小号，无粉，灭菌</w:t>
            </w:r>
          </w:p>
        </w:tc>
      </w:tr>
      <w:tr w14:paraId="5101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3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一次性医用外科口罩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8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8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9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三层防护含过滤层；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符合《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YY0469-2011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》相关标准</w:t>
            </w:r>
          </w:p>
        </w:tc>
      </w:tr>
      <w:tr w14:paraId="01F81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N95口罩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F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GB19083-2010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医用灭菌级；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头戴式可调节；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独立包装</w:t>
            </w:r>
          </w:p>
        </w:tc>
      </w:tr>
      <w:tr w14:paraId="1C0AD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D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D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双抗（青霉素-链霉素）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6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D6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按照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1:100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比例稀释后，终浓度为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青霉素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100 U/mL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，链霉素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100 µg/mL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；必须保证产品无菌，响应文件中提供无菌检验报告；产品无细胞毒性。</w:t>
            </w:r>
          </w:p>
        </w:tc>
      </w:tr>
      <w:tr w14:paraId="4278A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1E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DMEM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F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B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973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DMEM(Dulbecco's Modified Eagle Medium)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，含有高糖，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L-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谷氨酰胺，酚红，是一种广泛使用的基础培养基，可用于支持很多种类的哺乳动物细胞生长；</w:t>
            </w:r>
          </w:p>
          <w:p w14:paraId="64E287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培养基规格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:500ml/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瓶。</w:t>
            </w:r>
          </w:p>
        </w:tc>
      </w:tr>
      <w:tr w14:paraId="677E8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DPBS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D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6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无钙镁；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瓶；适用于细胞培养，保质期≥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个月。</w:t>
            </w:r>
          </w:p>
        </w:tc>
      </w:tr>
      <w:tr w14:paraId="0FC3C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30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T25细胞培养瓶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40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7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聚苯乙烯材质，矩形，斜颈，透气盖，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包。</w:t>
            </w:r>
          </w:p>
        </w:tc>
      </w:tr>
      <w:tr w14:paraId="62A6A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A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1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T75细胞培养瓶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8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5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聚苯乙烯材质，矩形，斜颈，透气盖，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包。</w:t>
            </w:r>
          </w:p>
        </w:tc>
      </w:tr>
      <w:tr w14:paraId="636B8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15ml离心管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2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35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9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聚丙烯材质；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带刻度线，有盖子；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尖底；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无菌，无热源、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RNase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和蛋白酶。</w:t>
            </w:r>
          </w:p>
        </w:tc>
      </w:tr>
      <w:tr w14:paraId="0D493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mL离心管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4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聚丙烯材质；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带刻度线，有盖子；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尖底；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无菌，无热源、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RNase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和蛋白酶。</w:t>
            </w:r>
          </w:p>
        </w:tc>
      </w:tr>
      <w:tr w14:paraId="0C35B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41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4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12孔板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1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21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52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1.12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孔，单独包装，无菌无热源；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2.TC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表面处理平底有盖可堆叠；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极佳的光学特性；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用于细胞培养。</w:t>
            </w:r>
          </w:p>
        </w:tc>
      </w:tr>
      <w:tr w14:paraId="391AD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4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9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10ml移液管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98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1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5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独立纸皮包装；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带有滤芯过滤塞；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经过无菌处理；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硬质双向刻度设计；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额外容量的阴性刻度。</w:t>
            </w:r>
          </w:p>
        </w:tc>
      </w:tr>
      <w:tr w14:paraId="598C7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3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C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25mL移液管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6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1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2C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独立纸皮包装；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带有滤芯过滤塞；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经过无菌处理；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硬质双向刻度设计；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额外容量的阴性刻度。</w:t>
            </w:r>
          </w:p>
        </w:tc>
      </w:tr>
      <w:tr w14:paraId="33438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6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6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胰酶-EDTA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A5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4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5C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瓶，浓度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0.05%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，含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EDTA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、酚红，到货时试剂有效期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个月。</w:t>
            </w:r>
          </w:p>
        </w:tc>
      </w:tr>
      <w:tr w14:paraId="72F82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1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灭菌橡胶外科手套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B0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77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号，麻面，无粉，独立包装、环氧乙烷灭菌。</w:t>
            </w:r>
          </w:p>
        </w:tc>
      </w:tr>
      <w:tr w14:paraId="66D62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E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0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人血管内皮生长因子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VEGF-A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3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E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0.04-10ng/mL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≤0.03ng/mL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087C8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6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5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人血小板内皮细胞粘附分子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  {PECAM-1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DC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0.16-10ng/mL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≤0.08ng/mL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34981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C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CD40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配体（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CD40L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0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F0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16-1000pg/mL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≤0.6pg/mL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33CBC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E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4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人组织多肽抗原（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tPA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84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0.6-40ng/mL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≤0.4ng/mL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1E7D7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6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3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人纤溶酶原激活物抑制因子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1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PAI-1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C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45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65-4000pg/mL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≤25pg/mL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083C5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9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A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人血清淀粉样蛋白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SAA-1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9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9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0.16-10ng/mL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≤0.08ng/mL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0468B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人血管细胞粘附分子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1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VCAM-1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E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0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E7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4-250ng/mL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≤2ng/mL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62616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F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人细胞间粘附分子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ICAM-1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6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0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F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检测范围：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0.4-25ng/mL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（宽范围检测，适应不同样本浓度）；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灵敏度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≤0.2ng/mL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（高灵敏度确保低浓度样本的检测）；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样本类型：血清、血浆、细胞培养上清液、组织匀浆；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特异性：仅检测天然和重组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IL-1β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，不与其他细胞因子交叉反应；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物种反应性：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Human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重复性：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CV小于10%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（高重复性保证结果可靠性）；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售后服务：厂家提供工程师协助全流程实验开展，并完成数据分析工作服务。</w:t>
            </w:r>
          </w:p>
        </w:tc>
      </w:tr>
      <w:tr w14:paraId="3FDF7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C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8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93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枚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1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1、0日龄或9-11日龄；2、SPF级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（供货时提供相应证书）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；3、分批供货</w:t>
            </w:r>
          </w:p>
        </w:tc>
      </w:tr>
      <w:tr w14:paraId="017B5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1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辣根过氧化物酶标记山羊抗兔IgG(H+L)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6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44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9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1mL/瓶，用于Western、ELISA和IHC等的二抗，到货有效期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10个月。</w:t>
            </w:r>
          </w:p>
        </w:tc>
      </w:tr>
      <w:tr w14:paraId="01C12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抗甲型流感病毒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Nucleoprotein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单克隆抗体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337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100μL/瓶，兔源，用于Western、ELISA和IHC等的一抗，到货有效期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10个月。</w:t>
            </w:r>
          </w:p>
        </w:tc>
      </w:tr>
      <w:tr w14:paraId="61756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8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37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Agarose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低熔点琼脂糖粉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52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5E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1.分子生物学级别，用于制备低熔点琼脂糖凝胶，具备较好的筛分性能和清晰度; 2.适合组织培养细胞的克隆、病毒空斑检测、DNA和RNA电泳。</w:t>
            </w:r>
          </w:p>
        </w:tc>
      </w:tr>
      <w:tr w14:paraId="57230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2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B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i.Fast抗体筛选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D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A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、采购人提供病毒抗原等，免疫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只小鼠，服务方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检测血清效价，确保符合实验条件。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、服务平台具有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Beacon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单细胞光导筛选检测平台，能够成熟的开展此类筛选业务。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、通过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OEP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技术精准提取阳性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细胞，进行后续测序和抗体表达，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2-3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周内即可获得重组抗体质粒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、单芯片可筛选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万个细胞，支持稀有抗体（如抗病毒中和抗体）的发现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Beacon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细胞抗体筛选：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5.1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Beacon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筛选并导出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≥24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个抗原结合阳性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细胞并进行快速抗体表达验证和测序，交付所有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VH/VL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序列。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5.2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若无阳性细胞导出或未能获得测序结果，不收取费用。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、抗体生产验证：挑选序列并生产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株抗原结合阳性抗体（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ELISA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验证），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1mg/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、若抗体无法与采购人单位抗原结合，视为结果失败，参选人需免费重复以上筛选实验，直到成功为止。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、若筛选失败，重复实验所产生的前期材料、试剂等参选人需免费提供。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、参选人响应时须提供服务平台公司售后服务承诺书（响应文件中须提供承诺书，格式自拟）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0ABCC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55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A3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无内毒素质粒大提试剂盒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6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C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95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1.采用独特硅胶膜吸附技术，高效专一地结合质粒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DNA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采用高效的去内毒素系统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; 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可有效的去除内毒素、蛋白等杂质，操作简单方便，可同时操作多个样品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; 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适用于酶切、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PCR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、测序、连接、转化等常规实验及基因治疗、细胞显微注射、基因沉默、转染等高端实验。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盒。</w:t>
            </w:r>
          </w:p>
        </w:tc>
      </w:tr>
      <w:tr w14:paraId="442F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DMEM高糖培养基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8D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8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13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 w:bidi="ar"/>
              </w:rPr>
              <w:t>细胞培养基础培养基；葡萄糖浓度为4.5g/L，含 L-谷氨酰胺；用于支持多种哺乳动物细胞生长。500ml/瓶。</w:t>
            </w:r>
          </w:p>
        </w:tc>
      </w:tr>
      <w:tr w14:paraId="70B73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C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Union293细胞培养基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D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用于支持悬浮培养中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HEK293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相关细胞（如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293F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293FT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等）的生长和转染表达。即用型完全培养基，无需补充添加剂。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1000ml/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瓶。</w:t>
            </w:r>
          </w:p>
        </w:tc>
      </w:tr>
      <w:tr w14:paraId="02838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B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3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PBS磷酸盐缓冲液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7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6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9A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1.不含钙离子和镁离子，不含酚红；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无菌过滤，适用于解离前洗涤细胞；稀释细胞进行计数和制备试剂；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运输细胞或组织；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4. pH 7.4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瓶。</w:t>
            </w:r>
          </w:p>
        </w:tc>
      </w:tr>
      <w:tr w14:paraId="4B13D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F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1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DEPC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A3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2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A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1.500ml/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瓶。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 xml:space="preserve"> DEPC-treated Water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，是用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DEPC(diethypyrocarbonate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，焦碳酸二乙酯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处理过并经高温高压消毒的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Milli-Q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纯水；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DNase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RNase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proteinase</w:t>
            </w:r>
          </w:p>
        </w:tc>
      </w:tr>
      <w:tr w14:paraId="695A8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3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8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PBS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缓冲液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0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500mL/瓶，pH 7.4；1×，无菌</w:t>
            </w:r>
          </w:p>
        </w:tc>
      </w:tr>
      <w:tr w14:paraId="590FD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7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烧杯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0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C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3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1000mL/个；高度：154mm；外径：113mm</w:t>
            </w:r>
          </w:p>
        </w:tc>
      </w:tr>
      <w:tr w14:paraId="523C0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8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丝口蓝盖瓶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4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11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D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1000mL/瓶;无色</w:t>
            </w:r>
          </w:p>
        </w:tc>
      </w:tr>
      <w:tr w14:paraId="5DE64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3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8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三角烧瓶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6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250mL/瓶；直口；</w:t>
            </w:r>
          </w:p>
        </w:tc>
      </w:tr>
      <w:tr w14:paraId="5D6AA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三角烧瓶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6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3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5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500mL/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瓶；直口；</w:t>
            </w:r>
          </w:p>
        </w:tc>
      </w:tr>
      <w:tr w14:paraId="6CF81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三角烧瓶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0E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4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2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1000mL/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瓶；直口；</w:t>
            </w:r>
          </w:p>
        </w:tc>
      </w:tr>
      <w:tr w14:paraId="26A7A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皮筋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79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C6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5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对折8cm,，5mm宽，可用于搭配封口膜对三角摇瓶进行封口，可耐高温高压灭菌。</w:t>
            </w:r>
          </w:p>
        </w:tc>
      </w:tr>
      <w:tr w14:paraId="46ACB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7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3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刀切纸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11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包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8包/箱，3层，原生木浆</w:t>
            </w:r>
          </w:p>
        </w:tc>
      </w:tr>
      <w:tr w14:paraId="24154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0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E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一次性塑料镊子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B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D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A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一次性塑料镊子，医用无菌，防滑锯齿，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12cm/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支。</w:t>
            </w:r>
          </w:p>
        </w:tc>
      </w:tr>
      <w:tr w14:paraId="0B45B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1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2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牙签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0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包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每包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/100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支，竹签</w:t>
            </w:r>
          </w:p>
        </w:tc>
      </w:tr>
      <w:tr w14:paraId="675BD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E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D5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塑料移液管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3F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25mL/支，无菌，一次性纸塑密封，单只密封包装，高透，刻度清晰</w:t>
            </w:r>
          </w:p>
        </w:tc>
      </w:tr>
      <w:tr w14:paraId="65FF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B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塑料移液管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4A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E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50mL/支，无菌，一次性纸塑密封，单只密封包装，高透，刻度清晰</w:t>
            </w:r>
          </w:p>
        </w:tc>
      </w:tr>
      <w:tr w14:paraId="0E2F4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3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诺如病毒全基因组捕获试剂盒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64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人份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1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 适用于各种临床样本提取的核酸样本，可用于二代和三代测序平台，如Nanpore、华大MGI-2000测序平台。2.可用于捕获扩增新冠病毒所有型别。3.对诺如病毒全基因组富集测序，测序 reads 数占比≥95%；组装后的基因覆盖度≥99.9%</w:t>
            </w:r>
          </w:p>
        </w:tc>
      </w:tr>
      <w:tr w14:paraId="742BC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D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A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无核酸酶水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3F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2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1、无核酸酶、无蛋白酶、无DEPC；2、常温保存有效期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2年；3、50ml/瓶</w:t>
            </w:r>
          </w:p>
        </w:tc>
      </w:tr>
      <w:tr w14:paraId="6B22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2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3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高通量测序试剂套装（ FCL PE150）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7C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C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1.该套装可用于核酸的二代测序；2.适配在华大G99的测序平台上进行测序；3.套装内包含高通量快速测序试剂盒和快速测序载片；4、测序长度为PE150；5.包含下机后的清洗试剂盒。</w:t>
            </w:r>
          </w:p>
        </w:tc>
      </w:tr>
      <w:tr w14:paraId="1140E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D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E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明胶磷酸盐缓冲液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8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粉末，符合GB4789.12—2016，用于检测肉毒梭菌时样品稀释液</w:t>
            </w:r>
          </w:p>
        </w:tc>
      </w:tr>
      <w:tr w14:paraId="79069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2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庖肉培养基基础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粉末</w:t>
            </w:r>
          </w:p>
        </w:tc>
      </w:tr>
      <w:tr w14:paraId="58CD1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庖肉牛肉粒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与庖肉培养基基础配套使用</w:t>
            </w:r>
          </w:p>
        </w:tc>
      </w:tr>
      <w:tr w14:paraId="52891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5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F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84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35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与庖肉培养基基础配套使用</w:t>
            </w:r>
          </w:p>
        </w:tc>
      </w:tr>
      <w:tr w14:paraId="5A07C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A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胰蛋白酶胰蛋白胨葡萄糖酵母膏肉汤基础(TPGYT)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粉末，用于肉毒梭菌的增菌培养</w:t>
            </w:r>
          </w:p>
        </w:tc>
      </w:tr>
      <w:tr w14:paraId="6BDCD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2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3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胰蛋白酶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A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29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干粉；活力1:250</w:t>
            </w:r>
          </w:p>
        </w:tc>
      </w:tr>
      <w:tr w14:paraId="1BC4C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C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A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卵黄琼脂培养基基础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49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E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粉末，用于肉毒梭菌的分离培养</w:t>
            </w:r>
          </w:p>
        </w:tc>
      </w:tr>
      <w:tr w14:paraId="1C44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D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50%卵黄乳液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mL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6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与卵黄琼脂培养基配套使用；分批供货</w:t>
            </w:r>
          </w:p>
        </w:tc>
      </w:tr>
      <w:tr w14:paraId="22B19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8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4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A型肉毒毒素胶体金快速检测试剂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9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0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7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快速检测A型肉毒毒素</w:t>
            </w:r>
          </w:p>
        </w:tc>
      </w:tr>
      <w:tr w14:paraId="2353D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righ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D8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E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无菌针头式滤器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A1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96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9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0.45um</w:t>
            </w:r>
          </w:p>
        </w:tc>
      </w:tr>
    </w:tbl>
    <w:p w14:paraId="6959B78E">
      <w:pPr>
        <w:wordWrap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三、报价要求</w:t>
      </w:r>
    </w:p>
    <w:p w14:paraId="2692CB7C">
      <w:r>
        <w:rPr>
          <w:rFonts w:hint="eastAsia" w:ascii="仿宋" w:hAnsi="仿宋" w:eastAsia="仿宋" w:cs="仿宋"/>
          <w:bCs/>
          <w:sz w:val="24"/>
          <w:highlight w:val="none"/>
        </w:rPr>
        <w:t>本项目报总价，报价包含完成本项目所需的全部费用，成交后采购人不再增加任何费用。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53BDCE"/>
    <w:multiLevelType w:val="singleLevel"/>
    <w:tmpl w:val="0B53BD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12978"/>
    <w:rsid w:val="5AE1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8">
    <w:name w:val="font14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2025-10-29T02:59:00Z</dcterms:created>
  <dc:creator>14353</dc:creator>
  <cp:lastModifiedBy>14353</cp:lastModifiedBy>
  <dcterms:modified xsi:type="dcterms:W3CDTF">2025-10-29T03:01:03Z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8F4373FB97A24CDC97890B62122CA7F5_11</vt:lpwstr>
  </property>
  <property fmtid="{D5CDD505-2E9C-101B-9397-08002B2CF9AE}" pid="4" name="KSOTemplateDocerSaveRecord">
    <vt:lpwstr>eyJoZGlkIjoiN2YzNjBkOTgyNWQ1YTMxYzM3MzMwNWFiODNmOWIzYWMiLCJ1c2VySWQiOiIzMDY4OTk3NTIifQ==</vt:lpwstr>
  </property>
</Properties>
</file>