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1A8D7B">
      <w:pPr>
        <w:spacing w:line="360" w:lineRule="auto"/>
        <w:jc w:val="center"/>
        <w:outlineLvl w:val="1"/>
        <w:rPr>
          <w:rFonts w:hint="eastAsia" w:ascii="仿宋" w:hAnsi="仿宋" w:eastAsia="仿宋" w:cs="仿宋"/>
          <w:b/>
          <w:sz w:val="28"/>
        </w:rPr>
      </w:pPr>
      <w:bookmarkStart w:id="0" w:name="_Toc25969"/>
      <w:r>
        <w:rPr>
          <w:rFonts w:hint="eastAsia" w:ascii="仿宋" w:hAnsi="仿宋" w:eastAsia="仿宋" w:cs="仿宋"/>
          <w:b/>
          <w:sz w:val="28"/>
        </w:rPr>
        <w:t>第三章  采购需求</w:t>
      </w:r>
      <w:bookmarkEnd w:id="0"/>
    </w:p>
    <w:p w14:paraId="45D83767">
      <w:pPr>
        <w:spacing w:line="360" w:lineRule="auto"/>
        <w:jc w:val="left"/>
        <w:rPr>
          <w:rFonts w:hint="eastAsia" w:ascii="仿宋" w:hAnsi="仿宋" w:eastAsia="仿宋" w:cs="仿宋"/>
          <w:b/>
          <w:sz w:val="24"/>
          <w:szCs w:val="24"/>
        </w:rPr>
      </w:pPr>
      <w:r>
        <w:rPr>
          <w:rFonts w:hint="eastAsia" w:ascii="仿宋" w:hAnsi="仿宋" w:eastAsia="仿宋" w:cs="仿宋"/>
          <w:b/>
          <w:sz w:val="24"/>
          <w:szCs w:val="24"/>
        </w:rPr>
        <w:t>前注：</w:t>
      </w:r>
    </w:p>
    <w:p w14:paraId="08033565">
      <w:pPr>
        <w:spacing w:line="360" w:lineRule="auto"/>
        <w:ind w:firstLine="437"/>
        <w:jc w:val="left"/>
        <w:rPr>
          <w:rFonts w:hint="eastAsia" w:ascii="仿宋" w:hAnsi="仿宋" w:eastAsia="仿宋" w:cs="仿宋"/>
          <w:sz w:val="24"/>
          <w:szCs w:val="24"/>
        </w:rPr>
      </w:pPr>
      <w:r>
        <w:rPr>
          <w:rFonts w:hint="eastAsia" w:ascii="仿宋" w:hAnsi="仿宋" w:eastAsia="仿宋" w:cs="仿宋"/>
          <w:sz w:val="24"/>
          <w:szCs w:val="24"/>
        </w:rPr>
        <w:t>本说明中提出的服务方案仅为参考，如无明确限制，参选人可以进行优化，提供满足用户实际需要的更优（或者性能实质上不低于的）服务方案，且此方案须经评审小组评审认可。</w:t>
      </w:r>
    </w:p>
    <w:p w14:paraId="696E7A6E">
      <w:pPr>
        <w:spacing w:line="360" w:lineRule="auto"/>
        <w:ind w:firstLine="437"/>
        <w:rPr>
          <w:rFonts w:hint="eastAsia" w:ascii="仿宋" w:hAnsi="仿宋" w:eastAsia="仿宋" w:cs="仿宋"/>
          <w:sz w:val="24"/>
          <w:szCs w:val="24"/>
        </w:rPr>
      </w:pPr>
    </w:p>
    <w:p w14:paraId="0E1C6B70">
      <w:pPr>
        <w:spacing w:line="360" w:lineRule="auto"/>
        <w:ind w:firstLine="437"/>
        <w:jc w:val="left"/>
        <w:rPr>
          <w:rFonts w:hint="eastAsia" w:ascii="仿宋" w:hAnsi="仿宋" w:eastAsia="仿宋" w:cs="仿宋"/>
          <w:b/>
          <w:sz w:val="24"/>
          <w:szCs w:val="18"/>
        </w:rPr>
      </w:pPr>
      <w:r>
        <w:rPr>
          <w:rFonts w:hint="eastAsia" w:ascii="仿宋" w:hAnsi="仿宋" w:eastAsia="仿宋" w:cs="仿宋"/>
          <w:b/>
          <w:sz w:val="24"/>
          <w:szCs w:val="24"/>
        </w:rPr>
        <w:br w:type="page"/>
      </w:r>
      <w:r>
        <w:rPr>
          <w:rFonts w:hint="eastAsia" w:ascii="仿宋" w:hAnsi="仿宋" w:eastAsia="仿宋" w:cs="仿宋"/>
          <w:b/>
          <w:sz w:val="24"/>
          <w:szCs w:val="18"/>
        </w:rPr>
        <w:t>一、采购需求前附表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47DD1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7565DFB">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rPr>
            </w:pPr>
            <w:r>
              <w:rPr>
                <w:rFonts w:hint="eastAsia" w:ascii="仿宋" w:hAnsi="仿宋" w:eastAsia="仿宋" w:cs="仿宋"/>
                <w:b/>
                <w:kern w:val="2"/>
              </w:rPr>
              <w:t>序号</w:t>
            </w:r>
          </w:p>
        </w:tc>
        <w:tc>
          <w:tcPr>
            <w:tcW w:w="1880" w:type="dxa"/>
            <w:noWrap w:val="0"/>
            <w:vAlign w:val="center"/>
          </w:tcPr>
          <w:p w14:paraId="67615EFA">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内容</w:t>
            </w:r>
          </w:p>
        </w:tc>
        <w:tc>
          <w:tcPr>
            <w:tcW w:w="5611" w:type="dxa"/>
            <w:noWrap w:val="0"/>
            <w:vAlign w:val="center"/>
          </w:tcPr>
          <w:p w14:paraId="53F8ECF2">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说明与要求</w:t>
            </w:r>
          </w:p>
        </w:tc>
      </w:tr>
      <w:tr w14:paraId="3876C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noWrap w:val="0"/>
            <w:vAlign w:val="center"/>
          </w:tcPr>
          <w:p w14:paraId="57A6DCA7">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1</w:t>
            </w:r>
          </w:p>
        </w:tc>
        <w:tc>
          <w:tcPr>
            <w:tcW w:w="1880" w:type="dxa"/>
            <w:noWrap w:val="0"/>
            <w:vAlign w:val="center"/>
          </w:tcPr>
          <w:p w14:paraId="4DF83593">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付款方式</w:t>
            </w:r>
          </w:p>
        </w:tc>
        <w:tc>
          <w:tcPr>
            <w:tcW w:w="5611" w:type="dxa"/>
            <w:noWrap w:val="0"/>
            <w:vAlign w:val="center"/>
          </w:tcPr>
          <w:p w14:paraId="0FFA4271">
            <w:pPr>
              <w:pStyle w:val="8"/>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lang w:val="en-US" w:eastAsia="zh-CN"/>
              </w:rPr>
              <w:t>采购人确认成交人已交付服务内容且验收合格可正常使用后15个工作日内一次性支付全部服务费用。</w:t>
            </w:r>
            <w:r>
              <w:rPr>
                <w:rFonts w:hint="eastAsia" w:ascii="仿宋" w:hAnsi="仿宋" w:eastAsia="仿宋" w:cs="仿宋"/>
                <w:b/>
                <w:bCs w:val="0"/>
                <w:sz w:val="24"/>
                <w:lang w:val="en-US" w:eastAsia="zh-CN"/>
              </w:rPr>
              <w:t>采购人在支付相应款项前，需收到成交人开具的等额的增值税电子普通发票，税率为6％，发票内容为：信息系统服务*数据平台服务费。</w:t>
            </w:r>
          </w:p>
        </w:tc>
      </w:tr>
      <w:tr w14:paraId="0A45B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329C224">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2</w:t>
            </w:r>
          </w:p>
        </w:tc>
        <w:tc>
          <w:tcPr>
            <w:tcW w:w="1880" w:type="dxa"/>
            <w:noWrap w:val="0"/>
            <w:vAlign w:val="center"/>
          </w:tcPr>
          <w:p w14:paraId="22484581">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服务地点</w:t>
            </w:r>
          </w:p>
        </w:tc>
        <w:tc>
          <w:tcPr>
            <w:tcW w:w="5611" w:type="dxa"/>
            <w:noWrap w:val="0"/>
            <w:vAlign w:val="center"/>
          </w:tcPr>
          <w:p w14:paraId="676D3118">
            <w:pPr>
              <w:pStyle w:val="8"/>
              <w:widowControl w:val="0"/>
              <w:spacing w:before="0" w:beforeAutospacing="0" w:after="0" w:afterAutospacing="0" w:line="360" w:lineRule="auto"/>
              <w:jc w:val="both"/>
              <w:rPr>
                <w:rFonts w:hint="eastAsia" w:ascii="仿宋" w:hAnsi="仿宋" w:eastAsia="仿宋" w:cs="仿宋"/>
                <w:b w:val="0"/>
                <w:bCs/>
                <w:kern w:val="2"/>
                <w:sz w:val="24"/>
                <w:szCs w:val="20"/>
                <w:lang w:val="en-US" w:eastAsia="zh-CN" w:bidi="ar-SA"/>
              </w:rPr>
            </w:pPr>
            <w:r>
              <w:rPr>
                <w:rFonts w:hint="eastAsia" w:ascii="仿宋" w:hAnsi="仿宋" w:eastAsia="仿宋" w:cs="仿宋"/>
                <w:b w:val="0"/>
                <w:bCs/>
                <w:kern w:val="2"/>
                <w:sz w:val="24"/>
                <w:szCs w:val="20"/>
                <w:lang w:val="en-US" w:eastAsia="zh-CN" w:bidi="ar-SA"/>
              </w:rPr>
              <w:t>安徽医科大学或采购人指定地点</w:t>
            </w:r>
          </w:p>
        </w:tc>
      </w:tr>
      <w:tr w14:paraId="25296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407B8364">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3</w:t>
            </w:r>
          </w:p>
        </w:tc>
        <w:tc>
          <w:tcPr>
            <w:tcW w:w="1880" w:type="dxa"/>
            <w:noWrap w:val="0"/>
            <w:vAlign w:val="center"/>
          </w:tcPr>
          <w:p w14:paraId="4FD56C06">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服务期限</w:t>
            </w:r>
          </w:p>
        </w:tc>
        <w:tc>
          <w:tcPr>
            <w:tcW w:w="5611" w:type="dxa"/>
            <w:noWrap w:val="0"/>
            <w:vAlign w:val="center"/>
          </w:tcPr>
          <w:p w14:paraId="3F5C1120">
            <w:pPr>
              <w:pStyle w:val="2"/>
              <w:spacing w:line="360" w:lineRule="auto"/>
              <w:rPr>
                <w:rFonts w:hint="eastAsia" w:ascii="仿宋" w:hAnsi="仿宋" w:eastAsia="仿宋" w:cs="仿宋"/>
                <w:b w:val="0"/>
                <w:bCs/>
                <w:kern w:val="2"/>
                <w:sz w:val="24"/>
                <w:szCs w:val="20"/>
                <w:lang w:val="en-US" w:eastAsia="zh-CN" w:bidi="ar-SA"/>
              </w:rPr>
            </w:pPr>
            <w:r>
              <w:rPr>
                <w:rFonts w:hint="eastAsia" w:ascii="仿宋" w:hAnsi="仿宋" w:eastAsia="仿宋" w:cs="仿宋"/>
                <w:b w:val="0"/>
                <w:bCs/>
                <w:kern w:val="2"/>
                <w:sz w:val="24"/>
                <w:szCs w:val="20"/>
                <w:lang w:val="en-US" w:eastAsia="zh-CN" w:bidi="ar-SA"/>
              </w:rPr>
              <w:t>合同签订之日起1年</w:t>
            </w:r>
          </w:p>
        </w:tc>
      </w:tr>
      <w:tr w14:paraId="04168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3DA6047A">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lang w:val="en-US" w:eastAsia="zh-CN"/>
              </w:rPr>
            </w:pPr>
            <w:r>
              <w:rPr>
                <w:rFonts w:hint="eastAsia" w:ascii="仿宋" w:hAnsi="仿宋" w:eastAsia="仿宋" w:cs="仿宋"/>
                <w:bCs/>
                <w:kern w:val="2"/>
                <w:lang w:val="en-US" w:eastAsia="zh-CN"/>
              </w:rPr>
              <w:t>4</w:t>
            </w:r>
          </w:p>
        </w:tc>
        <w:tc>
          <w:tcPr>
            <w:tcW w:w="1880" w:type="dxa"/>
            <w:noWrap w:val="0"/>
            <w:vAlign w:val="center"/>
          </w:tcPr>
          <w:p w14:paraId="1020AFCB">
            <w:pPr>
              <w:pStyle w:val="8"/>
              <w:widowControl w:val="0"/>
              <w:spacing w:before="0" w:beforeAutospacing="0" w:after="0" w:afterAutospacing="0" w:line="360" w:lineRule="auto"/>
              <w:rPr>
                <w:rFonts w:hint="eastAsia" w:ascii="仿宋" w:hAnsi="仿宋" w:eastAsia="仿宋" w:cs="仿宋"/>
                <w:b w:val="0"/>
                <w:sz w:val="24"/>
                <w:lang w:val="en-US" w:eastAsia="zh-CN"/>
              </w:rPr>
            </w:pPr>
            <w:r>
              <w:rPr>
                <w:rFonts w:hint="eastAsia" w:ascii="仿宋" w:hAnsi="仿宋" w:eastAsia="仿宋" w:cs="仿宋"/>
                <w:b w:val="0"/>
                <w:sz w:val="24"/>
                <w:lang w:val="en-US" w:eastAsia="zh-CN"/>
              </w:rPr>
              <w:t>交付时间</w:t>
            </w:r>
          </w:p>
        </w:tc>
        <w:tc>
          <w:tcPr>
            <w:tcW w:w="5611" w:type="dxa"/>
            <w:noWrap w:val="0"/>
            <w:vAlign w:val="center"/>
          </w:tcPr>
          <w:p w14:paraId="724588E1">
            <w:pPr>
              <w:spacing w:line="360" w:lineRule="auto"/>
              <w:rPr>
                <w:rFonts w:hint="eastAsia" w:ascii="仿宋" w:hAnsi="仿宋" w:eastAsia="仿宋" w:cs="仿宋"/>
                <w:b w:val="0"/>
                <w:bCs/>
                <w:kern w:val="2"/>
                <w:sz w:val="24"/>
                <w:szCs w:val="20"/>
                <w:lang w:val="en-US" w:eastAsia="zh-CN" w:bidi="ar-SA"/>
              </w:rPr>
            </w:pPr>
            <w:r>
              <w:rPr>
                <w:rFonts w:hint="eastAsia" w:ascii="仿宋" w:hAnsi="仿宋" w:eastAsia="仿宋" w:cs="仿宋"/>
                <w:sz w:val="24"/>
                <w:szCs w:val="24"/>
                <w:lang w:val="en-US" w:eastAsia="zh-CN"/>
              </w:rPr>
              <w:t>签订合同后五个工作日内交付</w:t>
            </w:r>
          </w:p>
        </w:tc>
      </w:tr>
    </w:tbl>
    <w:p w14:paraId="4B5D8AB2">
      <w:pPr>
        <w:spacing w:line="360" w:lineRule="auto"/>
        <w:ind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二、项目概况</w:t>
      </w:r>
    </w:p>
    <w:p w14:paraId="7CE01161">
      <w:pPr>
        <w:numPr>
          <w:ilvl w:val="0"/>
          <w:numId w:val="0"/>
        </w:num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学科是现代大学的立学之本，是现代高等教育的重要基础。学科建设是高校建设与发展的龙头，是高校核心竞争力的建构主体，是实现人才培养、科学研究以及社会服务的载体。动态掌握学科建设成效和不足，可以起到适时调整建设方向和重点，优化资源分配策略的作用，为学科更好的补短板、找差距奠定基础，因此建设适合学校实际的学科监测分析系统是当前亟需解决的问题。</w:t>
      </w:r>
    </w:p>
    <w:p w14:paraId="72BD5172">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服务内容</w:t>
      </w:r>
    </w:p>
    <w:p w14:paraId="544B1043">
      <w:pPr>
        <w:spacing w:line="360" w:lineRule="auto"/>
        <w:ind w:firstLine="437"/>
        <w:rPr>
          <w:rFonts w:hint="eastAsia" w:ascii="仿宋" w:hAnsi="仿宋" w:eastAsia="仿宋" w:cs="仿宋"/>
          <w:b/>
          <w:bCs/>
          <w:sz w:val="24"/>
          <w:szCs w:val="24"/>
        </w:rPr>
      </w:pPr>
      <w:r>
        <w:rPr>
          <w:rFonts w:hint="eastAsia" w:ascii="仿宋" w:hAnsi="仿宋" w:eastAsia="仿宋" w:cs="仿宋"/>
          <w:b/>
          <w:bCs/>
          <w:sz w:val="24"/>
          <w:szCs w:val="24"/>
        </w:rPr>
        <w:t>服务范围：</w:t>
      </w:r>
    </w:p>
    <w:p w14:paraId="53AC6E55">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1. 数据监测、查询和分析服务：（1）学校发展层面：支持监测、查询全国高校师资队伍、人才培养、科学研究、学科建设、社会影响、省级指标、行业指标等数据。学校可自行选择核心指标，对本校各项发展关键数据进行同期对比；选择数据区间，分析本校各项指标发展趋势；（2）学科建设层面：基于教育部学科评估指标体系构建学科评价体系，能从学科评估、年度增量等方面，帮助本校实时监测学科实力，并科学选择对标学校学科，进行横向比较，为本校学科设置升档目标，建立不同的资源调整模拟方案。</w:t>
      </w:r>
    </w:p>
    <w:p w14:paraId="306447DA">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2. 交叉学科设置数据支持服务：学校可聚焦学科交叉融合，根据学校或学科，分析当前校内某学科作为支撑学科的交叉学科设置情况以及支撑学科实力，支持模拟本校当前学科和其他支撑学科实力情况，深入分析交叉学科设置特征与交叉关联，与其他高校进行对比，为本校科学设置交叉学科提供数据支持。</w:t>
      </w:r>
    </w:p>
    <w:p w14:paraId="063D59C9">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3. 高端人才资源分析和挖掘服务：学校可通过搜索人才姓名，获得人才历史成果明细，挖掘成果关联人才，精准挖掘高层次人才，全面识别某一成果背后的所有贡献者，深入解析顶尖人才的成就轨迹，掌握高端人才资源。</w:t>
      </w:r>
    </w:p>
    <w:p w14:paraId="0CA1F299">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4. 高教咨询和战略分析参考服务：整理提供各类国家级、省级和院校级政策文件，撰写行业专题报告和数据分析报告，并提供学科数据和动态情报实时监测，助力学校洞悉竞争对手的学科进展，为学校决策提供数据支持与参考。</w:t>
      </w:r>
    </w:p>
    <w:p w14:paraId="018FA857">
      <w:pPr>
        <w:spacing w:line="360" w:lineRule="auto"/>
        <w:ind w:firstLine="437"/>
        <w:rPr>
          <w:rFonts w:hint="eastAsia" w:ascii="仿宋" w:hAnsi="仿宋" w:eastAsia="仿宋" w:cs="仿宋"/>
          <w:b/>
          <w:bCs/>
          <w:sz w:val="24"/>
          <w:szCs w:val="24"/>
        </w:rPr>
      </w:pPr>
      <w:r>
        <w:rPr>
          <w:rFonts w:hint="eastAsia" w:ascii="仿宋" w:hAnsi="仿宋" w:eastAsia="仿宋" w:cs="仿宋"/>
          <w:b/>
          <w:bCs/>
          <w:sz w:val="24"/>
          <w:szCs w:val="24"/>
        </w:rPr>
        <w:t>服务要求：</w:t>
      </w:r>
    </w:p>
    <w:p w14:paraId="0BC1A2C6">
      <w:pPr>
        <w:spacing w:line="360" w:lineRule="auto"/>
        <w:ind w:firstLine="482" w:firstLineChars="200"/>
        <w:jc w:val="left"/>
        <w:rPr>
          <w:rFonts w:hint="eastAsia" w:ascii="仿宋" w:hAnsi="仿宋" w:eastAsia="仿宋" w:cs="仿宋"/>
          <w:b/>
          <w:bCs/>
          <w:sz w:val="24"/>
          <w:szCs w:val="24"/>
        </w:rPr>
      </w:pPr>
      <w:r>
        <w:rPr>
          <w:rFonts w:hint="eastAsia" w:ascii="仿宋" w:hAnsi="仿宋" w:eastAsia="仿宋" w:cs="仿宋"/>
          <w:b/>
          <w:bCs/>
          <w:sz w:val="24"/>
          <w:szCs w:val="24"/>
        </w:rPr>
        <w:t>（一）学校发展层面</w:t>
      </w:r>
    </w:p>
    <w:tbl>
      <w:tblPr>
        <w:tblStyle w:val="5"/>
        <w:tblW w:w="8655" w:type="dxa"/>
        <w:jc w:val="center"/>
        <w:tblLayout w:type="fixed"/>
        <w:tblCellMar>
          <w:top w:w="0" w:type="dxa"/>
          <w:left w:w="108" w:type="dxa"/>
          <w:bottom w:w="0" w:type="dxa"/>
          <w:right w:w="108" w:type="dxa"/>
        </w:tblCellMar>
      </w:tblPr>
      <w:tblGrid>
        <w:gridCol w:w="617"/>
        <w:gridCol w:w="2074"/>
        <w:gridCol w:w="5964"/>
      </w:tblGrid>
      <w:tr w14:paraId="251474ED">
        <w:tblPrEx>
          <w:tblCellMar>
            <w:top w:w="0" w:type="dxa"/>
            <w:left w:w="108" w:type="dxa"/>
            <w:bottom w:w="0" w:type="dxa"/>
            <w:right w:w="108" w:type="dxa"/>
          </w:tblCellMar>
        </w:tblPrEx>
        <w:trPr>
          <w:trHeight w:val="480" w:hRule="atLeast"/>
          <w:jc w:val="center"/>
        </w:trPr>
        <w:tc>
          <w:tcPr>
            <w:tcW w:w="617"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14:paraId="3BA78617">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序号</w:t>
            </w:r>
          </w:p>
        </w:tc>
        <w:tc>
          <w:tcPr>
            <w:tcW w:w="207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7BB8F5D3">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功能</w:t>
            </w:r>
          </w:p>
        </w:tc>
        <w:tc>
          <w:tcPr>
            <w:tcW w:w="596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5C76D7A6">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详细功能性要求</w:t>
            </w:r>
          </w:p>
        </w:tc>
      </w:tr>
      <w:tr w14:paraId="707DB9E5">
        <w:tblPrEx>
          <w:tblCellMar>
            <w:top w:w="0" w:type="dxa"/>
            <w:left w:w="108" w:type="dxa"/>
            <w:bottom w:w="0" w:type="dxa"/>
            <w:right w:w="108" w:type="dxa"/>
          </w:tblCellMar>
        </w:tblPrEx>
        <w:trPr>
          <w:trHeight w:val="372"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392793BD">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3E2A45F4">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一站式数据查询</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30FB4AB9">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需收录师资队伍、人才培养、科学研究、学科建设及社会影响等评价维度的800+项指标数据，且支持按单个指标、按高校查询数据，也支持指标组合查询，可满足不同场景下的数据查询需求</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数据采集最早可追踪至该指标数据出现时间</w:t>
            </w:r>
            <w:r>
              <w:rPr>
                <w:rFonts w:hint="eastAsia" w:ascii="仿宋" w:hAnsi="仿宋" w:eastAsia="仿宋" w:cs="仿宋"/>
                <w:kern w:val="0"/>
                <w:sz w:val="24"/>
                <w:szCs w:val="24"/>
              </w:rPr>
              <w:t>。接入DeepSeek等多类模型，进行开放式对话，用于解读统计数据等。</w:t>
            </w:r>
          </w:p>
        </w:tc>
      </w:tr>
      <w:tr w14:paraId="67AA7431">
        <w:tblPrEx>
          <w:tblCellMar>
            <w:top w:w="0" w:type="dxa"/>
            <w:left w:w="108" w:type="dxa"/>
            <w:bottom w:w="0" w:type="dxa"/>
            <w:right w:w="108" w:type="dxa"/>
          </w:tblCellMar>
        </w:tblPrEx>
        <w:trPr>
          <w:trHeight w:val="807"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16B162A9">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28653CA6">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五年规划与年度总结</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48679BDD">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支持聚焦我校发展规划各项核心指标在五年规划期间自身趋势变化分析和对标高校差距分析</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并且可查询指标在“十四五”的表现相比“十三五”期间的发展情况，本校指标五年内数量或位次的变化趋势，以及年度范围内高校各指标数据的变化与对比，帮助我校找到本年度发展的亮点与不足，与对标高校就某一年的发展进行全方位对比。</w:t>
            </w:r>
          </w:p>
        </w:tc>
      </w:tr>
      <w:tr w14:paraId="1D295B80">
        <w:tblPrEx>
          <w:tblCellMar>
            <w:top w:w="0" w:type="dxa"/>
            <w:left w:w="108" w:type="dxa"/>
            <w:bottom w:w="0" w:type="dxa"/>
            <w:right w:w="108" w:type="dxa"/>
          </w:tblCellMar>
        </w:tblPrEx>
        <w:trPr>
          <w:trHeight w:val="822"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012BD58E">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14A5C42B">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指标建设进展与省际分析</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303C4A74">
            <w:pPr>
              <w:widowControl/>
              <w:spacing w:line="360" w:lineRule="auto"/>
              <w:jc w:val="left"/>
              <w:rPr>
                <w:rFonts w:hint="eastAsia" w:ascii="仿宋" w:hAnsi="仿宋" w:eastAsia="仿宋" w:cs="仿宋"/>
                <w:position w:val="6"/>
                <w:sz w:val="24"/>
                <w:szCs w:val="24"/>
              </w:rPr>
            </w:pPr>
            <w:r>
              <w:rPr>
                <w:rFonts w:hint="eastAsia" w:ascii="仿宋" w:hAnsi="仿宋" w:eastAsia="仿宋" w:cs="仿宋"/>
                <w:kern w:val="0"/>
                <w:sz w:val="24"/>
                <w:szCs w:val="24"/>
              </w:rPr>
              <w:t>系统数据需动态更新，实时监测高校发展情况，可进行群体对比，如我校数据对比目标群体平均值、优劣势分析等，同时支持省际发展分析，宏观分析高校发展情况，多维反映高校建设成效。</w:t>
            </w:r>
          </w:p>
        </w:tc>
      </w:tr>
      <w:tr w14:paraId="4E445F14">
        <w:tblPrEx>
          <w:tblCellMar>
            <w:top w:w="0" w:type="dxa"/>
            <w:left w:w="108" w:type="dxa"/>
            <w:bottom w:w="0" w:type="dxa"/>
            <w:right w:w="108" w:type="dxa"/>
          </w:tblCellMar>
        </w:tblPrEx>
        <w:trPr>
          <w:trHeight w:val="421"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50AB1C9A">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4</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1CC98410">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学科专业的交叉与布局</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0CD94A23">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交叉学科设置情况分析，深入分析各高校交叉学科设置特征与交叉关联，为本校科学设置交叉学科提供数据支撑。可分析各高校学位点、本科专业布局和增撤情况。支持根据时间、高校等查看学位点布局情况、本科专业在各学科门类的调整情况。</w:t>
            </w:r>
          </w:p>
        </w:tc>
      </w:tr>
      <w:tr w14:paraId="65F1C9D7">
        <w:tblPrEx>
          <w:tblCellMar>
            <w:top w:w="0" w:type="dxa"/>
            <w:left w:w="108" w:type="dxa"/>
            <w:bottom w:w="0" w:type="dxa"/>
            <w:right w:w="108" w:type="dxa"/>
          </w:tblCellMar>
        </w:tblPrEx>
        <w:trPr>
          <w:trHeight w:val="510"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68FAC666">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5</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2B4A3815">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大学排名提升</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16FD43B2">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分析我校在各大排名榜单的表现，需包括全球大学排名洞察和学科上榜统计分析。全球大学排名洞察用于分析在各大国际榜单与国内榜单最新的排名表现情况，学科上榜统计分析用于分析在各大榜单上榜学科数量情况。</w:t>
            </w:r>
          </w:p>
        </w:tc>
      </w:tr>
      <w:tr w14:paraId="62690B20">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7CD97A43">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position w:val="6"/>
                <w:sz w:val="24"/>
                <w:szCs w:val="24"/>
              </w:rPr>
              <w:t>6</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1E93586E">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科研成果透视</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4D29CB96">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支持对比各高校项目、获奖等成果获得情况</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包括国家级科技奖励、省部级科技奖励、行业奖励等</w:t>
            </w:r>
            <w:r>
              <w:rPr>
                <w:rFonts w:hint="eastAsia" w:ascii="仿宋" w:hAnsi="仿宋" w:eastAsia="仿宋" w:cs="仿宋"/>
                <w:kern w:val="0"/>
                <w:sz w:val="24"/>
                <w:szCs w:val="24"/>
              </w:rPr>
              <w:t>。可使用该应用对比项目立项数量和趋势，分析获得奖励成果和动态。</w:t>
            </w:r>
          </w:p>
        </w:tc>
      </w:tr>
      <w:tr w14:paraId="6E5702EE">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04D30083">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7</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697B1953">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高层次人才发现</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39565CD6">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支持高层次人才检索，全面识别某一成果背后的所有贡献者，深入解析顶尖人才的成就轨迹，检索高端人才资源，搜索人才姓名，一键获得人才历史成果明细，挖掘成果关联人才。</w:t>
            </w:r>
          </w:p>
        </w:tc>
      </w:tr>
      <w:tr w14:paraId="15421FCC">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55120350">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8</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6F939FD2">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AI智能分析</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0F24180A">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需接入DeepSeek</w:t>
            </w:r>
            <w:r>
              <w:rPr>
                <w:rFonts w:hint="eastAsia" w:ascii="仿宋" w:hAnsi="仿宋" w:eastAsia="仿宋" w:cs="仿宋"/>
                <w:kern w:val="0"/>
                <w:sz w:val="24"/>
                <w:szCs w:val="24"/>
                <w:lang w:val="en-US" w:eastAsia="zh-CN"/>
              </w:rPr>
              <w:t>等大语言模型</w:t>
            </w:r>
            <w:r>
              <w:rPr>
                <w:rFonts w:hint="eastAsia" w:ascii="仿宋" w:hAnsi="仿宋" w:eastAsia="仿宋" w:cs="仿宋"/>
                <w:kern w:val="0"/>
                <w:sz w:val="24"/>
                <w:szCs w:val="24"/>
              </w:rPr>
              <w:t>，提供应用数据智能解读服务。每个应用页面的右上角均配备智能解读按钮，点击后可查看AI生成的详实的数据总结、亮点与不足、发展建议。</w:t>
            </w:r>
          </w:p>
          <w:p w14:paraId="22BE6C28">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智能生成报告，支持一键生成发展报告，包括年度发展报告、对标分析报告、“十四五”规划总结报告、目标达成分析报告等。支持反复生成文本内容一键生成并导出分析报告，需提供Word和PPT两种导出形式，方便对导出的文件进一步编辑。</w:t>
            </w:r>
          </w:p>
        </w:tc>
      </w:tr>
      <w:tr w14:paraId="06AC674A">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2C70D786">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9</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798A0965">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发展规划情报追踪</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16893D84">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该模块在指标更新和高教行业动态更新时，应自动生成并第一时间推送对应的情报，指标数据情报汇集更新数据，由DeepSeek</w:t>
            </w:r>
            <w:r>
              <w:rPr>
                <w:rFonts w:hint="eastAsia" w:ascii="仿宋" w:hAnsi="仿宋" w:eastAsia="仿宋" w:cs="仿宋"/>
                <w:kern w:val="0"/>
                <w:sz w:val="24"/>
                <w:szCs w:val="24"/>
                <w:lang w:val="en-US" w:eastAsia="zh-CN"/>
              </w:rPr>
              <w:t>等大语言模型</w:t>
            </w:r>
            <w:r>
              <w:rPr>
                <w:rFonts w:hint="eastAsia" w:ascii="仿宋" w:hAnsi="仿宋" w:eastAsia="仿宋" w:cs="仿宋"/>
                <w:kern w:val="0"/>
                <w:sz w:val="24"/>
                <w:szCs w:val="24"/>
              </w:rPr>
              <w:t>生成本校、对标及全国各高校最新数据的对比和分析；行业动态情报汇聚第一手高教资讯和专业团队提供的内容解读。</w:t>
            </w:r>
          </w:p>
        </w:tc>
      </w:tr>
      <w:tr w14:paraId="5BFCDFE9">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6784AF58">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10</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09D8D9A2">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决策规划参考文件</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6BB65EAF">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需持续收录与整理各类国家级、省级和院校级政策文件，为我校决策提供数据支持与参考；同时，需要有专业的数据团队提供内容支持，持续产出行业专题报告与深度洞察报告，快速获取重点资讯与高质量的数据深度分析，支持查看、下载。</w:t>
            </w:r>
          </w:p>
        </w:tc>
      </w:tr>
      <w:tr w14:paraId="66FA9C7E">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5C547E49">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11</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7FC3E4FD">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用户管理</w:t>
            </w:r>
          </w:p>
        </w:tc>
        <w:tc>
          <w:tcPr>
            <w:tcW w:w="5964" w:type="dxa"/>
            <w:tcBorders>
              <w:top w:val="single" w:color="auto" w:sz="4" w:space="0"/>
              <w:left w:val="single" w:color="auto" w:sz="4" w:space="0"/>
              <w:bottom w:val="single" w:color="auto" w:sz="4" w:space="0"/>
              <w:right w:val="single" w:color="auto" w:sz="4" w:space="0"/>
            </w:tcBorders>
            <w:noWrap w:val="0"/>
            <w:vAlign w:val="center"/>
          </w:tcPr>
          <w:p w14:paraId="6E73AF45">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提供账号数</w:t>
            </w:r>
            <w:r>
              <w:rPr>
                <w:rFonts w:hint="eastAsia" w:ascii="仿宋" w:hAnsi="仿宋" w:eastAsia="仿宋" w:cs="仿宋"/>
                <w:kern w:val="0"/>
                <w:sz w:val="24"/>
                <w:szCs w:val="24"/>
                <w:lang w:val="en-US" w:eastAsia="zh-CN"/>
              </w:rPr>
              <w:t>不少于20</w:t>
            </w:r>
            <w:r>
              <w:rPr>
                <w:rFonts w:hint="eastAsia" w:ascii="仿宋" w:hAnsi="仿宋" w:eastAsia="仿宋" w:cs="仿宋"/>
                <w:kern w:val="0"/>
                <w:sz w:val="24"/>
                <w:szCs w:val="24"/>
              </w:rPr>
              <w:t>个。</w:t>
            </w:r>
          </w:p>
        </w:tc>
      </w:tr>
    </w:tbl>
    <w:p w14:paraId="79708E10">
      <w:pPr>
        <w:spacing w:line="360" w:lineRule="auto"/>
        <w:ind w:firstLine="482" w:firstLineChars="200"/>
        <w:jc w:val="left"/>
        <w:rPr>
          <w:rFonts w:hint="eastAsia" w:ascii="仿宋" w:hAnsi="仿宋" w:eastAsia="仿宋" w:cs="仿宋"/>
          <w:b/>
          <w:bCs/>
          <w:sz w:val="24"/>
          <w:szCs w:val="24"/>
        </w:rPr>
      </w:pPr>
      <w:r>
        <w:rPr>
          <w:rFonts w:hint="eastAsia" w:ascii="仿宋" w:hAnsi="仿宋" w:eastAsia="仿宋" w:cs="仿宋"/>
          <w:b/>
          <w:bCs/>
          <w:sz w:val="24"/>
          <w:szCs w:val="24"/>
        </w:rPr>
        <w:t>（二）学科建设层面</w:t>
      </w:r>
    </w:p>
    <w:tbl>
      <w:tblPr>
        <w:tblStyle w:val="5"/>
        <w:tblW w:w="8655" w:type="dxa"/>
        <w:jc w:val="center"/>
        <w:tblLayout w:type="fixed"/>
        <w:tblCellMar>
          <w:top w:w="0" w:type="dxa"/>
          <w:left w:w="108" w:type="dxa"/>
          <w:bottom w:w="0" w:type="dxa"/>
          <w:right w:w="108" w:type="dxa"/>
        </w:tblCellMar>
      </w:tblPr>
      <w:tblGrid>
        <w:gridCol w:w="617"/>
        <w:gridCol w:w="1825"/>
        <w:gridCol w:w="6213"/>
      </w:tblGrid>
      <w:tr w14:paraId="5B95E72D">
        <w:tblPrEx>
          <w:tblCellMar>
            <w:top w:w="0" w:type="dxa"/>
            <w:left w:w="108" w:type="dxa"/>
            <w:bottom w:w="0" w:type="dxa"/>
            <w:right w:w="108" w:type="dxa"/>
          </w:tblCellMar>
        </w:tblPrEx>
        <w:trPr>
          <w:trHeight w:val="480" w:hRule="atLeast"/>
          <w:jc w:val="center"/>
        </w:trPr>
        <w:tc>
          <w:tcPr>
            <w:tcW w:w="617"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14:paraId="4E8B08CA">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序号</w:t>
            </w:r>
          </w:p>
        </w:tc>
        <w:tc>
          <w:tcPr>
            <w:tcW w:w="1825"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716AB654">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模块</w:t>
            </w:r>
          </w:p>
        </w:tc>
        <w:tc>
          <w:tcPr>
            <w:tcW w:w="621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244931F5">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详细功能性要求</w:t>
            </w:r>
          </w:p>
        </w:tc>
      </w:tr>
      <w:tr w14:paraId="7218B677">
        <w:tblPrEx>
          <w:tblCellMar>
            <w:top w:w="0" w:type="dxa"/>
            <w:left w:w="108" w:type="dxa"/>
            <w:bottom w:w="0" w:type="dxa"/>
            <w:right w:w="108" w:type="dxa"/>
          </w:tblCellMar>
        </w:tblPrEx>
        <w:trPr>
          <w:trHeight w:val="372"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4B365922">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11CD3F62">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学科评估备战</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7F2CCB59">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以第六轮学科评估区间（2021-至今）数据进行档次模拟，全方位分析我校第六轮学科评估区间的竞争实力以及与目标档次的差距。支持围绕学科评估指标体系了解自身发展趋势，评估与对标高校的最新实力差距。还需支持为我校学科设置升档目标，建立不同的资源调整模拟方案，助力我校学科提档升级。</w:t>
            </w:r>
          </w:p>
        </w:tc>
      </w:tr>
      <w:tr w14:paraId="055265F4">
        <w:tblPrEx>
          <w:tblCellMar>
            <w:top w:w="0" w:type="dxa"/>
            <w:left w:w="108" w:type="dxa"/>
            <w:bottom w:w="0" w:type="dxa"/>
            <w:right w:w="108" w:type="dxa"/>
          </w:tblCellMar>
        </w:tblPrEx>
        <w:trPr>
          <w:trHeight w:val="807"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6D9E573E">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6744EE7F">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学科实力监测</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41370612">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从学科指数监测、学科排名、全校学科监测三个方面分析，帮助我校实时监测学科实力。学科指数应由基于教育部学科评估指标体系构建的学科评价体系计算而成。可通过学科指数呈现我校所有学科的学科实力及其在全国高校中的位次与档次，方便查看我校各学科实力及变动趋势，并生成可视化图表，直观呈现我校各一级学科发展情况。</w:t>
            </w:r>
          </w:p>
        </w:tc>
      </w:tr>
      <w:tr w14:paraId="6B309126">
        <w:tblPrEx>
          <w:tblCellMar>
            <w:top w:w="0" w:type="dxa"/>
            <w:left w:w="108" w:type="dxa"/>
            <w:bottom w:w="0" w:type="dxa"/>
            <w:right w:w="108" w:type="dxa"/>
          </w:tblCellMar>
        </w:tblPrEx>
        <w:trPr>
          <w:trHeight w:val="822"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40CF5336">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29D55489">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一流学科冲刺与建设</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76F118E2">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该模块应包含两个部分，一是国家一流学科冲刺用于分析我校非国家一流学科距离国家一流学科的差距，识别本学科优势，发掘潜力对手，弥补本校差距。二是国家一流进展分析用于已经是国家一流的学科，分析其在建设周期内的建设和竞争情况，需提供实力定位、建设进展、单校对标、群体对标等功能。</w:t>
            </w:r>
          </w:p>
        </w:tc>
      </w:tr>
      <w:tr w14:paraId="7124DB4E">
        <w:tblPrEx>
          <w:tblCellMar>
            <w:top w:w="0" w:type="dxa"/>
            <w:left w:w="108" w:type="dxa"/>
            <w:bottom w:w="0" w:type="dxa"/>
            <w:right w:w="108" w:type="dxa"/>
          </w:tblCellMar>
        </w:tblPrEx>
        <w:trPr>
          <w:trHeight w:val="421"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05381055">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4</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5ABBAD77">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学科学位布局优化</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24F4ACC0">
            <w:pPr>
              <w:widowControl/>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将高校的学科实力与学位点数据结合分析，选择我校的对标高校，比较硕博点、一流学科发展情况和学科增撤情况，通过布局对比了解我校与其他高校的学位点布局差异，结合全国学位点调整明细数据及趋势分析，为我校学位点优化调整提供数据参考。</w:t>
            </w:r>
          </w:p>
        </w:tc>
      </w:tr>
      <w:tr w14:paraId="37F8F27E">
        <w:tblPrEx>
          <w:tblCellMar>
            <w:top w:w="0" w:type="dxa"/>
            <w:left w:w="108" w:type="dxa"/>
            <w:bottom w:w="0" w:type="dxa"/>
            <w:right w:w="108" w:type="dxa"/>
          </w:tblCellMar>
        </w:tblPrEx>
        <w:trPr>
          <w:trHeight w:val="64"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47D3AD6B">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5</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318FB33C">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自设交叉学科分析</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7AA90440">
            <w:pPr>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支持分析我校当前学科作为支撑学科的交叉学科设置情况以及支撑学科实力，还需支持模拟我校当前学科和其他支撑学科实力情况，与其他高校进行对比，帮助我校选择支撑学科，拟定交叉方向。</w:t>
            </w:r>
          </w:p>
        </w:tc>
      </w:tr>
      <w:tr w14:paraId="167E6D87">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16089B46">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position w:val="6"/>
                <w:sz w:val="24"/>
                <w:szCs w:val="24"/>
              </w:rPr>
              <w:t>6</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3199E029">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学科智能分析与智能报告</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6ECDC0D2">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需接入DeepSeek</w:t>
            </w:r>
            <w:r>
              <w:rPr>
                <w:rFonts w:hint="eastAsia" w:ascii="仿宋" w:hAnsi="仿宋" w:eastAsia="仿宋" w:cs="仿宋"/>
                <w:kern w:val="0"/>
                <w:sz w:val="24"/>
                <w:szCs w:val="24"/>
                <w:lang w:val="en-US" w:eastAsia="zh-CN"/>
              </w:rPr>
              <w:t>等人工智能大语言模型</w:t>
            </w:r>
            <w:r>
              <w:rPr>
                <w:rFonts w:hint="eastAsia" w:ascii="仿宋" w:hAnsi="仿宋" w:eastAsia="仿宋" w:cs="仿宋"/>
                <w:kern w:val="0"/>
                <w:sz w:val="24"/>
                <w:szCs w:val="24"/>
              </w:rPr>
              <w:t>，提供应用数据智能解读服务，每个应用页面的右上角要配备智能解读按钮。点击后大模型会结合页面数据，对我校发展情况做出全面、准确、详实的分析总结并提出相应的发展建议。</w:t>
            </w:r>
          </w:p>
          <w:p w14:paraId="75562C50">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需支持智能输出建设进展报告、评估升档报告、对标分析报告、目标分析报告等多类型报告。我校可自主选择报告主题、报告大纲，一键导出可编辑的PPT、Word版本。</w:t>
            </w:r>
          </w:p>
        </w:tc>
      </w:tr>
      <w:tr w14:paraId="33744A66">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065CCA2C">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7</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61BFCEEC">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学科数据总览与资源下载</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6B213B86">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需收录学科建设、社会影响、省级指标等相关的数据资源，覆盖各类核心学科数据。这些数据需来源于官方、支持追溯、定期更新，我校可根据需求查询。</w:t>
            </w:r>
          </w:p>
          <w:p w14:paraId="0DC391FF">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需有专业的数据团队提供内容支持，持续产出行业专题报告与深度洞察报告，帮助我校快速获取重点资讯与高质量的数据深度分析，支持随时查看、下载。</w:t>
            </w:r>
          </w:p>
        </w:tc>
      </w:tr>
      <w:tr w14:paraId="372EFC37">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6CE2E7B2">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8</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45BD3E76">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学科情报监测</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57C7C9D9">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支持监测学科重要指标数据的更新以及行业内的重要情报，我校用户可以选择通过邮箱订阅该情报，有重要情报出现后，第一时间在邮箱收到相关推送。</w:t>
            </w:r>
          </w:p>
        </w:tc>
      </w:tr>
      <w:tr w14:paraId="19493B68">
        <w:tblPrEx>
          <w:tblCellMar>
            <w:top w:w="0" w:type="dxa"/>
            <w:left w:w="108" w:type="dxa"/>
            <w:bottom w:w="0" w:type="dxa"/>
            <w:right w:w="108" w:type="dxa"/>
          </w:tblCellMar>
        </w:tblPrEx>
        <w:trPr>
          <w:trHeight w:val="285" w:hRule="atLeast"/>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14:paraId="372E0386">
            <w:pPr>
              <w:widowControl/>
              <w:spacing w:line="360" w:lineRule="auto"/>
              <w:jc w:val="center"/>
              <w:rPr>
                <w:rFonts w:hint="eastAsia" w:ascii="仿宋" w:hAnsi="仿宋" w:eastAsia="仿宋" w:cs="仿宋"/>
                <w:position w:val="6"/>
                <w:sz w:val="24"/>
                <w:szCs w:val="24"/>
              </w:rPr>
            </w:pPr>
            <w:r>
              <w:rPr>
                <w:rFonts w:hint="eastAsia" w:ascii="仿宋" w:hAnsi="仿宋" w:eastAsia="仿宋" w:cs="仿宋"/>
                <w:position w:val="6"/>
                <w:sz w:val="24"/>
                <w:szCs w:val="24"/>
              </w:rPr>
              <w:t>9</w:t>
            </w:r>
          </w:p>
        </w:tc>
        <w:tc>
          <w:tcPr>
            <w:tcW w:w="1825" w:type="dxa"/>
            <w:tcBorders>
              <w:top w:val="single" w:color="auto" w:sz="4" w:space="0"/>
              <w:left w:val="single" w:color="auto" w:sz="4" w:space="0"/>
              <w:bottom w:val="single" w:color="auto" w:sz="4" w:space="0"/>
              <w:right w:val="single" w:color="auto" w:sz="4" w:space="0"/>
            </w:tcBorders>
            <w:noWrap w:val="0"/>
            <w:vAlign w:val="center"/>
          </w:tcPr>
          <w:p w14:paraId="623F3C85">
            <w:pPr>
              <w:widowControl/>
              <w:spacing w:line="360" w:lineRule="auto"/>
              <w:jc w:val="center"/>
              <w:rPr>
                <w:rFonts w:hint="eastAsia" w:ascii="仿宋" w:hAnsi="仿宋" w:eastAsia="仿宋" w:cs="仿宋"/>
                <w:b/>
                <w:bCs/>
                <w:position w:val="6"/>
                <w:sz w:val="24"/>
                <w:szCs w:val="24"/>
              </w:rPr>
            </w:pPr>
            <w:r>
              <w:rPr>
                <w:rFonts w:hint="eastAsia" w:ascii="仿宋" w:hAnsi="仿宋" w:eastAsia="仿宋" w:cs="仿宋"/>
                <w:b/>
                <w:bCs/>
                <w:position w:val="6"/>
                <w:sz w:val="24"/>
                <w:szCs w:val="24"/>
              </w:rPr>
              <w:t>用户管理</w:t>
            </w:r>
          </w:p>
        </w:tc>
        <w:tc>
          <w:tcPr>
            <w:tcW w:w="6213" w:type="dxa"/>
            <w:tcBorders>
              <w:top w:val="single" w:color="auto" w:sz="4" w:space="0"/>
              <w:left w:val="single" w:color="auto" w:sz="4" w:space="0"/>
              <w:bottom w:val="single" w:color="auto" w:sz="4" w:space="0"/>
              <w:right w:val="single" w:color="auto" w:sz="4" w:space="0"/>
            </w:tcBorders>
            <w:noWrap w:val="0"/>
            <w:vAlign w:val="center"/>
          </w:tcPr>
          <w:p w14:paraId="6F622428">
            <w:pPr>
              <w:pStyle w:val="3"/>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提供我校9个一级学科分析服务，每个学科对标高校</w:t>
            </w:r>
            <w:r>
              <w:rPr>
                <w:rFonts w:hint="eastAsia" w:ascii="仿宋" w:hAnsi="仿宋" w:eastAsia="仿宋" w:cs="仿宋"/>
                <w:kern w:val="0"/>
                <w:sz w:val="24"/>
                <w:szCs w:val="24"/>
                <w:lang w:val="en-US" w:eastAsia="zh-CN"/>
              </w:rPr>
              <w:t>不少于5个</w:t>
            </w:r>
            <w:r>
              <w:rPr>
                <w:rFonts w:hint="eastAsia" w:ascii="仿宋" w:hAnsi="仿宋" w:eastAsia="仿宋" w:cs="仿宋"/>
                <w:kern w:val="0"/>
                <w:sz w:val="24"/>
                <w:szCs w:val="24"/>
              </w:rPr>
              <w:t>，每个学科账号数</w:t>
            </w:r>
            <w:r>
              <w:rPr>
                <w:rFonts w:hint="eastAsia" w:ascii="仿宋" w:hAnsi="仿宋" w:eastAsia="仿宋" w:cs="仿宋"/>
                <w:kern w:val="0"/>
                <w:sz w:val="24"/>
                <w:szCs w:val="24"/>
                <w:lang w:val="en-US" w:eastAsia="zh-CN"/>
              </w:rPr>
              <w:t>不少于</w:t>
            </w:r>
            <w:r>
              <w:rPr>
                <w:rFonts w:hint="eastAsia" w:ascii="仿宋" w:hAnsi="仿宋" w:eastAsia="仿宋" w:cs="仿宋"/>
                <w:kern w:val="0"/>
                <w:sz w:val="24"/>
                <w:szCs w:val="24"/>
              </w:rPr>
              <w:t>15个。</w:t>
            </w:r>
          </w:p>
        </w:tc>
      </w:tr>
    </w:tbl>
    <w:p w14:paraId="462D9D61">
      <w:pPr>
        <w:spacing w:line="360" w:lineRule="auto"/>
        <w:ind w:firstLine="437"/>
        <w:rPr>
          <w:rFonts w:hint="eastAsia" w:ascii="仿宋" w:hAnsi="仿宋" w:eastAsia="仿宋" w:cs="仿宋"/>
          <w:b/>
          <w:bCs/>
          <w:sz w:val="24"/>
          <w:szCs w:val="24"/>
        </w:rPr>
      </w:pPr>
      <w:r>
        <w:rPr>
          <w:rFonts w:hint="eastAsia" w:ascii="仿宋" w:hAnsi="仿宋" w:eastAsia="仿宋" w:cs="仿宋"/>
          <w:b/>
          <w:bCs/>
          <w:sz w:val="24"/>
          <w:szCs w:val="24"/>
        </w:rPr>
        <w:t>服务质量标准：</w:t>
      </w:r>
    </w:p>
    <w:p w14:paraId="6E9EAECC">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符合国家现行规范及行业要求，满足采购人要求。</w:t>
      </w:r>
    </w:p>
    <w:p w14:paraId="7EB22F2A">
      <w:pPr>
        <w:spacing w:line="360" w:lineRule="auto"/>
        <w:ind w:firstLine="437"/>
        <w:rPr>
          <w:rFonts w:hint="eastAsia" w:ascii="仿宋" w:hAnsi="仿宋" w:eastAsia="仿宋" w:cs="仿宋"/>
          <w:b/>
          <w:bCs/>
          <w:sz w:val="24"/>
          <w:szCs w:val="24"/>
        </w:rPr>
      </w:pPr>
      <w:r>
        <w:rPr>
          <w:rFonts w:hint="eastAsia" w:ascii="仿宋" w:hAnsi="仿宋" w:eastAsia="仿宋" w:cs="仿宋"/>
          <w:b/>
          <w:bCs/>
          <w:sz w:val="24"/>
          <w:szCs w:val="24"/>
        </w:rPr>
        <w:t>人员配备等相关信息：</w:t>
      </w:r>
    </w:p>
    <w:p w14:paraId="300F09B4">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售后培训人员服务配备：在服务期内根据采购人要求进行至少一次线上培训会议，以及日常系统功能、操作等答疑。</w:t>
      </w:r>
    </w:p>
    <w:p w14:paraId="2BE7D5EC">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售后服务人员服务配备：在服务有效期内，采购人可以第一时间免费使用最新的服务，系统免费升级维护，向采购人提供7×24小时的故障服务受理；对重大故障提供7×24小时的及时支援，一般故障提供5×8小时支援；故障服务的响应时间小于1小时；中断时间不能超过2小时。</w:t>
      </w:r>
    </w:p>
    <w:p w14:paraId="09EA0F28">
      <w:pPr>
        <w:spacing w:line="360" w:lineRule="auto"/>
        <w:ind w:firstLine="437"/>
        <w:rPr>
          <w:rFonts w:hint="eastAsia" w:ascii="仿宋" w:hAnsi="仿宋" w:eastAsia="仿宋" w:cs="仿宋"/>
          <w:b/>
          <w:bCs/>
          <w:sz w:val="24"/>
          <w:szCs w:val="24"/>
          <w:lang w:val="en-US" w:eastAsia="zh-CN"/>
        </w:rPr>
      </w:pPr>
      <w:r>
        <w:rPr>
          <w:rFonts w:hint="eastAsia" w:ascii="仿宋" w:hAnsi="仿宋" w:eastAsia="仿宋" w:cs="仿宋"/>
          <w:sz w:val="24"/>
          <w:szCs w:val="24"/>
        </w:rPr>
        <w:t>交付方式：线上交付</w:t>
      </w:r>
    </w:p>
    <w:p w14:paraId="47EA2830">
      <w:pPr>
        <w:numPr>
          <w:ilvl w:val="0"/>
          <w:numId w:val="0"/>
        </w:num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lang w:val="en-US" w:eastAsia="zh-CN"/>
        </w:rPr>
        <w:t>四、</w:t>
      </w:r>
      <w:r>
        <w:rPr>
          <w:rFonts w:hint="eastAsia" w:ascii="仿宋" w:hAnsi="仿宋" w:eastAsia="仿宋" w:cs="仿宋"/>
          <w:b/>
          <w:bCs/>
          <w:sz w:val="24"/>
          <w:szCs w:val="24"/>
        </w:rPr>
        <w:t>报价要求</w:t>
      </w:r>
    </w:p>
    <w:p w14:paraId="2F8F40FC">
      <w:r>
        <w:rPr>
          <w:rFonts w:hint="eastAsia" w:ascii="仿宋" w:hAnsi="仿宋" w:eastAsia="仿宋" w:cs="仿宋"/>
          <w:sz w:val="24"/>
          <w:szCs w:val="24"/>
        </w:rPr>
        <w:t>本项目报总价（含税），报价包含完成服务所需的一切费用，</w:t>
      </w:r>
      <w:r>
        <w:rPr>
          <w:rFonts w:hint="eastAsia" w:ascii="仿宋" w:hAnsi="仿宋" w:eastAsia="仿宋" w:cs="仿宋"/>
          <w:sz w:val="24"/>
          <w:szCs w:val="24"/>
          <w:lang w:val="en-US" w:eastAsia="zh-CN"/>
        </w:rPr>
        <w:t>参选人</w:t>
      </w:r>
      <w:r>
        <w:rPr>
          <w:rFonts w:hint="eastAsia" w:ascii="仿宋" w:hAnsi="仿宋" w:eastAsia="仿宋" w:cs="仿宋"/>
          <w:sz w:val="24"/>
          <w:szCs w:val="24"/>
        </w:rPr>
        <w:t>报价时应充分考虑成本。</w:t>
      </w:r>
      <w:r>
        <w:rPr>
          <w:rFonts w:hint="eastAsia" w:ascii="仿宋" w:hAnsi="仿宋" w:eastAsia="仿宋" w:cs="仿宋"/>
          <w:sz w:val="24"/>
          <w:szCs w:val="24"/>
          <w:lang w:val="en-US" w:eastAsia="zh-CN"/>
        </w:rPr>
        <w:t>中选结果</w:t>
      </w:r>
      <w:r>
        <w:rPr>
          <w:rFonts w:hint="eastAsia" w:ascii="仿宋" w:hAnsi="仿宋" w:eastAsia="仿宋" w:cs="仿宋"/>
          <w:sz w:val="24"/>
          <w:szCs w:val="24"/>
        </w:rPr>
        <w:t>确定后，中</w:t>
      </w:r>
      <w:r>
        <w:rPr>
          <w:rFonts w:hint="eastAsia" w:ascii="仿宋" w:hAnsi="仿宋" w:eastAsia="仿宋" w:cs="仿宋"/>
          <w:sz w:val="24"/>
          <w:szCs w:val="24"/>
          <w:lang w:val="en-US" w:eastAsia="zh-CN"/>
        </w:rPr>
        <w:t>选</w:t>
      </w:r>
      <w:r>
        <w:rPr>
          <w:rFonts w:hint="eastAsia" w:ascii="仿宋" w:hAnsi="仿宋" w:eastAsia="仿宋" w:cs="仿宋"/>
          <w:sz w:val="24"/>
          <w:szCs w:val="24"/>
        </w:rPr>
        <w:t>人不得以任何理由要求增补项目费用或拒绝履约服务，</w:t>
      </w:r>
      <w:r>
        <w:rPr>
          <w:rFonts w:hint="eastAsia" w:ascii="仿宋" w:hAnsi="仿宋" w:eastAsia="仿宋" w:cs="仿宋"/>
          <w:sz w:val="24"/>
          <w:szCs w:val="24"/>
          <w:lang w:val="en-US" w:eastAsia="zh-CN"/>
        </w:rPr>
        <w:t>比选人</w:t>
      </w:r>
      <w:r>
        <w:rPr>
          <w:rFonts w:hint="eastAsia" w:ascii="仿宋" w:hAnsi="仿宋" w:eastAsia="仿宋" w:cs="仿宋"/>
          <w:sz w:val="24"/>
          <w:szCs w:val="24"/>
        </w:rPr>
        <w:t>不接受任何追加费用的理由。</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D85842"/>
    <w:rsid w:val="5BD85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仿宋_GB2312" w:hAnsi="@仿宋_GB2312" w:eastAsia="宋体"/>
    </w:rPr>
  </w:style>
  <w:style w:type="paragraph" w:styleId="3">
    <w:name w:val="Plain Text"/>
    <w:basedOn w:val="1"/>
    <w:unhideWhenUsed/>
    <w:qFormat/>
    <w:uiPriority w:val="99"/>
    <w:rPr>
      <w:rFonts w:ascii="宋体" w:hAnsi="Courier New" w:eastAsia="宋体" w:cs="黑体"/>
      <w:szCs w:val="22"/>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2025-10-27T07:55:00Z</dcterms:created>
  <dc:creator>森</dc:creator>
  <cp:lastModifiedBy>森</cp:lastModifiedBy>
  <dcterms:modified xsi:type="dcterms:W3CDTF">2025-10-27T07:55:43Z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8DE019450A784186AE97F17BC10556F7_11</vt:lpwstr>
  </property>
  <property fmtid="{D5CDD505-2E9C-101B-9397-08002B2CF9AE}" pid="4" name="KSOTemplateDocerSaveRecord">
    <vt:lpwstr>eyJoZGlkIjoiOTc3M2Y5NzIzMDFlZjAyY2Q4Njk5ODkyYjFjNzBiNTQiLCJ1c2VySWQiOiI0MzAwMTYzNzkifQ==</vt:lpwstr>
  </property>
</Properties>
</file>