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EF0CF">
      <w:pPr>
        <w:wordWrap w:val="0"/>
        <w:spacing w:line="360" w:lineRule="auto"/>
        <w:jc w:val="center"/>
        <w:outlineLvl w:val="1"/>
        <w:rPr>
          <w:rFonts w:hint="eastAsia" w:ascii="华文中宋" w:hAnsi="华文中宋" w:eastAsia="华文中宋" w:cs="Times New Roman"/>
          <w:b/>
          <w:bCs/>
          <w:kern w:val="44"/>
          <w:sz w:val="44"/>
          <w:szCs w:val="44"/>
        </w:rPr>
      </w:pPr>
      <w:bookmarkStart w:id="0" w:name="_Toc1940"/>
      <w:r>
        <w:rPr>
          <w:rFonts w:hint="eastAsia" w:ascii="华文中宋" w:hAnsi="华文中宋" w:eastAsia="华文中宋" w:cs="Times New Roman"/>
          <w:b/>
          <w:bCs/>
          <w:kern w:val="44"/>
          <w:sz w:val="44"/>
          <w:szCs w:val="44"/>
        </w:rPr>
        <w:t>采购</w:t>
      </w:r>
      <w:bookmarkStart w:id="1" w:name="_GoBack"/>
      <w:bookmarkEnd w:id="1"/>
      <w:r>
        <w:rPr>
          <w:rFonts w:hint="eastAsia" w:ascii="华文中宋" w:hAnsi="华文中宋" w:eastAsia="华文中宋" w:cs="Times New Roman"/>
          <w:b/>
          <w:bCs/>
          <w:kern w:val="44"/>
          <w:sz w:val="44"/>
          <w:szCs w:val="44"/>
        </w:rPr>
        <w:t>需求</w:t>
      </w:r>
      <w:bookmarkEnd w:id="0"/>
    </w:p>
    <w:p w14:paraId="3AAFC620">
      <w:pPr>
        <w:wordWrap w:val="0"/>
        <w:spacing w:line="360" w:lineRule="auto"/>
        <w:rPr>
          <w:rFonts w:ascii="宋体" w:hAnsi="宋体" w:eastAsia="宋体"/>
          <w:b/>
          <w:sz w:val="24"/>
        </w:rPr>
      </w:pPr>
      <w:r>
        <w:rPr>
          <w:rFonts w:hint="eastAsia" w:ascii="宋体" w:hAnsi="宋体" w:eastAsia="宋体"/>
          <w:b/>
          <w:sz w:val="24"/>
        </w:rPr>
        <w:t>前注：</w:t>
      </w:r>
    </w:p>
    <w:p w14:paraId="1F09D180">
      <w:pPr>
        <w:wordWrap w:val="0"/>
        <w:spacing w:line="360" w:lineRule="auto"/>
        <w:ind w:firstLine="437"/>
        <w:rPr>
          <w:rFonts w:ascii="宋体" w:hAnsi="宋体" w:eastAsia="宋体"/>
          <w:sz w:val="24"/>
          <w:szCs w:val="18"/>
        </w:rPr>
      </w:pPr>
      <w:r>
        <w:rPr>
          <w:rFonts w:hint="eastAsia" w:ascii="宋体" w:hAnsi="宋体" w:eastAsia="宋体"/>
          <w:sz w:val="24"/>
        </w:rPr>
        <w:t>1.</w:t>
      </w:r>
      <w:r>
        <w:rPr>
          <w:rFonts w:ascii="宋体" w:hAnsi="宋体" w:eastAsia="宋体"/>
          <w:sz w:val="24"/>
        </w:rPr>
        <w:t>本说明中提出的技术方案</w:t>
      </w:r>
      <w:r>
        <w:rPr>
          <w:rFonts w:hint="eastAsia" w:ascii="宋体" w:hAnsi="宋体" w:eastAsia="宋体"/>
          <w:sz w:val="24"/>
        </w:rPr>
        <w:t>、品牌</w:t>
      </w:r>
      <w:r>
        <w:rPr>
          <w:rFonts w:ascii="宋体" w:hAnsi="宋体" w:eastAsia="宋体"/>
          <w:sz w:val="24"/>
        </w:rPr>
        <w:t>仅为参考，如无明确限制，供应商可以进行优化，提供满足用户实际需要的更优（或者性能实质上不低于的）</w:t>
      </w:r>
      <w:r>
        <w:rPr>
          <w:rFonts w:hint="eastAsia" w:ascii="宋体" w:hAnsi="宋体" w:eastAsia="宋体"/>
          <w:sz w:val="24"/>
        </w:rPr>
        <w:t>技术</w:t>
      </w:r>
      <w:r>
        <w:rPr>
          <w:rFonts w:ascii="宋体" w:hAnsi="宋体" w:eastAsia="宋体"/>
          <w:sz w:val="24"/>
        </w:rPr>
        <w:t>方案</w:t>
      </w:r>
      <w:r>
        <w:rPr>
          <w:rFonts w:hint="eastAsia" w:ascii="宋体" w:hAnsi="宋体" w:eastAsia="宋体"/>
          <w:sz w:val="24"/>
        </w:rPr>
        <w:t>、品牌</w:t>
      </w:r>
      <w:r>
        <w:rPr>
          <w:rFonts w:ascii="宋体" w:hAnsi="宋体" w:eastAsia="宋体"/>
          <w:sz w:val="24"/>
        </w:rPr>
        <w:t>，且此方案</w:t>
      </w:r>
      <w:r>
        <w:rPr>
          <w:rFonts w:hint="eastAsia" w:ascii="宋体" w:hAnsi="宋体" w:eastAsia="宋体"/>
          <w:sz w:val="24"/>
        </w:rPr>
        <w:t>、品牌</w:t>
      </w:r>
      <w:r>
        <w:rPr>
          <w:rFonts w:ascii="宋体" w:hAnsi="宋体" w:eastAsia="宋体"/>
          <w:sz w:val="24"/>
        </w:rPr>
        <w:t>须经</w:t>
      </w:r>
      <w:r>
        <w:rPr>
          <w:rFonts w:hint="eastAsia" w:ascii="宋体" w:hAnsi="宋体" w:eastAsia="宋体"/>
          <w:sz w:val="24"/>
        </w:rPr>
        <w:t>谈判</w:t>
      </w:r>
      <w:r>
        <w:rPr>
          <w:rFonts w:ascii="宋体" w:hAnsi="宋体" w:eastAsia="宋体"/>
          <w:sz w:val="24"/>
        </w:rPr>
        <w:t>小组评审认可</w:t>
      </w:r>
      <w:r>
        <w:rPr>
          <w:rFonts w:hint="eastAsia" w:ascii="宋体" w:hAnsi="宋体" w:eastAsia="宋体"/>
          <w:sz w:val="24"/>
        </w:rPr>
        <w:t>。</w:t>
      </w:r>
    </w:p>
    <w:p w14:paraId="5CA10ED0">
      <w:pPr>
        <w:wordWrap w:val="0"/>
        <w:spacing w:line="360" w:lineRule="auto"/>
        <w:ind w:firstLine="437"/>
        <w:outlineLvl w:val="2"/>
        <w:rPr>
          <w:rFonts w:hint="default" w:ascii="宋体" w:hAnsi="宋体" w:eastAsia="宋体"/>
          <w:b/>
          <w:sz w:val="28"/>
          <w:szCs w:val="28"/>
          <w:lang w:val="en-US" w:eastAsia="zh-CN"/>
        </w:rPr>
      </w:pPr>
      <w:r>
        <w:rPr>
          <w:rFonts w:hint="eastAsia" w:ascii="宋体" w:hAnsi="宋体" w:eastAsia="宋体"/>
          <w:b/>
          <w:sz w:val="28"/>
          <w:szCs w:val="28"/>
          <w:lang w:val="en-US" w:eastAsia="zh-CN"/>
        </w:rPr>
        <w:t>第1包：空间信息与测绘工程学院室内全彩显示屏系统采购</w:t>
      </w:r>
    </w:p>
    <w:p w14:paraId="14DABA6E">
      <w:pPr>
        <w:wordWrap w:val="0"/>
        <w:spacing w:line="360" w:lineRule="auto"/>
        <w:ind w:firstLine="437"/>
        <w:rPr>
          <w:rFonts w:ascii="宋体" w:hAnsi="宋体" w:eastAsia="宋体"/>
          <w:b/>
          <w:sz w:val="28"/>
          <w:szCs w:val="28"/>
        </w:rPr>
      </w:pPr>
      <w:r>
        <w:rPr>
          <w:rFonts w:hint="eastAsia" w:ascii="宋体" w:hAnsi="宋体" w:eastAsia="宋体"/>
          <w:b/>
          <w:sz w:val="28"/>
          <w:szCs w:val="28"/>
        </w:rPr>
        <w:t>一、采购需求前附表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2054"/>
        <w:gridCol w:w="5544"/>
      </w:tblGrid>
      <w:tr w14:paraId="55FAB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64077F60">
            <w:pPr>
              <w:pStyle w:val="6"/>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054" w:type="dxa"/>
            <w:noWrap w:val="0"/>
            <w:vAlign w:val="center"/>
          </w:tcPr>
          <w:p w14:paraId="7938EE36">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5544" w:type="dxa"/>
            <w:noWrap w:val="0"/>
            <w:vAlign w:val="center"/>
          </w:tcPr>
          <w:p w14:paraId="48A6C5AC">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2E9A2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1CFC7BD3">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054" w:type="dxa"/>
            <w:noWrap w:val="0"/>
            <w:vAlign w:val="center"/>
          </w:tcPr>
          <w:p w14:paraId="2CBB2017">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544" w:type="dxa"/>
            <w:noWrap w:val="0"/>
            <w:vAlign w:val="center"/>
          </w:tcPr>
          <w:p w14:paraId="5DAA3075">
            <w:pPr>
              <w:pStyle w:val="7"/>
              <w:widowControl w:val="0"/>
              <w:wordWrap w:val="0"/>
              <w:spacing w:before="0" w:beforeAutospacing="0" w:after="0" w:afterAutospacing="0" w:line="360" w:lineRule="auto"/>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验收合格后，2周内支付成交金额的100%。</w:t>
            </w:r>
          </w:p>
        </w:tc>
      </w:tr>
      <w:tr w14:paraId="1014C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13984AFD">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054" w:type="dxa"/>
            <w:noWrap w:val="0"/>
            <w:vAlign w:val="center"/>
          </w:tcPr>
          <w:p w14:paraId="51844E6D">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供货及安装地点</w:t>
            </w:r>
          </w:p>
        </w:tc>
        <w:tc>
          <w:tcPr>
            <w:tcW w:w="5544" w:type="dxa"/>
            <w:noWrap w:val="0"/>
            <w:vAlign w:val="center"/>
          </w:tcPr>
          <w:p w14:paraId="497C8FEC">
            <w:pPr>
              <w:pStyle w:val="7"/>
              <w:widowControl w:val="0"/>
              <w:wordWrap w:val="0"/>
              <w:spacing w:before="0" w:beforeAutospacing="0" w:after="0" w:afterAutospacing="0" w:line="360" w:lineRule="auto"/>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安徽理工大学或采购人指定地点</w:t>
            </w:r>
          </w:p>
        </w:tc>
      </w:tr>
      <w:tr w14:paraId="5CD21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7437CB3A">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054" w:type="dxa"/>
            <w:noWrap w:val="0"/>
            <w:vAlign w:val="center"/>
          </w:tcPr>
          <w:p w14:paraId="1E3A2406">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供货及安装期限</w:t>
            </w:r>
          </w:p>
        </w:tc>
        <w:tc>
          <w:tcPr>
            <w:tcW w:w="5544" w:type="dxa"/>
            <w:noWrap w:val="0"/>
            <w:vAlign w:val="center"/>
          </w:tcPr>
          <w:p w14:paraId="3F1E5F76">
            <w:pPr>
              <w:pStyle w:val="7"/>
              <w:widowControl w:val="0"/>
              <w:wordWrap w:val="0"/>
              <w:spacing w:before="0" w:beforeAutospacing="0" w:after="0" w:afterAutospacing="0" w:line="360" w:lineRule="auto"/>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接受到新生信息后，7个日历日内制作完成并完成供货，</w:t>
            </w:r>
            <w:r>
              <w:rPr>
                <w:rFonts w:hint="eastAsia" w:ascii="宋体" w:hAnsi="宋体" w:eastAsia="宋体" w:cs="宋体"/>
                <w:b/>
                <w:bCs/>
                <w:sz w:val="24"/>
                <w:szCs w:val="24"/>
                <w:lang w:val="en-US" w:eastAsia="zh-CN"/>
              </w:rPr>
              <w:t>采购需求中有特殊要求的，按要求执行。</w:t>
            </w:r>
          </w:p>
        </w:tc>
      </w:tr>
      <w:tr w14:paraId="076CA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3C028AAF">
            <w:pPr>
              <w:pStyle w:val="6"/>
              <w:pBdr>
                <w:bottom w:val="none" w:color="auto" w:sz="0" w:space="0"/>
              </w:pBdr>
              <w:tabs>
                <w:tab w:val="clear" w:pos="4153"/>
                <w:tab w:val="clear" w:pos="8306"/>
              </w:tabs>
              <w:adjustRightInd/>
              <w:spacing w:line="240" w:lineRule="auto"/>
              <w:textAlignment w:val="auto"/>
              <w:rPr>
                <w:rFonts w:hint="eastAsia" w:ascii="宋体" w:hAnsi="宋体" w:eastAsia="宋体"/>
                <w:bCs/>
                <w:kern w:val="2"/>
              </w:rPr>
            </w:pPr>
            <w:r>
              <w:rPr>
                <w:rFonts w:hint="eastAsia" w:ascii="宋体" w:hAnsi="宋体" w:eastAsia="宋体"/>
                <w:bCs/>
                <w:kern w:val="2"/>
              </w:rPr>
              <w:t>4</w:t>
            </w:r>
          </w:p>
        </w:tc>
        <w:tc>
          <w:tcPr>
            <w:tcW w:w="2054" w:type="dxa"/>
            <w:noWrap w:val="0"/>
            <w:vAlign w:val="center"/>
          </w:tcPr>
          <w:p w14:paraId="05CB550B">
            <w:pPr>
              <w:pStyle w:val="7"/>
              <w:widowControl w:val="0"/>
              <w:spacing w:before="0" w:beforeAutospacing="0" w:after="0" w:afterAutospacing="0" w:line="360" w:lineRule="auto"/>
              <w:rPr>
                <w:rFonts w:hint="eastAsia" w:ascii="宋体" w:hAnsi="宋体" w:eastAsia="宋体"/>
                <w:b w:val="0"/>
                <w:sz w:val="24"/>
              </w:rPr>
            </w:pPr>
            <w:r>
              <w:rPr>
                <w:rFonts w:hint="eastAsia" w:ascii="宋体" w:hAnsi="宋体" w:eastAsia="宋体"/>
                <w:b w:val="0"/>
                <w:sz w:val="24"/>
              </w:rPr>
              <w:t>免费质保期</w:t>
            </w:r>
          </w:p>
        </w:tc>
        <w:tc>
          <w:tcPr>
            <w:tcW w:w="5544" w:type="dxa"/>
            <w:noWrap w:val="0"/>
            <w:vAlign w:val="center"/>
          </w:tcPr>
          <w:p w14:paraId="2822516A">
            <w:pPr>
              <w:pStyle w:val="7"/>
              <w:widowControl w:val="0"/>
              <w:wordWrap w:val="0"/>
              <w:spacing w:before="0" w:beforeAutospacing="0" w:after="0" w:afterAutospacing="0" w:line="360" w:lineRule="auto"/>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验收合格后2年，所有货物终身维护，</w:t>
            </w:r>
            <w:r>
              <w:rPr>
                <w:rFonts w:hint="eastAsia" w:ascii="宋体" w:hAnsi="宋体" w:eastAsia="宋体" w:cs="宋体"/>
                <w:b/>
                <w:bCs/>
                <w:sz w:val="24"/>
                <w:szCs w:val="24"/>
                <w:lang w:val="en-US" w:eastAsia="zh-CN"/>
              </w:rPr>
              <w:t>货物需求表另有规定或投标人自行承诺的，以最优要求为准。</w:t>
            </w:r>
          </w:p>
        </w:tc>
      </w:tr>
    </w:tbl>
    <w:p w14:paraId="2B94845D">
      <w:pPr>
        <w:wordWrap w:val="0"/>
        <w:spacing w:line="360" w:lineRule="auto"/>
        <w:ind w:firstLine="437"/>
        <w:rPr>
          <w:rFonts w:hint="eastAsia" w:ascii="宋体" w:hAnsi="宋体" w:eastAsia="宋体"/>
          <w:b/>
          <w:sz w:val="28"/>
          <w:szCs w:val="28"/>
        </w:rPr>
      </w:pPr>
      <w:r>
        <w:rPr>
          <w:rFonts w:hint="eastAsia" w:ascii="宋体" w:hAnsi="宋体" w:eastAsia="宋体"/>
          <w:b/>
          <w:sz w:val="28"/>
          <w:szCs w:val="28"/>
        </w:rPr>
        <w:t>二、货物需求</w:t>
      </w:r>
    </w:p>
    <w:p w14:paraId="66E31C44">
      <w:pPr>
        <w:wordWrap w:val="0"/>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（一）货物需求说明</w:t>
      </w:r>
    </w:p>
    <w:tbl>
      <w:tblPr>
        <w:tblStyle w:val="4"/>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58"/>
        <w:gridCol w:w="5751"/>
      </w:tblGrid>
      <w:tr w14:paraId="27F60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12ED6A56">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标识重要性</w:t>
            </w:r>
          </w:p>
        </w:tc>
        <w:tc>
          <w:tcPr>
            <w:tcW w:w="1258" w:type="dxa"/>
            <w:noWrap w:val="0"/>
            <w:vAlign w:val="center"/>
          </w:tcPr>
          <w:p w14:paraId="4CC9BED0">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标识符号</w:t>
            </w:r>
          </w:p>
        </w:tc>
        <w:tc>
          <w:tcPr>
            <w:tcW w:w="5751" w:type="dxa"/>
            <w:noWrap w:val="0"/>
            <w:vAlign w:val="center"/>
          </w:tcPr>
          <w:p w14:paraId="6E452448">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代表意思</w:t>
            </w:r>
          </w:p>
        </w:tc>
      </w:tr>
      <w:tr w14:paraId="0F563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301BC185">
            <w:pPr>
              <w:spacing w:line="360" w:lineRule="exact"/>
              <w:jc w:val="center"/>
              <w:rPr>
                <w:rFonts w:ascii="Times New Roman" w:hAnsi="Times New Roman" w:eastAsia="宋体" w:cs="Times New Roman"/>
                <w:b/>
                <w:bCs/>
                <w:sz w:val="24"/>
              </w:rPr>
            </w:pPr>
            <w:r>
              <w:rPr>
                <w:rFonts w:hint="eastAsia" w:ascii="宋体" w:hAnsi="宋体" w:eastAsia="宋体" w:cs="宋体"/>
                <w:b/>
                <w:bCs/>
                <w:sz w:val="24"/>
              </w:rPr>
              <w:t>核心指标项</w:t>
            </w:r>
          </w:p>
        </w:tc>
        <w:tc>
          <w:tcPr>
            <w:tcW w:w="1258" w:type="dxa"/>
            <w:noWrap w:val="0"/>
            <w:vAlign w:val="center"/>
          </w:tcPr>
          <w:p w14:paraId="25438EE4">
            <w:pPr>
              <w:spacing w:line="360" w:lineRule="exact"/>
              <w:jc w:val="center"/>
              <w:rPr>
                <w:rFonts w:ascii="Times New Roman" w:hAnsi="Times New Roman" w:eastAsia="宋体" w:cs="Times New Roman"/>
                <w:b/>
                <w:bCs/>
                <w:sz w:val="28"/>
                <w:szCs w:val="28"/>
              </w:rPr>
            </w:pPr>
            <w:r>
              <w:rPr>
                <w:rFonts w:hint="eastAsia" w:ascii="宋体" w:hAnsi="宋体" w:eastAsia="宋体" w:cs="宋体"/>
                <w:b/>
                <w:bCs/>
                <w:sz w:val="24"/>
              </w:rPr>
              <w:t>★</w:t>
            </w:r>
          </w:p>
        </w:tc>
        <w:tc>
          <w:tcPr>
            <w:tcW w:w="5751" w:type="dxa"/>
            <w:noWrap w:val="0"/>
            <w:vAlign w:val="center"/>
          </w:tcPr>
          <w:p w14:paraId="32F94FE7">
            <w:pPr>
              <w:pStyle w:val="7"/>
              <w:widowControl w:val="0"/>
              <w:spacing w:before="0" w:beforeAutospacing="0" w:after="0" w:afterAutospacing="0" w:line="360" w:lineRule="auto"/>
              <w:jc w:val="both"/>
              <w:rPr>
                <w:rFonts w:ascii="Times New Roman" w:hAnsi="Times New Roman" w:eastAsia="宋体" w:cs="Times New Roman"/>
                <w:sz w:val="24"/>
                <w:szCs w:val="22"/>
              </w:rPr>
            </w:pPr>
            <w:r>
              <w:rPr>
                <w:rFonts w:hint="eastAsia" w:ascii="Times New Roman" w:hAnsi="Times New Roman" w:eastAsia="宋体" w:cs="Times New Roman"/>
                <w:sz w:val="24"/>
                <w:szCs w:val="22"/>
              </w:rPr>
              <w:t>作为实质性要求，负偏离（或未响应），将导致响应无效。</w:t>
            </w:r>
          </w:p>
        </w:tc>
      </w:tr>
      <w:tr w14:paraId="1FA1C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2BFE138A">
            <w:pPr>
              <w:spacing w:line="360" w:lineRule="exact"/>
              <w:jc w:val="center"/>
              <w:rPr>
                <w:rFonts w:hint="eastAsia" w:ascii="宋体" w:hAnsi="宋体" w:eastAsia="宋体" w:cs="宋体"/>
                <w:b/>
                <w:bCs/>
                <w:sz w:val="24"/>
                <w:szCs w:val="24"/>
              </w:rPr>
            </w:pPr>
            <w:r>
              <w:rPr>
                <w:rFonts w:hint="eastAsia" w:ascii="宋体" w:hAnsi="宋体" w:eastAsia="宋体" w:cs="宋体"/>
                <w:b/>
                <w:bCs/>
                <w:sz w:val="24"/>
              </w:rPr>
              <w:t>一般技术指标（无标识项）</w:t>
            </w:r>
          </w:p>
        </w:tc>
        <w:tc>
          <w:tcPr>
            <w:tcW w:w="1258" w:type="dxa"/>
            <w:noWrap w:val="0"/>
            <w:vAlign w:val="center"/>
          </w:tcPr>
          <w:p w14:paraId="260653EC">
            <w:pPr>
              <w:spacing w:line="360" w:lineRule="exact"/>
              <w:jc w:val="center"/>
              <w:rPr>
                <w:rFonts w:hint="eastAsia" w:ascii="宋体" w:hAnsi="宋体" w:eastAsia="宋体" w:cs="宋体"/>
                <w:b/>
                <w:bCs/>
                <w:sz w:val="24"/>
                <w:szCs w:val="24"/>
              </w:rPr>
            </w:pPr>
            <w:r>
              <w:rPr>
                <w:rFonts w:hint="eastAsia" w:ascii="宋体" w:hAnsi="宋体" w:eastAsia="宋体" w:cs="宋体"/>
                <w:b/>
                <w:bCs/>
                <w:sz w:val="24"/>
              </w:rPr>
              <w:t>无</w:t>
            </w:r>
          </w:p>
        </w:tc>
        <w:tc>
          <w:tcPr>
            <w:tcW w:w="5751" w:type="dxa"/>
            <w:noWrap w:val="0"/>
            <w:vAlign w:val="center"/>
          </w:tcPr>
          <w:p w14:paraId="1C3CD4CC">
            <w:pPr>
              <w:spacing w:line="360" w:lineRule="auto"/>
              <w:jc w:val="left"/>
              <w:rPr>
                <w:rFonts w:hint="eastAsia" w:ascii="宋体" w:hAnsi="宋体" w:eastAsia="宋体" w:cs="宋体"/>
                <w:sz w:val="24"/>
                <w:szCs w:val="18"/>
              </w:rPr>
            </w:pPr>
            <w:r>
              <w:rPr>
                <w:rFonts w:ascii="宋体" w:hAnsi="宋体" w:eastAsia="宋体" w:cs="宋体"/>
                <w:b/>
                <w:kern w:val="0"/>
                <w:sz w:val="24"/>
                <w:szCs w:val="24"/>
              </w:rPr>
              <w:t>作为基础指标，</w:t>
            </w:r>
            <w:r>
              <w:rPr>
                <w:rFonts w:hint="eastAsia" w:ascii="宋体" w:hAnsi="宋体" w:eastAsia="宋体" w:cs="宋体"/>
                <w:b/>
                <w:kern w:val="0"/>
                <w:sz w:val="24"/>
                <w:szCs w:val="24"/>
              </w:rPr>
              <w:t>最大偏离数量为</w:t>
            </w:r>
            <w:r>
              <w:rPr>
                <w:rFonts w:hint="eastAsia" w:ascii="宋体" w:hAnsi="宋体" w:eastAsia="宋体" w:cs="宋体"/>
                <w:b/>
                <w:kern w:val="0"/>
                <w:sz w:val="24"/>
                <w:szCs w:val="24"/>
                <w:lang w:val="en-US" w:eastAsia="zh-CN"/>
              </w:rPr>
              <w:t>3</w:t>
            </w:r>
            <w:r>
              <w:rPr>
                <w:rFonts w:hint="eastAsia" w:ascii="宋体" w:hAnsi="宋体" w:eastAsia="宋体" w:cs="宋体"/>
                <w:b/>
                <w:kern w:val="0"/>
                <w:sz w:val="24"/>
                <w:szCs w:val="24"/>
              </w:rPr>
              <w:t>项，超过</w:t>
            </w:r>
            <w:r>
              <w:rPr>
                <w:rFonts w:hint="eastAsia" w:ascii="宋体" w:hAnsi="宋体" w:eastAsia="宋体" w:cs="宋体"/>
                <w:b/>
                <w:kern w:val="0"/>
                <w:sz w:val="24"/>
                <w:szCs w:val="24"/>
                <w:lang w:val="en-US" w:eastAsia="zh-CN"/>
              </w:rPr>
              <w:t>3</w:t>
            </w:r>
            <w:r>
              <w:rPr>
                <w:rFonts w:hint="eastAsia" w:ascii="宋体" w:hAnsi="宋体" w:eastAsia="宋体" w:cs="宋体"/>
                <w:b/>
                <w:kern w:val="0"/>
                <w:sz w:val="24"/>
                <w:szCs w:val="24"/>
              </w:rPr>
              <w:t>项（不含</w:t>
            </w:r>
            <w:r>
              <w:rPr>
                <w:rFonts w:hint="eastAsia" w:ascii="宋体" w:hAnsi="宋体" w:eastAsia="宋体" w:cs="宋体"/>
                <w:b/>
                <w:kern w:val="0"/>
                <w:sz w:val="24"/>
                <w:szCs w:val="24"/>
                <w:lang w:val="en-US" w:eastAsia="zh-CN"/>
              </w:rPr>
              <w:t>3</w:t>
            </w:r>
            <w:r>
              <w:rPr>
                <w:rFonts w:hint="eastAsia" w:ascii="宋体" w:hAnsi="宋体" w:eastAsia="宋体" w:cs="宋体"/>
                <w:b/>
                <w:kern w:val="0"/>
                <w:sz w:val="24"/>
                <w:szCs w:val="24"/>
              </w:rPr>
              <w:t>项）以上</w:t>
            </w:r>
            <w:r>
              <w:rPr>
                <w:rFonts w:hint="eastAsia" w:ascii="Times New Roman" w:hAnsi="Times New Roman" w:eastAsia="宋体" w:cs="Times New Roman"/>
                <w:b/>
                <w:sz w:val="24"/>
                <w:szCs w:val="22"/>
              </w:rPr>
              <w:t>负偏离（或未响应），将导致响应无效。</w:t>
            </w:r>
          </w:p>
        </w:tc>
      </w:tr>
      <w:tr w14:paraId="455DA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80" w:type="dxa"/>
            <w:gridSpan w:val="3"/>
            <w:noWrap w:val="0"/>
            <w:vAlign w:val="center"/>
          </w:tcPr>
          <w:p w14:paraId="79F96166">
            <w:pPr>
              <w:spacing w:line="360" w:lineRule="auto"/>
              <w:rPr>
                <w:rFonts w:hint="eastAsia" w:ascii="宋体" w:hAnsi="宋体" w:eastAsia="宋体" w:cs="宋体"/>
                <w:b/>
                <w:sz w:val="24"/>
              </w:rPr>
            </w:pPr>
            <w:r>
              <w:rPr>
                <w:rFonts w:hint="eastAsia" w:ascii="宋体" w:hAnsi="宋体" w:eastAsia="宋体" w:cs="宋体"/>
                <w:b/>
                <w:kern w:val="0"/>
                <w:sz w:val="24"/>
                <w:szCs w:val="24"/>
              </w:rPr>
              <w:t>注：</w:t>
            </w:r>
          </w:p>
          <w:p w14:paraId="071CE367">
            <w:pPr>
              <w:spacing w:line="360" w:lineRule="auto"/>
              <w:jc w:val="left"/>
              <w:rPr>
                <w:rFonts w:hint="eastAsia" w:ascii="宋体" w:hAnsi="宋体" w:eastAsia="宋体" w:cs="宋体"/>
                <w:b/>
                <w:bCs/>
                <w:color w:val="FF0000"/>
                <w:sz w:val="24"/>
                <w:szCs w:val="24"/>
              </w:rPr>
            </w:pPr>
            <w:r>
              <w:rPr>
                <w:rFonts w:hint="eastAsia" w:ascii="宋体" w:hAnsi="宋体" w:eastAsia="宋体" w:cs="宋体"/>
                <w:b/>
                <w:bCs/>
                <w:color w:val="FF0000"/>
                <w:sz w:val="24"/>
                <w:szCs w:val="24"/>
              </w:rPr>
              <w:t>（1）针对下表中标注★的指标项须</w:t>
            </w:r>
            <w:r>
              <w:rPr>
                <w:rFonts w:hint="eastAsia" w:ascii="宋体" w:hAnsi="宋体" w:eastAsia="宋体" w:cs="宋体"/>
                <w:b/>
                <w:bCs/>
                <w:color w:val="FF0000"/>
                <w:sz w:val="24"/>
                <w:szCs w:val="24"/>
                <w:lang w:val="en-US" w:eastAsia="zh-CN"/>
              </w:rPr>
              <w:t>按下列要求</w:t>
            </w:r>
            <w:r>
              <w:rPr>
                <w:rFonts w:hint="eastAsia" w:ascii="宋体" w:hAnsi="宋体" w:eastAsia="宋体" w:cs="宋体"/>
                <w:b/>
                <w:bCs/>
                <w:color w:val="FF0000"/>
                <w:sz w:val="24"/>
                <w:szCs w:val="24"/>
              </w:rPr>
              <w:t>在响应文件中提供证明材料予以佐证。</w:t>
            </w:r>
          </w:p>
          <w:p w14:paraId="59E21EF9">
            <w:pPr>
              <w:spacing w:line="360" w:lineRule="auto"/>
              <w:jc w:val="left"/>
              <w:rPr>
                <w:rFonts w:hint="eastAsia" w:ascii="宋体" w:hAnsi="宋体" w:eastAsia="宋体" w:cs="宋体"/>
                <w:b/>
                <w:sz w:val="24"/>
                <w:szCs w:val="24"/>
                <w:lang w:val="zh-CN"/>
              </w:rPr>
            </w:pPr>
            <w:r>
              <w:rPr>
                <w:rFonts w:hint="eastAsia" w:ascii="宋体" w:hAnsi="宋体" w:eastAsia="宋体" w:cs="宋体"/>
                <w:b/>
                <w:sz w:val="24"/>
                <w:szCs w:val="24"/>
              </w:rPr>
              <w:t>1.采购需求中</w:t>
            </w:r>
            <w:r>
              <w:rPr>
                <w:rFonts w:hint="eastAsia" w:ascii="宋体" w:hAnsi="宋体" w:eastAsia="宋体" w:cs="宋体"/>
                <w:b/>
                <w:sz w:val="24"/>
                <w:szCs w:val="24"/>
                <w:lang w:val="zh-CN"/>
              </w:rPr>
              <w:t>明确要求提供</w:t>
            </w:r>
            <w:r>
              <w:rPr>
                <w:rFonts w:hint="eastAsia" w:ascii="宋体" w:hAnsi="宋体" w:eastAsia="宋体" w:cs="宋体"/>
                <w:b/>
                <w:sz w:val="24"/>
                <w:szCs w:val="24"/>
              </w:rPr>
              <w:t>相关</w:t>
            </w:r>
            <w:r>
              <w:rPr>
                <w:rFonts w:hint="eastAsia" w:ascii="宋体" w:hAnsi="宋体" w:eastAsia="宋体" w:cs="宋体"/>
                <w:b/>
                <w:sz w:val="24"/>
                <w:szCs w:val="24"/>
                <w:lang w:val="zh-CN"/>
              </w:rPr>
              <w:t>材料</w:t>
            </w:r>
            <w:r>
              <w:rPr>
                <w:rFonts w:hint="eastAsia" w:ascii="宋体" w:hAnsi="宋体" w:eastAsia="宋体" w:cs="宋体"/>
                <w:b/>
                <w:sz w:val="24"/>
                <w:szCs w:val="24"/>
              </w:rPr>
              <w:t>的</w:t>
            </w:r>
            <w:r>
              <w:rPr>
                <w:rFonts w:hint="eastAsia" w:ascii="宋体" w:hAnsi="宋体" w:eastAsia="宋体" w:cs="宋体"/>
                <w:b/>
                <w:sz w:val="24"/>
                <w:szCs w:val="24"/>
                <w:lang w:val="zh-CN"/>
              </w:rPr>
              <w:t>按采购需求要求提供</w:t>
            </w:r>
            <w:r>
              <w:rPr>
                <w:rFonts w:hint="eastAsia" w:ascii="宋体" w:hAnsi="宋体" w:eastAsia="宋体" w:cs="宋体"/>
                <w:b/>
                <w:sz w:val="24"/>
                <w:szCs w:val="24"/>
              </w:rPr>
              <w:t>对应证明材料</w:t>
            </w:r>
            <w:r>
              <w:rPr>
                <w:rFonts w:hint="eastAsia" w:ascii="宋体" w:hAnsi="宋体" w:eastAsia="宋体" w:cs="宋体"/>
                <w:b/>
                <w:sz w:val="24"/>
                <w:szCs w:val="24"/>
                <w:lang w:val="zh-CN"/>
              </w:rPr>
              <w:t>；</w:t>
            </w:r>
          </w:p>
          <w:p w14:paraId="1E6A84AA">
            <w:pPr>
              <w:spacing w:line="360" w:lineRule="auto"/>
              <w:rPr>
                <w:rFonts w:hint="eastAsia" w:ascii="宋体" w:hAnsi="宋体" w:eastAsia="宋体" w:cs="宋体"/>
                <w:b/>
                <w:bCs/>
                <w:sz w:val="24"/>
                <w:szCs w:val="24"/>
              </w:rPr>
            </w:pPr>
            <w:r>
              <w:rPr>
                <w:rFonts w:hint="eastAsia" w:ascii="宋体" w:hAnsi="宋体" w:eastAsia="宋体" w:cs="宋体"/>
                <w:b/>
                <w:sz w:val="24"/>
                <w:szCs w:val="24"/>
              </w:rPr>
              <w:t>2.采购需求中未明确要求提供证明料的，供应商须自行提供</w:t>
            </w:r>
            <w:r>
              <w:rPr>
                <w:rFonts w:hint="eastAsia" w:ascii="宋体" w:hAnsi="宋体" w:eastAsia="宋体" w:cs="宋体"/>
                <w:b/>
                <w:bCs/>
                <w:sz w:val="24"/>
                <w:szCs w:val="24"/>
              </w:rPr>
              <w:t>证明材料，包括产品技术白皮书、产品技术说明书、产品彩页（产品功能截图）、厂家（制造商）官网截图、第三方机构出具的带有CMA标识的检测报告，提供其中之一即可。未按以上要求提供证明材料的视为负偏离或未响应（为便于评审，建议供应商对证明材料中的关键参数进行标注）。</w:t>
            </w:r>
          </w:p>
          <w:p w14:paraId="3F3AA1D7">
            <w:pPr>
              <w:spacing w:line="360" w:lineRule="auto"/>
              <w:jc w:val="left"/>
              <w:rPr>
                <w:rFonts w:ascii="Times New Roman" w:hAnsi="Times New Roman" w:eastAsia="宋体" w:cs="Times New Roman"/>
                <w:sz w:val="24"/>
              </w:rPr>
            </w:pPr>
            <w:r>
              <w:rPr>
                <w:rFonts w:hint="eastAsia" w:ascii="宋体" w:hAnsi="宋体" w:eastAsia="宋体" w:cs="宋体"/>
                <w:b/>
                <w:sz w:val="24"/>
              </w:rPr>
              <w:t>（2）如某项标识中包含多条技术参数或要求，则该项标识所含内容均需满足或优于谈判文件要求，否则不予认可。</w:t>
            </w:r>
          </w:p>
        </w:tc>
      </w:tr>
    </w:tbl>
    <w:p w14:paraId="70C68F4A">
      <w:pPr>
        <w:spacing w:line="360" w:lineRule="auto"/>
        <w:ind w:firstLine="480" w:firstLineChars="200"/>
        <w:rPr>
          <w:rFonts w:ascii="宋体" w:hAnsi="宋体" w:eastAsia="宋体"/>
          <w:b/>
          <w:sz w:val="28"/>
          <w:szCs w:val="28"/>
        </w:rPr>
      </w:pPr>
      <w:r>
        <w:rPr>
          <w:rFonts w:hint="eastAsia" w:ascii="宋体" w:hAnsi="宋体" w:eastAsia="宋体" w:cs="宋体"/>
          <w:bCs/>
          <w:sz w:val="24"/>
          <w:szCs w:val="24"/>
        </w:rPr>
        <w:t>（二）货物参数</w:t>
      </w:r>
    </w:p>
    <w:tbl>
      <w:tblPr>
        <w:tblStyle w:val="4"/>
        <w:tblW w:w="8604" w:type="dxa"/>
        <w:jc w:val="center"/>
        <w:tblLayout w:type="fixed"/>
        <w:tblCellMar>
          <w:top w:w="0" w:type="dxa"/>
          <w:left w:w="108" w:type="dxa"/>
          <w:bottom w:w="0" w:type="dxa"/>
          <w:right w:w="108" w:type="dxa"/>
        </w:tblCellMar>
      </w:tblPr>
      <w:tblGrid>
        <w:gridCol w:w="666"/>
        <w:gridCol w:w="883"/>
        <w:gridCol w:w="5124"/>
        <w:gridCol w:w="589"/>
        <w:gridCol w:w="816"/>
        <w:gridCol w:w="526"/>
      </w:tblGrid>
      <w:tr w14:paraId="0E04F092">
        <w:tblPrEx>
          <w:tblCellMar>
            <w:top w:w="0" w:type="dxa"/>
            <w:left w:w="108" w:type="dxa"/>
            <w:bottom w:w="0" w:type="dxa"/>
            <w:right w:w="108" w:type="dxa"/>
          </w:tblCellMar>
        </w:tblPrEx>
        <w:trPr>
          <w:trHeight w:val="480" w:hRule="atLeast"/>
          <w:jc w:val="center"/>
        </w:trPr>
        <w:tc>
          <w:tcPr>
            <w:tcW w:w="666" w:type="dxa"/>
            <w:tcBorders>
              <w:top w:val="single" w:color="000000" w:sz="4" w:space="0"/>
              <w:left w:val="single" w:color="000000" w:sz="4" w:space="0"/>
              <w:bottom w:val="single" w:color="000000" w:sz="4" w:space="0"/>
              <w:right w:val="single" w:color="000000" w:sz="4" w:space="0"/>
            </w:tcBorders>
            <w:noWrap/>
            <w:vAlign w:val="center"/>
          </w:tcPr>
          <w:p w14:paraId="53F2F3B9">
            <w:pPr>
              <w:widowControl/>
              <w:jc w:val="center"/>
              <w:textAlignment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kern w:val="0"/>
                <w:sz w:val="24"/>
                <w:szCs w:val="24"/>
                <w:lang w:bidi="ar"/>
              </w:rPr>
              <w:t>序号</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1587A359">
            <w:pPr>
              <w:widowControl/>
              <w:jc w:val="center"/>
              <w:textAlignment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kern w:val="0"/>
                <w:sz w:val="24"/>
                <w:szCs w:val="24"/>
                <w:lang w:bidi="ar"/>
              </w:rPr>
              <w:t>名称</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657D0B59">
            <w:pPr>
              <w:widowControl/>
              <w:jc w:val="center"/>
              <w:textAlignment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kern w:val="0"/>
                <w:sz w:val="24"/>
                <w:szCs w:val="24"/>
                <w:lang w:bidi="ar"/>
              </w:rPr>
              <w:t>技术参数</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008CC5C6">
            <w:pPr>
              <w:widowControl/>
              <w:jc w:val="center"/>
              <w:textAlignment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kern w:val="0"/>
                <w:sz w:val="24"/>
                <w:szCs w:val="24"/>
                <w:lang w:bidi="ar"/>
              </w:rPr>
              <w:t>单位</w:t>
            </w: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461642EE">
            <w:pPr>
              <w:widowControl/>
              <w:jc w:val="center"/>
              <w:textAlignment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kern w:val="0"/>
                <w:sz w:val="24"/>
                <w:szCs w:val="24"/>
                <w:lang w:bidi="ar"/>
              </w:rPr>
              <w:t>数量</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385A90D9">
            <w:pPr>
              <w:widowControl/>
              <w:jc w:val="center"/>
              <w:textAlignment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kern w:val="0"/>
                <w:sz w:val="24"/>
                <w:szCs w:val="24"/>
                <w:lang w:bidi="ar"/>
              </w:rPr>
              <w:t>备注</w:t>
            </w:r>
          </w:p>
        </w:tc>
      </w:tr>
      <w:tr w14:paraId="10B5701A">
        <w:tblPrEx>
          <w:tblCellMar>
            <w:top w:w="0" w:type="dxa"/>
            <w:left w:w="108" w:type="dxa"/>
            <w:bottom w:w="0" w:type="dxa"/>
            <w:right w:w="108" w:type="dxa"/>
          </w:tblCellMar>
        </w:tblPrEx>
        <w:trPr>
          <w:trHeight w:val="1704"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73A4C733">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1</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5B1D29FC">
            <w:pPr>
              <w:widowControl/>
              <w:jc w:val="left"/>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室内全彩显示屏</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47E56A8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显示尺寸：裸屏尺寸不小于3.84m×1.92m。</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1.像素点间距：≤1.5mm。     </w:t>
            </w:r>
          </w:p>
          <w:p w14:paraId="2908E34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2.亮度：≥800Cd/m²，支持0-100%无极可调。发光点中心距偏差≤1%，亮度均匀性≥99%；水平/垂直视角：≥176°/176°，色度均匀性：±0.003CxCy之内；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3.色温：1000-15000K可调，色温为6500K时，100%、75%、50%、25%四档电平白场调节色温误差≤100K。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4.对比度：≥8000：1，色域覆盖率：≥125%sRGB，灰度等级：16bit。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5.刷新率：≥3840Hz，</w:t>
            </w:r>
          </w:p>
          <w:p w14:paraId="0A0E888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★6.视觉舒适度：（VICO指数）范围在0-1级，满足CSA035.2-2017标准，通过光生物安全及蓝光危害评估无危害类检测。</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7.具有防静电、防电磁干扰、防腐蚀、防霉菌、防虫、防潮、抗震动、抗雷击等功能；具有电源过压、过流、断电保护、分布上电措施、防护等级至少达到IP60。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8.设备支持7天×24小时(168小时)连续工作，平均无故障时间：MTBF平均无故障时间≥100000h；MTTR平均修复时间≤5分钟。</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9.支持DVI、VGA输入、支持HDMI视频输入、支持视频PAL/NTSC制式自适应、支持复合视频信号、支持USB输入、支持IP输入、支持CVBS/DP/HDBASE输入、支持光纤/网络等接口输入。</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651B11B4">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6E67130D">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 xml:space="preserve">7.37 </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1F512E72">
            <w:pPr>
              <w:jc w:val="center"/>
              <w:rPr>
                <w:rFonts w:ascii="Times New Roman" w:hAnsi="Times New Roman" w:eastAsia="宋体" w:cs="Times New Roman"/>
                <w:color w:val="000000"/>
                <w:sz w:val="24"/>
                <w:szCs w:val="24"/>
              </w:rPr>
            </w:pPr>
          </w:p>
        </w:tc>
      </w:tr>
      <w:tr w14:paraId="0291F40E">
        <w:tblPrEx>
          <w:tblCellMar>
            <w:top w:w="0" w:type="dxa"/>
            <w:left w:w="108" w:type="dxa"/>
            <w:bottom w:w="0" w:type="dxa"/>
            <w:right w:w="108" w:type="dxa"/>
          </w:tblCellMar>
        </w:tblPrEx>
        <w:trPr>
          <w:trHeight w:val="2780"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55659BA1">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2</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2F4F2D41">
            <w:pPr>
              <w:widowControl/>
              <w:jc w:val="left"/>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视频处理器</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256AAE6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1.最大不低于1920X1080@60Hz 输入分辨率。</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2.最大带载不低于260万像素，4路千兆网口输出。</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3.最宽3840像素点或最高2000像素点。</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4.支持至少5路信号输入: 2xHDMI1.3及以上，1xDVI，1xVGA，1xCVBS，1路USB3.0接口，支持U盘节目导入播放，支持无线投屏、异步播放（允许通过扩展设备实现此功能）。</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5. 稳定性：MTBF平均无故障时间不低于190000小时, 平均修复时间(MTTR)&lt;10 秒。</w:t>
            </w:r>
          </w:p>
          <w:p w14:paraId="1DEB348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支持设备间和网口间冗余备份多台控制器及控制器间任意网口指定备份其他区域控制范围内容。</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7.支持一键恢复出厂标准设置。</w:t>
            </w:r>
          </w:p>
          <w:p w14:paraId="628D252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8.LED显示屏符合GB16796-2009安全防范报警设备安全要求和实验方法</w:t>
            </w:r>
          </w:p>
          <w:p w14:paraId="5F4044A4">
            <w:pPr>
              <w:pStyle w:val="2"/>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★9.视频处理器和LED显示屏为同一品牌，响应文件中须提供3C证书和提供带</w:t>
            </w:r>
            <w:r>
              <w:rPr>
                <w:rFonts w:ascii="宋体" w:hAnsi="宋体" w:eastAsia="宋体" w:cs="宋体"/>
                <w:color w:val="000000"/>
                <w:kern w:val="0"/>
                <w:sz w:val="24"/>
                <w:szCs w:val="24"/>
                <w:lang w:bidi="ar"/>
              </w:rPr>
              <w:t>CNAS</w:t>
            </w:r>
            <w:r>
              <w:rPr>
                <w:rFonts w:hint="eastAsia" w:ascii="宋体" w:hAnsi="宋体" w:eastAsia="宋体" w:cs="宋体"/>
                <w:color w:val="000000"/>
                <w:kern w:val="0"/>
                <w:sz w:val="24"/>
                <w:szCs w:val="24"/>
                <w:lang w:bidi="ar"/>
              </w:rPr>
              <w:t>或</w:t>
            </w:r>
            <w:r>
              <w:rPr>
                <w:rFonts w:ascii="宋体" w:hAnsi="宋体" w:eastAsia="宋体" w:cs="宋体"/>
                <w:color w:val="000000"/>
                <w:kern w:val="0"/>
                <w:sz w:val="24"/>
                <w:szCs w:val="24"/>
                <w:lang w:bidi="ar"/>
              </w:rPr>
              <w:t>CMA</w:t>
            </w:r>
            <w:r>
              <w:rPr>
                <w:rFonts w:hint="eastAsia" w:ascii="宋体" w:hAnsi="宋体" w:eastAsia="宋体" w:cs="宋体"/>
                <w:color w:val="000000"/>
                <w:kern w:val="0"/>
                <w:sz w:val="24"/>
                <w:szCs w:val="24"/>
                <w:lang w:bidi="ar"/>
              </w:rPr>
              <w:t>标识检测报告以证明为同一品牌。</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50AAD6F5">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台</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2C8678B6">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544D8858">
            <w:pPr>
              <w:jc w:val="center"/>
              <w:rPr>
                <w:rFonts w:ascii="Times New Roman" w:hAnsi="Times New Roman" w:eastAsia="宋体" w:cs="Times New Roman"/>
                <w:color w:val="000000"/>
                <w:sz w:val="24"/>
                <w:szCs w:val="24"/>
              </w:rPr>
            </w:pPr>
          </w:p>
        </w:tc>
      </w:tr>
      <w:tr w14:paraId="4E06A000">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6EAD81F1">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3</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49D11336">
            <w:pPr>
              <w:widowControl/>
              <w:jc w:val="left"/>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配电柜及</w:t>
            </w:r>
          </w:p>
          <w:p w14:paraId="7C0B6474">
            <w:pPr>
              <w:widowControl/>
              <w:jc w:val="left"/>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备品备件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3A34456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1.配电柜带远程控制、定时开关机、延时分路启动、分相分级上电、过流过压保护；平均无故障时间 MTBF≥500000h； 防水、防锈、防腐。</w:t>
            </w:r>
          </w:p>
          <w:p w14:paraId="15513A7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2.备品模组、接收卡、控制软件、电源等。 </w:t>
            </w:r>
          </w:p>
          <w:p w14:paraId="4160124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★3.为保证显示屏系统的稳定性，要求配电柜与LED显示屏同一品牌，提供配电柜的CQC证书扫描件。</w:t>
            </w:r>
          </w:p>
          <w:p w14:paraId="284C3F1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4.提供配电PLC自动控制类系统软件著作权证书、配电管理类系统软件著作权证书扫描件。</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4BBAE06D">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套</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51F1E2D9">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670773DB">
            <w:pPr>
              <w:jc w:val="center"/>
              <w:rPr>
                <w:rFonts w:ascii="Times New Roman" w:hAnsi="Times New Roman" w:eastAsia="宋体" w:cs="Times New Roman"/>
                <w:color w:val="000000"/>
                <w:sz w:val="24"/>
                <w:szCs w:val="24"/>
              </w:rPr>
            </w:pPr>
          </w:p>
        </w:tc>
      </w:tr>
      <w:tr w14:paraId="46D6BFAA">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1DF70CA6">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4</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340039B8">
            <w:pPr>
              <w:widowControl/>
              <w:jc w:val="left"/>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服务及配件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6966038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1.含LED屏的工程结构、包边装饰、专用线材、售后服务、技术支持、操作人员培训等。</w:t>
            </w:r>
          </w:p>
          <w:p w14:paraId="239ED70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2.承重框架与LED显示屏须为同一厂商提供。</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375AFCCF">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kern w:val="0"/>
                <w:sz w:val="24"/>
                <w:szCs w:val="24"/>
                <w:lang w:bidi="ar"/>
              </w:rPr>
              <w:t>㎡</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21A9F58F">
            <w:pPr>
              <w:widowControl/>
              <w:jc w:val="center"/>
              <w:textAlignment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7.96</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715173D9">
            <w:pPr>
              <w:jc w:val="center"/>
              <w:rPr>
                <w:rFonts w:ascii="Times New Roman" w:hAnsi="Times New Roman" w:eastAsia="宋体" w:cs="Times New Roman"/>
                <w:color w:val="000000"/>
                <w:sz w:val="24"/>
                <w:szCs w:val="24"/>
              </w:rPr>
            </w:pPr>
          </w:p>
        </w:tc>
      </w:tr>
      <w:tr w14:paraId="6AACF79C">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2728E1CB">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5</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1AB581A1">
            <w:pPr>
              <w:widowControl/>
              <w:jc w:val="left"/>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室内全彩显示屏</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7F88247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显示尺寸：裸屏尺寸不小于3.2m×1.76m。</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1.像素点间距：≤1.2mm。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2.亮度：≥800Cd/m²，支持0-100%无极可调。发光点中心距偏差≤1%，亮度均匀性≥99%；水平/垂直视角：≥176°/176°，色度均匀性：±0.003CxCy之内；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3.色温：1000-15000K可调，色温为6500K时，100%、75%、50%、25%四档电平白场调节色温误差≤100K。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4.对比度：≥8000：1，色域覆盖率：≥125%sRGB，灰度等级：16bit。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5.刷新率：≥3840Hz，</w:t>
            </w:r>
          </w:p>
          <w:p w14:paraId="4BE1165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6.视觉舒适度：（VICO指数）范围在0-1级，满足CSA035.2-2017标准，通过光生物安全及蓝光危害评估无危害类检测。</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★7.具有防静电、防电磁干扰、防腐蚀、防霉菌、防虫、防潮、抗震动、抗雷击等功能；具有电源过压、过流、断电保护、分布上电措施、防护等级至少达到IP60。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8.设备支持7天×24小时(168小时)连续工作，平均无故障时间：MTBF平均无故障时间≥100000h；MTTR平均修复时间≤5分钟。</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9.支持DVI、VGA输入、支持HDMI视频输入、支持视频PAL/NTSC制式自适应、支持复合视频信号、支持USB输入、支持IP输入、支持CVBS/DP/HDBASE输入、支持光纤/网络等接口输入。</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16B795C7">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36AD58A8">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5.63</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6C3CC835">
            <w:pPr>
              <w:jc w:val="center"/>
              <w:rPr>
                <w:rFonts w:ascii="Times New Roman" w:hAnsi="Times New Roman" w:eastAsia="宋体" w:cs="Times New Roman"/>
                <w:color w:val="000000"/>
                <w:sz w:val="24"/>
                <w:szCs w:val="24"/>
              </w:rPr>
            </w:pPr>
          </w:p>
        </w:tc>
      </w:tr>
      <w:tr w14:paraId="59D23D8B">
        <w:tblPrEx>
          <w:tblCellMar>
            <w:top w:w="0" w:type="dxa"/>
            <w:left w:w="108" w:type="dxa"/>
            <w:bottom w:w="0" w:type="dxa"/>
            <w:right w:w="108" w:type="dxa"/>
          </w:tblCellMar>
        </w:tblPrEx>
        <w:trPr>
          <w:trHeight w:val="491"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3333C86D">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6</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0C171325">
            <w:pPr>
              <w:widowControl/>
              <w:jc w:val="left"/>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视频处理器</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2F11C30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1.最大不低于1920X1080@60Hz 输入分辨率。</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2.最大带载不低于260万像素，4路千兆网口输出。</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3.最宽3840像素点或最高2000像素点。</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4.支持至少5路信号输入: 2xHDMI1.3及以上，1xDVI，1xVGA，1xCVBS，1路USB3.0接口，支持U盘节目导入播放，支持无线投屏、异步播放（允许通过扩展设备实现此功能）。</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5. 稳定性：MTBF平均无故障时间不低于190000小时, 平均修复时间(MTTR)&lt;10 秒。</w:t>
            </w:r>
          </w:p>
          <w:p w14:paraId="430CE74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支持设备间和网口间冗余备份多台控制器及控制器间任意网口指定备份其他区域控制范围内容。</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7.支持一键恢复出厂标准设置。</w:t>
            </w:r>
          </w:p>
          <w:p w14:paraId="7EEBFFA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★8.LED显示屏符合GB16796-2009安全防范报警设备安全要求和实验方法</w:t>
            </w:r>
          </w:p>
          <w:p w14:paraId="503CB2E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9.视频拼接服务器和LED显示屏为同一品牌响应文件中须提供3C证书和提供带</w:t>
            </w:r>
            <w:r>
              <w:rPr>
                <w:rFonts w:ascii="宋体" w:hAnsi="宋体" w:eastAsia="宋体" w:cs="宋体"/>
                <w:color w:val="000000"/>
                <w:kern w:val="0"/>
                <w:sz w:val="24"/>
                <w:szCs w:val="24"/>
                <w:lang w:bidi="ar"/>
              </w:rPr>
              <w:t>CNAS</w:t>
            </w:r>
            <w:r>
              <w:rPr>
                <w:rFonts w:hint="eastAsia" w:ascii="宋体" w:hAnsi="宋体" w:eastAsia="宋体" w:cs="宋体"/>
                <w:color w:val="000000"/>
                <w:kern w:val="0"/>
                <w:sz w:val="24"/>
                <w:szCs w:val="24"/>
                <w:lang w:bidi="ar"/>
              </w:rPr>
              <w:t>或</w:t>
            </w:r>
            <w:r>
              <w:rPr>
                <w:rFonts w:ascii="宋体" w:hAnsi="宋体" w:eastAsia="宋体" w:cs="宋体"/>
                <w:color w:val="000000"/>
                <w:kern w:val="0"/>
                <w:sz w:val="24"/>
                <w:szCs w:val="24"/>
                <w:lang w:bidi="ar"/>
              </w:rPr>
              <w:t>CMA</w:t>
            </w:r>
            <w:r>
              <w:rPr>
                <w:rFonts w:hint="eastAsia" w:ascii="宋体" w:hAnsi="宋体" w:eastAsia="宋体" w:cs="宋体"/>
                <w:color w:val="000000"/>
                <w:kern w:val="0"/>
                <w:sz w:val="24"/>
                <w:szCs w:val="24"/>
                <w:lang w:bidi="ar"/>
              </w:rPr>
              <w:t>标识检测报告以证明为同一品牌。</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7C36CFC6">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台</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789D7134">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59599E0B">
            <w:pPr>
              <w:jc w:val="center"/>
              <w:rPr>
                <w:rFonts w:ascii="Times New Roman" w:hAnsi="Times New Roman" w:eastAsia="宋体" w:cs="Times New Roman"/>
                <w:color w:val="000000"/>
                <w:sz w:val="24"/>
                <w:szCs w:val="24"/>
              </w:rPr>
            </w:pPr>
          </w:p>
        </w:tc>
      </w:tr>
      <w:tr w14:paraId="372D3595">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0596942B">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7</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36AD07A3">
            <w:pPr>
              <w:widowControl/>
              <w:jc w:val="left"/>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配电柜及</w:t>
            </w:r>
          </w:p>
          <w:p w14:paraId="3AE6E4F7">
            <w:pPr>
              <w:widowControl/>
              <w:jc w:val="left"/>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备品备件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5DA2350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1.配电柜带远程控制、定时开关机、延时分路启动、分相分级上电、过流过压保护；平均无故障时间 MTBF≥500000h； 防水、防锈、防腐。</w:t>
            </w:r>
          </w:p>
          <w:p w14:paraId="1AD6922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2.备品模组、接收卡、控制软件、电源等。 </w:t>
            </w:r>
          </w:p>
          <w:p w14:paraId="14D3C05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3.为保证显示屏系统的稳定性，要求配电柜与 LED 显示屏同一品牌，提供配电柜的 CQC证书扫描件。</w:t>
            </w:r>
          </w:p>
          <w:p w14:paraId="3D105C4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4.提供配电PLC自动控制类系统软件著作权证书、配电管理类系统软件著作权证书扫描件。</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2D1C0062">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组</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486E3C55">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680B627E">
            <w:pPr>
              <w:jc w:val="center"/>
              <w:rPr>
                <w:rFonts w:ascii="Times New Roman" w:hAnsi="Times New Roman" w:eastAsia="宋体" w:cs="Times New Roman"/>
                <w:color w:val="000000"/>
                <w:sz w:val="24"/>
                <w:szCs w:val="24"/>
              </w:rPr>
            </w:pPr>
          </w:p>
        </w:tc>
      </w:tr>
      <w:tr w14:paraId="20D4FDDF">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79D85A52">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8</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741B684D">
            <w:pPr>
              <w:widowControl/>
              <w:jc w:val="left"/>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服务及配件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5D42C42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1.含LED屏的工程结构、包边装饰、专用线材、售后服务、技术支持、操作人员培训等。另包含原显示屏拆除，保护，强弱电电缆铺设到位。</w:t>
            </w:r>
          </w:p>
          <w:p w14:paraId="79D0A20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2.承重框架与LED显示屏须为同一厂商提供。</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24067306">
            <w:pPr>
              <w:widowControl/>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319E8D7C">
            <w:pPr>
              <w:widowControl/>
              <w:jc w:val="center"/>
              <w:textAlignment w:val="center"/>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t>5.95</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70F60A13">
            <w:pPr>
              <w:jc w:val="center"/>
              <w:rPr>
                <w:rFonts w:ascii="Times New Roman" w:hAnsi="Times New Roman" w:eastAsia="宋体" w:cs="Times New Roman"/>
                <w:color w:val="000000"/>
                <w:sz w:val="24"/>
                <w:szCs w:val="24"/>
              </w:rPr>
            </w:pPr>
          </w:p>
        </w:tc>
      </w:tr>
    </w:tbl>
    <w:p w14:paraId="5FCFB6DA">
      <w:pPr>
        <w:wordWrap w:val="0"/>
        <w:spacing w:line="360" w:lineRule="auto"/>
        <w:ind w:firstLine="437"/>
        <w:rPr>
          <w:rFonts w:hint="eastAsia" w:ascii="宋体" w:hAnsi="宋体" w:eastAsia="宋体"/>
          <w:b/>
          <w:sz w:val="28"/>
          <w:szCs w:val="28"/>
        </w:rPr>
      </w:pPr>
      <w:r>
        <w:rPr>
          <w:rFonts w:hint="eastAsia" w:ascii="宋体" w:hAnsi="宋体" w:eastAsia="宋体"/>
          <w:b/>
          <w:sz w:val="28"/>
          <w:szCs w:val="28"/>
        </w:rPr>
        <w:t>三、报价要求</w:t>
      </w:r>
    </w:p>
    <w:p w14:paraId="49390FDD">
      <w:pPr>
        <w:wordWrap w:val="0"/>
        <w:spacing w:line="360" w:lineRule="auto"/>
        <w:ind w:firstLine="437"/>
        <w:rPr>
          <w:rFonts w:hint="eastAsia" w:ascii="Arial" w:hAnsi="Arial" w:eastAsia="宋体" w:cs="Arial"/>
          <w:bCs/>
          <w:sz w:val="24"/>
          <w:szCs w:val="18"/>
        </w:rPr>
      </w:pPr>
      <w:r>
        <w:rPr>
          <w:rFonts w:hint="eastAsia" w:ascii="Arial" w:hAnsi="Arial" w:eastAsia="宋体" w:cs="Arial"/>
          <w:sz w:val="24"/>
          <w:szCs w:val="18"/>
        </w:rPr>
        <w:t>本项目报总价，报价即完成本项目所需内容的所有费用，成交后采购人不再另行支付任何费用</w:t>
      </w:r>
      <w:r>
        <w:rPr>
          <w:rFonts w:hint="eastAsia" w:ascii="Arial" w:hAnsi="Arial" w:eastAsia="宋体" w:cs="Arial"/>
          <w:bCs/>
          <w:sz w:val="24"/>
          <w:szCs w:val="18"/>
        </w:rPr>
        <w:t>。</w:t>
      </w:r>
    </w:p>
    <w:p w14:paraId="05921A34">
      <w:pPr>
        <w:wordWrap w:val="0"/>
        <w:spacing w:line="360" w:lineRule="auto"/>
        <w:ind w:firstLine="437"/>
        <w:outlineLvl w:val="2"/>
        <w:rPr>
          <w:rFonts w:hint="default" w:ascii="宋体" w:hAnsi="宋体" w:eastAsia="宋体"/>
          <w:b/>
          <w:sz w:val="28"/>
          <w:szCs w:val="28"/>
          <w:lang w:val="en-US" w:eastAsia="zh-CN"/>
        </w:rPr>
      </w:pPr>
      <w:r>
        <w:rPr>
          <w:rFonts w:hint="eastAsia" w:ascii="Arial" w:hAnsi="Arial" w:eastAsia="宋体" w:cs="Arial"/>
          <w:bCs/>
          <w:sz w:val="24"/>
          <w:szCs w:val="18"/>
        </w:rPr>
        <w:br w:type="page"/>
      </w:r>
      <w:r>
        <w:rPr>
          <w:rFonts w:hint="eastAsia" w:ascii="宋体" w:hAnsi="宋体" w:eastAsia="宋体"/>
          <w:b/>
          <w:sz w:val="28"/>
          <w:szCs w:val="28"/>
          <w:lang w:val="en-US" w:eastAsia="zh-CN"/>
        </w:rPr>
        <w:t>第2包：新能源与智能网联汽车学院专业建设用 LED 高清显示屏采购</w:t>
      </w:r>
    </w:p>
    <w:p w14:paraId="4E354D78">
      <w:pPr>
        <w:wordWrap w:val="0"/>
        <w:spacing w:line="360" w:lineRule="auto"/>
        <w:ind w:firstLine="437"/>
        <w:rPr>
          <w:rFonts w:ascii="宋体" w:hAnsi="宋体" w:eastAsia="宋体"/>
          <w:b/>
          <w:sz w:val="28"/>
          <w:szCs w:val="28"/>
        </w:rPr>
      </w:pPr>
      <w:r>
        <w:rPr>
          <w:rFonts w:hint="eastAsia" w:ascii="宋体" w:hAnsi="宋体" w:eastAsia="宋体"/>
          <w:b/>
          <w:sz w:val="28"/>
          <w:szCs w:val="28"/>
        </w:rPr>
        <w:t>一、采购需求前附表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2054"/>
        <w:gridCol w:w="5544"/>
      </w:tblGrid>
      <w:tr w14:paraId="70A6C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4827D270">
            <w:pPr>
              <w:pStyle w:val="6"/>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054" w:type="dxa"/>
            <w:noWrap w:val="0"/>
            <w:vAlign w:val="center"/>
          </w:tcPr>
          <w:p w14:paraId="1898AD6A">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5544" w:type="dxa"/>
            <w:noWrap w:val="0"/>
            <w:vAlign w:val="center"/>
          </w:tcPr>
          <w:p w14:paraId="1578298D">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1D6FD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6FD1C7E9">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054" w:type="dxa"/>
            <w:noWrap w:val="0"/>
            <w:vAlign w:val="center"/>
          </w:tcPr>
          <w:p w14:paraId="72DD6AC4">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544" w:type="dxa"/>
            <w:noWrap w:val="0"/>
            <w:vAlign w:val="center"/>
          </w:tcPr>
          <w:p w14:paraId="2B102CBB">
            <w:pPr>
              <w:pStyle w:val="7"/>
              <w:widowControl w:val="0"/>
              <w:wordWrap w:val="0"/>
              <w:spacing w:before="0" w:beforeAutospacing="0" w:after="0" w:afterAutospacing="0" w:line="360" w:lineRule="auto"/>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验收合格后，2周内支付成交金额的100%。</w:t>
            </w:r>
          </w:p>
        </w:tc>
      </w:tr>
      <w:tr w14:paraId="55229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00E6EBE8">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054" w:type="dxa"/>
            <w:noWrap w:val="0"/>
            <w:vAlign w:val="center"/>
          </w:tcPr>
          <w:p w14:paraId="516E620A">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供货及安装地点</w:t>
            </w:r>
          </w:p>
        </w:tc>
        <w:tc>
          <w:tcPr>
            <w:tcW w:w="5544" w:type="dxa"/>
            <w:noWrap w:val="0"/>
            <w:vAlign w:val="center"/>
          </w:tcPr>
          <w:p w14:paraId="30FEEDBF">
            <w:pPr>
              <w:pStyle w:val="7"/>
              <w:widowControl w:val="0"/>
              <w:wordWrap w:val="0"/>
              <w:spacing w:before="0" w:beforeAutospacing="0" w:after="0" w:afterAutospacing="0" w:line="360" w:lineRule="auto"/>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安徽理工大学或采购人指定地点</w:t>
            </w:r>
          </w:p>
        </w:tc>
      </w:tr>
      <w:tr w14:paraId="0F3F1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4DB8E4BB">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054" w:type="dxa"/>
            <w:noWrap w:val="0"/>
            <w:vAlign w:val="center"/>
          </w:tcPr>
          <w:p w14:paraId="66E7DB94">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供货及安装期限</w:t>
            </w:r>
          </w:p>
        </w:tc>
        <w:tc>
          <w:tcPr>
            <w:tcW w:w="5544" w:type="dxa"/>
            <w:noWrap w:val="0"/>
            <w:vAlign w:val="center"/>
          </w:tcPr>
          <w:p w14:paraId="38BA7DA7">
            <w:pPr>
              <w:pStyle w:val="7"/>
              <w:widowControl w:val="0"/>
              <w:wordWrap w:val="0"/>
              <w:spacing w:before="0" w:beforeAutospacing="0" w:after="0" w:afterAutospacing="0" w:line="360" w:lineRule="auto"/>
              <w:jc w:val="left"/>
              <w:rPr>
                <w:rFonts w:hint="eastAsia" w:ascii="宋体" w:hAnsi="宋体" w:eastAsia="宋体" w:cs="宋体"/>
                <w:b w:val="0"/>
                <w:bCs w:val="0"/>
                <w:sz w:val="24"/>
                <w:szCs w:val="24"/>
                <w:lang w:val="en-US" w:eastAsia="zh-CN"/>
              </w:rPr>
            </w:pPr>
            <w:r>
              <w:rPr>
                <w:rFonts w:hint="eastAsia" w:ascii="宋体" w:hAnsi="宋体" w:eastAsia="宋体"/>
                <w:b w:val="0"/>
                <w:bCs w:val="0"/>
                <w:sz w:val="24"/>
              </w:rPr>
              <w:t>合同签订之日起1</w:t>
            </w:r>
            <w:r>
              <w:rPr>
                <w:rFonts w:ascii="宋体" w:hAnsi="宋体" w:eastAsia="宋体"/>
                <w:b w:val="0"/>
                <w:bCs w:val="0"/>
                <w:sz w:val="24"/>
              </w:rPr>
              <w:t>0日历天</w:t>
            </w:r>
            <w:r>
              <w:rPr>
                <w:rFonts w:hint="eastAsia" w:ascii="宋体" w:hAnsi="宋体" w:eastAsia="宋体"/>
                <w:b w:val="0"/>
                <w:bCs w:val="0"/>
                <w:sz w:val="24"/>
              </w:rPr>
              <w:t>内完成供货安装工作。</w:t>
            </w:r>
          </w:p>
        </w:tc>
      </w:tr>
      <w:tr w14:paraId="46773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05505AC9">
            <w:pPr>
              <w:pStyle w:val="6"/>
              <w:pBdr>
                <w:bottom w:val="none" w:color="auto" w:sz="0" w:space="0"/>
              </w:pBdr>
              <w:tabs>
                <w:tab w:val="clear" w:pos="4153"/>
                <w:tab w:val="clear" w:pos="8306"/>
              </w:tabs>
              <w:adjustRightInd/>
              <w:spacing w:line="240" w:lineRule="auto"/>
              <w:textAlignment w:val="auto"/>
              <w:rPr>
                <w:rFonts w:hint="eastAsia" w:ascii="宋体" w:hAnsi="宋体" w:eastAsia="宋体"/>
                <w:bCs/>
                <w:kern w:val="2"/>
              </w:rPr>
            </w:pPr>
            <w:r>
              <w:rPr>
                <w:rFonts w:hint="eastAsia" w:ascii="宋体" w:hAnsi="宋体" w:eastAsia="宋体"/>
                <w:bCs/>
                <w:kern w:val="2"/>
              </w:rPr>
              <w:t>4</w:t>
            </w:r>
          </w:p>
        </w:tc>
        <w:tc>
          <w:tcPr>
            <w:tcW w:w="2054" w:type="dxa"/>
            <w:noWrap w:val="0"/>
            <w:vAlign w:val="center"/>
          </w:tcPr>
          <w:p w14:paraId="05900BA0">
            <w:pPr>
              <w:pStyle w:val="7"/>
              <w:widowControl w:val="0"/>
              <w:spacing w:before="0" w:beforeAutospacing="0" w:after="0" w:afterAutospacing="0" w:line="360" w:lineRule="auto"/>
              <w:rPr>
                <w:rFonts w:hint="eastAsia" w:ascii="宋体" w:hAnsi="宋体" w:eastAsia="宋体"/>
                <w:b w:val="0"/>
                <w:sz w:val="24"/>
              </w:rPr>
            </w:pPr>
            <w:r>
              <w:rPr>
                <w:rFonts w:hint="eastAsia" w:ascii="宋体" w:hAnsi="宋体" w:eastAsia="宋体"/>
                <w:b w:val="0"/>
                <w:sz w:val="24"/>
              </w:rPr>
              <w:t>免费质保期</w:t>
            </w:r>
          </w:p>
        </w:tc>
        <w:tc>
          <w:tcPr>
            <w:tcW w:w="5544" w:type="dxa"/>
            <w:noWrap w:val="0"/>
            <w:vAlign w:val="center"/>
          </w:tcPr>
          <w:p w14:paraId="0A075949">
            <w:pPr>
              <w:pStyle w:val="7"/>
              <w:widowControl w:val="0"/>
              <w:wordWrap w:val="0"/>
              <w:spacing w:before="0" w:beforeAutospacing="0" w:after="0" w:afterAutospacing="0" w:line="360" w:lineRule="auto"/>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自验收合格之日起不少于2年，</w:t>
            </w:r>
            <w:r>
              <w:rPr>
                <w:rFonts w:ascii="Times New Roman" w:hAnsi="Times New Roman" w:eastAsia="宋体" w:cs="Times New Roman"/>
                <w:sz w:val="24"/>
                <w:szCs w:val="24"/>
              </w:rPr>
              <w:t>货物需求表另有规定的，以货物需求表为准。</w:t>
            </w:r>
          </w:p>
        </w:tc>
      </w:tr>
    </w:tbl>
    <w:p w14:paraId="6255604C">
      <w:pPr>
        <w:wordWrap w:val="0"/>
        <w:spacing w:line="360" w:lineRule="auto"/>
        <w:ind w:firstLine="437"/>
        <w:rPr>
          <w:rFonts w:hint="eastAsia" w:ascii="宋体" w:hAnsi="宋体" w:eastAsia="宋体"/>
          <w:b/>
          <w:sz w:val="28"/>
          <w:szCs w:val="28"/>
        </w:rPr>
      </w:pPr>
      <w:r>
        <w:rPr>
          <w:rFonts w:hint="eastAsia" w:ascii="宋体" w:hAnsi="宋体" w:eastAsia="宋体"/>
          <w:b/>
          <w:sz w:val="28"/>
          <w:szCs w:val="28"/>
        </w:rPr>
        <w:t>二、货物需求</w:t>
      </w:r>
    </w:p>
    <w:p w14:paraId="47A1879C">
      <w:pPr>
        <w:wordWrap w:val="0"/>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（一）货物需求说明</w:t>
      </w:r>
    </w:p>
    <w:tbl>
      <w:tblPr>
        <w:tblStyle w:val="4"/>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58"/>
        <w:gridCol w:w="5751"/>
      </w:tblGrid>
      <w:tr w14:paraId="6D885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1E725B63">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标识重要性</w:t>
            </w:r>
          </w:p>
        </w:tc>
        <w:tc>
          <w:tcPr>
            <w:tcW w:w="1258" w:type="dxa"/>
            <w:noWrap w:val="0"/>
            <w:vAlign w:val="center"/>
          </w:tcPr>
          <w:p w14:paraId="35BFCD9A">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标识符号</w:t>
            </w:r>
          </w:p>
        </w:tc>
        <w:tc>
          <w:tcPr>
            <w:tcW w:w="5751" w:type="dxa"/>
            <w:noWrap w:val="0"/>
            <w:vAlign w:val="center"/>
          </w:tcPr>
          <w:p w14:paraId="04DB6E8F">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代表意思</w:t>
            </w:r>
          </w:p>
        </w:tc>
      </w:tr>
      <w:tr w14:paraId="3F21E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089AD3BF">
            <w:pPr>
              <w:spacing w:line="360" w:lineRule="exact"/>
              <w:jc w:val="center"/>
              <w:rPr>
                <w:rFonts w:ascii="Times New Roman" w:hAnsi="Times New Roman" w:eastAsia="宋体" w:cs="Times New Roman"/>
                <w:b/>
                <w:bCs/>
                <w:sz w:val="24"/>
              </w:rPr>
            </w:pPr>
            <w:r>
              <w:rPr>
                <w:rFonts w:hint="eastAsia" w:ascii="宋体" w:hAnsi="宋体" w:eastAsia="宋体" w:cs="宋体"/>
                <w:b/>
                <w:bCs/>
                <w:sz w:val="24"/>
              </w:rPr>
              <w:t>核心指标项</w:t>
            </w:r>
          </w:p>
        </w:tc>
        <w:tc>
          <w:tcPr>
            <w:tcW w:w="1258" w:type="dxa"/>
            <w:noWrap w:val="0"/>
            <w:vAlign w:val="center"/>
          </w:tcPr>
          <w:p w14:paraId="59A07B6F">
            <w:pPr>
              <w:spacing w:line="360" w:lineRule="exact"/>
              <w:jc w:val="center"/>
              <w:rPr>
                <w:rFonts w:ascii="Times New Roman" w:hAnsi="Times New Roman" w:eastAsia="宋体" w:cs="Times New Roman"/>
                <w:b/>
                <w:bCs/>
                <w:sz w:val="28"/>
                <w:szCs w:val="28"/>
              </w:rPr>
            </w:pPr>
            <w:r>
              <w:rPr>
                <w:rFonts w:hint="eastAsia" w:ascii="宋体" w:hAnsi="宋体" w:eastAsia="宋体" w:cs="宋体"/>
                <w:b/>
                <w:bCs/>
                <w:sz w:val="24"/>
              </w:rPr>
              <w:t>★</w:t>
            </w:r>
          </w:p>
        </w:tc>
        <w:tc>
          <w:tcPr>
            <w:tcW w:w="5751" w:type="dxa"/>
            <w:noWrap w:val="0"/>
            <w:vAlign w:val="center"/>
          </w:tcPr>
          <w:p w14:paraId="26A50401">
            <w:pPr>
              <w:pStyle w:val="7"/>
              <w:widowControl w:val="0"/>
              <w:spacing w:before="0" w:beforeAutospacing="0" w:after="0" w:afterAutospacing="0" w:line="360" w:lineRule="auto"/>
              <w:jc w:val="both"/>
              <w:rPr>
                <w:rFonts w:ascii="Times New Roman" w:hAnsi="Times New Roman" w:eastAsia="宋体" w:cs="Times New Roman"/>
                <w:sz w:val="24"/>
                <w:szCs w:val="22"/>
              </w:rPr>
            </w:pPr>
            <w:r>
              <w:rPr>
                <w:rFonts w:hint="eastAsia" w:ascii="Times New Roman" w:hAnsi="Times New Roman" w:eastAsia="宋体" w:cs="Times New Roman"/>
                <w:sz w:val="24"/>
                <w:szCs w:val="22"/>
              </w:rPr>
              <w:t>作为实质性要求，负偏离（或未响应），将导致响应无效。</w:t>
            </w:r>
          </w:p>
        </w:tc>
      </w:tr>
      <w:tr w14:paraId="626AB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6B8B7F48">
            <w:pPr>
              <w:spacing w:line="360" w:lineRule="exact"/>
              <w:jc w:val="center"/>
              <w:rPr>
                <w:rFonts w:hint="eastAsia" w:ascii="宋体" w:hAnsi="宋体" w:eastAsia="宋体" w:cs="宋体"/>
                <w:b/>
                <w:bCs/>
                <w:sz w:val="24"/>
                <w:szCs w:val="24"/>
              </w:rPr>
            </w:pPr>
            <w:r>
              <w:rPr>
                <w:rFonts w:hint="eastAsia" w:ascii="宋体" w:hAnsi="宋体" w:eastAsia="宋体" w:cs="宋体"/>
                <w:b/>
                <w:bCs/>
                <w:sz w:val="24"/>
              </w:rPr>
              <w:t>一般技术指标（无标识项）</w:t>
            </w:r>
          </w:p>
        </w:tc>
        <w:tc>
          <w:tcPr>
            <w:tcW w:w="1258" w:type="dxa"/>
            <w:noWrap w:val="0"/>
            <w:vAlign w:val="center"/>
          </w:tcPr>
          <w:p w14:paraId="3F2EDB59">
            <w:pPr>
              <w:spacing w:line="360" w:lineRule="exact"/>
              <w:jc w:val="center"/>
              <w:rPr>
                <w:rFonts w:hint="eastAsia" w:ascii="宋体" w:hAnsi="宋体" w:eastAsia="宋体" w:cs="宋体"/>
                <w:b/>
                <w:bCs/>
                <w:sz w:val="24"/>
                <w:szCs w:val="24"/>
              </w:rPr>
            </w:pPr>
            <w:r>
              <w:rPr>
                <w:rFonts w:hint="eastAsia" w:ascii="宋体" w:hAnsi="宋体" w:eastAsia="宋体" w:cs="宋体"/>
                <w:b/>
                <w:bCs/>
                <w:sz w:val="24"/>
              </w:rPr>
              <w:t>无</w:t>
            </w:r>
          </w:p>
        </w:tc>
        <w:tc>
          <w:tcPr>
            <w:tcW w:w="5751" w:type="dxa"/>
            <w:noWrap w:val="0"/>
            <w:vAlign w:val="center"/>
          </w:tcPr>
          <w:p w14:paraId="2F102E4B">
            <w:pPr>
              <w:spacing w:line="360" w:lineRule="auto"/>
              <w:jc w:val="left"/>
              <w:rPr>
                <w:rFonts w:hint="eastAsia" w:ascii="宋体" w:hAnsi="宋体" w:eastAsia="宋体" w:cs="宋体"/>
                <w:sz w:val="24"/>
                <w:szCs w:val="18"/>
              </w:rPr>
            </w:pPr>
            <w:r>
              <w:rPr>
                <w:rFonts w:ascii="宋体" w:hAnsi="宋体" w:eastAsia="宋体" w:cs="宋体"/>
                <w:b/>
                <w:kern w:val="0"/>
                <w:sz w:val="24"/>
                <w:szCs w:val="24"/>
              </w:rPr>
              <w:t>作为基础指标，</w:t>
            </w:r>
            <w:r>
              <w:rPr>
                <w:rFonts w:hint="eastAsia" w:ascii="宋体" w:hAnsi="宋体" w:eastAsia="宋体" w:cs="宋体"/>
                <w:b/>
                <w:kern w:val="0"/>
                <w:sz w:val="24"/>
                <w:szCs w:val="24"/>
              </w:rPr>
              <w:t>最大偏离数量为</w:t>
            </w:r>
            <w:r>
              <w:rPr>
                <w:rFonts w:hint="eastAsia" w:ascii="宋体" w:hAnsi="宋体" w:eastAsia="宋体" w:cs="宋体"/>
                <w:b/>
                <w:kern w:val="0"/>
                <w:sz w:val="24"/>
                <w:szCs w:val="24"/>
                <w:lang w:val="en-US" w:eastAsia="zh-CN"/>
              </w:rPr>
              <w:t>3</w:t>
            </w:r>
            <w:r>
              <w:rPr>
                <w:rFonts w:hint="eastAsia" w:ascii="宋体" w:hAnsi="宋体" w:eastAsia="宋体" w:cs="宋体"/>
                <w:b/>
                <w:kern w:val="0"/>
                <w:sz w:val="24"/>
                <w:szCs w:val="24"/>
              </w:rPr>
              <w:t>项，超过</w:t>
            </w:r>
            <w:r>
              <w:rPr>
                <w:rFonts w:hint="eastAsia" w:ascii="宋体" w:hAnsi="宋体" w:eastAsia="宋体" w:cs="宋体"/>
                <w:b/>
                <w:kern w:val="0"/>
                <w:sz w:val="24"/>
                <w:szCs w:val="24"/>
                <w:lang w:val="en-US" w:eastAsia="zh-CN"/>
              </w:rPr>
              <w:t>3</w:t>
            </w:r>
            <w:r>
              <w:rPr>
                <w:rFonts w:hint="eastAsia" w:ascii="宋体" w:hAnsi="宋体" w:eastAsia="宋体" w:cs="宋体"/>
                <w:b/>
                <w:kern w:val="0"/>
                <w:sz w:val="24"/>
                <w:szCs w:val="24"/>
              </w:rPr>
              <w:t>项（不含</w:t>
            </w:r>
            <w:r>
              <w:rPr>
                <w:rFonts w:hint="eastAsia" w:ascii="宋体" w:hAnsi="宋体" w:eastAsia="宋体" w:cs="宋体"/>
                <w:b/>
                <w:kern w:val="0"/>
                <w:sz w:val="24"/>
                <w:szCs w:val="24"/>
                <w:lang w:val="en-US" w:eastAsia="zh-CN"/>
              </w:rPr>
              <w:t>3</w:t>
            </w:r>
            <w:r>
              <w:rPr>
                <w:rFonts w:hint="eastAsia" w:ascii="宋体" w:hAnsi="宋体" w:eastAsia="宋体" w:cs="宋体"/>
                <w:b/>
                <w:kern w:val="0"/>
                <w:sz w:val="24"/>
                <w:szCs w:val="24"/>
              </w:rPr>
              <w:t>项）以上</w:t>
            </w:r>
            <w:r>
              <w:rPr>
                <w:rFonts w:hint="eastAsia" w:ascii="Times New Roman" w:hAnsi="Times New Roman" w:eastAsia="宋体" w:cs="Times New Roman"/>
                <w:b/>
                <w:sz w:val="24"/>
                <w:szCs w:val="22"/>
              </w:rPr>
              <w:t>负偏离（或未响应），将导致响应无效。</w:t>
            </w:r>
          </w:p>
        </w:tc>
      </w:tr>
      <w:tr w14:paraId="1B27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0" w:type="dxa"/>
            <w:gridSpan w:val="3"/>
            <w:noWrap w:val="0"/>
            <w:vAlign w:val="center"/>
          </w:tcPr>
          <w:p w14:paraId="6BD58642">
            <w:pPr>
              <w:spacing w:line="360" w:lineRule="auto"/>
              <w:rPr>
                <w:rFonts w:hint="eastAsia" w:ascii="宋体" w:hAnsi="宋体" w:eastAsia="宋体" w:cs="宋体"/>
                <w:b/>
                <w:sz w:val="24"/>
              </w:rPr>
            </w:pPr>
            <w:r>
              <w:rPr>
                <w:rFonts w:hint="eastAsia" w:ascii="宋体" w:hAnsi="宋体" w:eastAsia="宋体" w:cs="宋体"/>
                <w:b/>
                <w:kern w:val="0"/>
                <w:sz w:val="24"/>
                <w:szCs w:val="24"/>
              </w:rPr>
              <w:t>注：</w:t>
            </w:r>
          </w:p>
          <w:p w14:paraId="01A34984">
            <w:pPr>
              <w:spacing w:line="360" w:lineRule="auto"/>
              <w:jc w:val="left"/>
              <w:rPr>
                <w:rFonts w:hint="eastAsia" w:ascii="宋体" w:hAnsi="宋体" w:eastAsia="宋体" w:cs="宋体"/>
                <w:b/>
                <w:bCs/>
                <w:color w:val="FF0000"/>
                <w:sz w:val="24"/>
                <w:szCs w:val="24"/>
              </w:rPr>
            </w:pPr>
            <w:r>
              <w:rPr>
                <w:rFonts w:hint="eastAsia" w:ascii="宋体" w:hAnsi="宋体" w:eastAsia="宋体" w:cs="宋体"/>
                <w:b/>
                <w:bCs/>
                <w:color w:val="FF0000"/>
                <w:sz w:val="24"/>
                <w:szCs w:val="24"/>
              </w:rPr>
              <w:t>（1）针对下表中标注★的指标项须</w:t>
            </w:r>
            <w:r>
              <w:rPr>
                <w:rFonts w:hint="eastAsia" w:ascii="宋体" w:hAnsi="宋体" w:eastAsia="宋体" w:cs="宋体"/>
                <w:b/>
                <w:bCs/>
                <w:color w:val="FF0000"/>
                <w:sz w:val="24"/>
                <w:szCs w:val="24"/>
                <w:lang w:val="en-US" w:eastAsia="zh-CN"/>
              </w:rPr>
              <w:t>按下列要求</w:t>
            </w:r>
            <w:r>
              <w:rPr>
                <w:rFonts w:hint="eastAsia" w:ascii="宋体" w:hAnsi="宋体" w:eastAsia="宋体" w:cs="宋体"/>
                <w:b/>
                <w:bCs/>
                <w:color w:val="FF0000"/>
                <w:sz w:val="24"/>
                <w:szCs w:val="24"/>
              </w:rPr>
              <w:t>在响应文件中提供证明材料予以佐证。</w:t>
            </w:r>
          </w:p>
          <w:p w14:paraId="1659B997">
            <w:pPr>
              <w:spacing w:line="360" w:lineRule="auto"/>
              <w:jc w:val="left"/>
              <w:rPr>
                <w:rFonts w:hint="eastAsia" w:ascii="宋体" w:hAnsi="宋体" w:eastAsia="宋体" w:cs="宋体"/>
                <w:b/>
                <w:sz w:val="24"/>
                <w:szCs w:val="24"/>
                <w:lang w:val="zh-CN"/>
              </w:rPr>
            </w:pPr>
            <w:r>
              <w:rPr>
                <w:rFonts w:hint="eastAsia" w:ascii="宋体" w:hAnsi="宋体" w:eastAsia="宋体" w:cs="宋体"/>
                <w:b/>
                <w:sz w:val="24"/>
                <w:szCs w:val="24"/>
              </w:rPr>
              <w:t>1.采购需求中</w:t>
            </w:r>
            <w:r>
              <w:rPr>
                <w:rFonts w:hint="eastAsia" w:ascii="宋体" w:hAnsi="宋体" w:eastAsia="宋体" w:cs="宋体"/>
                <w:b/>
                <w:sz w:val="24"/>
                <w:szCs w:val="24"/>
                <w:lang w:val="zh-CN"/>
              </w:rPr>
              <w:t>明确要求提供</w:t>
            </w:r>
            <w:r>
              <w:rPr>
                <w:rFonts w:hint="eastAsia" w:ascii="宋体" w:hAnsi="宋体" w:eastAsia="宋体" w:cs="宋体"/>
                <w:b/>
                <w:sz w:val="24"/>
                <w:szCs w:val="24"/>
              </w:rPr>
              <w:t>相关</w:t>
            </w:r>
            <w:r>
              <w:rPr>
                <w:rFonts w:hint="eastAsia" w:ascii="宋体" w:hAnsi="宋体" w:eastAsia="宋体" w:cs="宋体"/>
                <w:b/>
                <w:sz w:val="24"/>
                <w:szCs w:val="24"/>
                <w:lang w:val="zh-CN"/>
              </w:rPr>
              <w:t>材料</w:t>
            </w:r>
            <w:r>
              <w:rPr>
                <w:rFonts w:hint="eastAsia" w:ascii="宋体" w:hAnsi="宋体" w:eastAsia="宋体" w:cs="宋体"/>
                <w:b/>
                <w:sz w:val="24"/>
                <w:szCs w:val="24"/>
              </w:rPr>
              <w:t>的</w:t>
            </w:r>
            <w:r>
              <w:rPr>
                <w:rFonts w:hint="eastAsia" w:ascii="宋体" w:hAnsi="宋体" w:eastAsia="宋体" w:cs="宋体"/>
                <w:b/>
                <w:sz w:val="24"/>
                <w:szCs w:val="24"/>
                <w:lang w:val="zh-CN"/>
              </w:rPr>
              <w:t>按采购需求要求提供</w:t>
            </w:r>
            <w:r>
              <w:rPr>
                <w:rFonts w:hint="eastAsia" w:ascii="宋体" w:hAnsi="宋体" w:eastAsia="宋体" w:cs="宋体"/>
                <w:b/>
                <w:sz w:val="24"/>
                <w:szCs w:val="24"/>
              </w:rPr>
              <w:t>对应证明材料</w:t>
            </w:r>
            <w:r>
              <w:rPr>
                <w:rFonts w:hint="eastAsia" w:ascii="宋体" w:hAnsi="宋体" w:eastAsia="宋体" w:cs="宋体"/>
                <w:b/>
                <w:sz w:val="24"/>
                <w:szCs w:val="24"/>
                <w:lang w:val="zh-CN"/>
              </w:rPr>
              <w:t>；</w:t>
            </w:r>
          </w:p>
          <w:p w14:paraId="0356C465">
            <w:pPr>
              <w:spacing w:line="360" w:lineRule="auto"/>
              <w:rPr>
                <w:rFonts w:hint="eastAsia" w:ascii="宋体" w:hAnsi="宋体" w:eastAsia="宋体" w:cs="宋体"/>
                <w:b/>
                <w:bCs/>
                <w:sz w:val="24"/>
                <w:szCs w:val="24"/>
              </w:rPr>
            </w:pPr>
            <w:r>
              <w:rPr>
                <w:rFonts w:hint="eastAsia" w:ascii="宋体" w:hAnsi="宋体" w:eastAsia="宋体" w:cs="宋体"/>
                <w:b/>
                <w:sz w:val="24"/>
                <w:szCs w:val="24"/>
              </w:rPr>
              <w:t>2.采购需求中未明确要求提供证明料的，供应商须自行提供</w:t>
            </w:r>
            <w:r>
              <w:rPr>
                <w:rFonts w:hint="eastAsia" w:ascii="宋体" w:hAnsi="宋体" w:eastAsia="宋体" w:cs="宋体"/>
                <w:b/>
                <w:bCs/>
                <w:sz w:val="24"/>
                <w:szCs w:val="24"/>
              </w:rPr>
              <w:t>证明材料，包括产品技术白皮书、产品技术说明书、产品彩页（产品功能截图）、厂家（制造商）官网截图、第三方机构出具的带有CMA标识的检测报告，提供其中之一即可。未按以上要求提供证明材料的视为负偏离或未响应（为便于评审，建议供应商对证明材料中的关键参数进行标注）。</w:t>
            </w:r>
          </w:p>
          <w:p w14:paraId="6CFBA78E">
            <w:pPr>
              <w:spacing w:line="360" w:lineRule="auto"/>
              <w:jc w:val="left"/>
              <w:rPr>
                <w:rFonts w:ascii="Times New Roman" w:hAnsi="Times New Roman" w:eastAsia="宋体" w:cs="Times New Roman"/>
                <w:sz w:val="24"/>
              </w:rPr>
            </w:pPr>
            <w:r>
              <w:rPr>
                <w:rFonts w:hint="eastAsia" w:ascii="宋体" w:hAnsi="宋体" w:eastAsia="宋体" w:cs="宋体"/>
                <w:b/>
                <w:sz w:val="24"/>
              </w:rPr>
              <w:t>（2）如某项标识中包含多条技术参数或要求，则该项标识所含内容均需满足或优于谈判文件要求，否则不予认可。</w:t>
            </w:r>
          </w:p>
        </w:tc>
      </w:tr>
    </w:tbl>
    <w:p w14:paraId="0D91E453">
      <w:pPr>
        <w:spacing w:line="360" w:lineRule="auto"/>
        <w:ind w:firstLine="480" w:firstLineChars="200"/>
        <w:rPr>
          <w:rFonts w:ascii="宋体" w:hAnsi="宋体" w:eastAsia="宋体"/>
          <w:b/>
          <w:sz w:val="28"/>
          <w:szCs w:val="28"/>
        </w:rPr>
      </w:pPr>
      <w:r>
        <w:rPr>
          <w:rFonts w:hint="eastAsia" w:ascii="宋体" w:hAnsi="宋体" w:eastAsia="宋体" w:cs="宋体"/>
          <w:bCs/>
          <w:sz w:val="24"/>
          <w:szCs w:val="24"/>
        </w:rPr>
        <w:t>（二）货物参数</w:t>
      </w:r>
    </w:p>
    <w:tbl>
      <w:tblPr>
        <w:tblStyle w:val="4"/>
        <w:tblW w:w="8604" w:type="dxa"/>
        <w:jc w:val="center"/>
        <w:tblLayout w:type="fixed"/>
        <w:tblCellMar>
          <w:top w:w="0" w:type="dxa"/>
          <w:left w:w="108" w:type="dxa"/>
          <w:bottom w:w="0" w:type="dxa"/>
          <w:right w:w="108" w:type="dxa"/>
        </w:tblCellMar>
      </w:tblPr>
      <w:tblGrid>
        <w:gridCol w:w="666"/>
        <w:gridCol w:w="883"/>
        <w:gridCol w:w="5124"/>
        <w:gridCol w:w="589"/>
        <w:gridCol w:w="816"/>
        <w:gridCol w:w="526"/>
      </w:tblGrid>
      <w:tr w14:paraId="1502519E">
        <w:tblPrEx>
          <w:tblCellMar>
            <w:top w:w="0" w:type="dxa"/>
            <w:left w:w="108" w:type="dxa"/>
            <w:bottom w:w="0" w:type="dxa"/>
            <w:right w:w="108" w:type="dxa"/>
          </w:tblCellMar>
        </w:tblPrEx>
        <w:trPr>
          <w:trHeight w:val="480" w:hRule="atLeast"/>
          <w:jc w:val="center"/>
        </w:trPr>
        <w:tc>
          <w:tcPr>
            <w:tcW w:w="666" w:type="dxa"/>
            <w:tcBorders>
              <w:top w:val="single" w:color="000000" w:sz="4" w:space="0"/>
              <w:left w:val="single" w:color="000000" w:sz="4" w:space="0"/>
              <w:bottom w:val="single" w:color="000000" w:sz="4" w:space="0"/>
              <w:right w:val="single" w:color="000000" w:sz="4" w:space="0"/>
            </w:tcBorders>
            <w:noWrap/>
            <w:vAlign w:val="center"/>
          </w:tcPr>
          <w:p w14:paraId="26781780">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序号</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788EA3C1">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名称</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615D8C7A">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技术参数</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7443C71A">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单位</w:t>
            </w: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38DE6C00">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数量</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3E2C87B2">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备注</w:t>
            </w:r>
          </w:p>
        </w:tc>
      </w:tr>
      <w:tr w14:paraId="3E817316">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55A77CE4">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2F92860F">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LED显示屏</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3140B6A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r>
              <w:rPr>
                <w:rFonts w:hint="eastAsia" w:ascii="宋体" w:hAnsi="宋体" w:eastAsia="宋体" w:cs="宋体"/>
                <w:color w:val="000000"/>
                <w:kern w:val="0"/>
                <w:sz w:val="24"/>
                <w:szCs w:val="24"/>
                <w:lang w:val="en-US" w:eastAsia="zh-CN" w:bidi="ar"/>
              </w:rPr>
              <w:t>尺寸：含边框整屏尺寸不小于3.94mX2.66m，裸屏净尺寸不小于3.84mX2.56m；像素点间距：≤2.5mm。像素密度：不低于160000/㎡，模组分辨（W*H）：不低于128*64</w:t>
            </w:r>
            <w:r>
              <w:rPr>
                <w:rFonts w:hint="eastAsia" w:ascii="宋体" w:hAnsi="宋体" w:eastAsia="宋体" w:cs="宋体"/>
                <w:color w:val="000000"/>
                <w:kern w:val="0"/>
                <w:sz w:val="24"/>
                <w:szCs w:val="24"/>
                <w:lang w:bidi="ar"/>
              </w:rPr>
              <w:t>；</w:t>
            </w:r>
          </w:p>
          <w:p w14:paraId="0787665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2、视角（水平、垂直）不小于：H=171°V=169°；</w:t>
            </w:r>
          </w:p>
          <w:p w14:paraId="7A546D7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3、平整度：P=0.06mm；</w:t>
            </w:r>
          </w:p>
          <w:p w14:paraId="10BD57D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4、白平衡亮度:不低于600cd/㎡；</w:t>
            </w:r>
          </w:p>
          <w:p w14:paraId="37F3D77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w:t>
            </w:r>
            <w:r>
              <w:rPr>
                <w:rFonts w:hint="eastAsia" w:ascii="宋体" w:hAnsi="宋体" w:eastAsia="宋体" w:cs="宋体"/>
                <w:color w:val="000000"/>
                <w:kern w:val="0"/>
                <w:sz w:val="24"/>
                <w:szCs w:val="24"/>
                <w:lang w:val="en-US" w:eastAsia="zh-CN" w:bidi="ar"/>
              </w:rPr>
              <w:t>亮度调节功能：0-100%亮度可调，屏幕亮度具有随环境照度的变化任意调整功能</w:t>
            </w:r>
            <w:r>
              <w:rPr>
                <w:rFonts w:hint="eastAsia" w:ascii="宋体" w:hAnsi="宋体" w:eastAsia="宋体" w:cs="宋体"/>
                <w:color w:val="000000"/>
                <w:kern w:val="0"/>
                <w:sz w:val="24"/>
                <w:szCs w:val="24"/>
                <w:lang w:bidi="ar"/>
              </w:rPr>
              <w:t>；</w:t>
            </w:r>
          </w:p>
          <w:p w14:paraId="3FD5C01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6、换帧频率：不低于60HZ；</w:t>
            </w:r>
          </w:p>
          <w:p w14:paraId="2C3972E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★7、刷新频率：不低于3840.0HZ；</w:t>
            </w:r>
          </w:p>
          <w:p w14:paraId="3EAABC8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8、最大对比度：不低于8000.50:1；</w:t>
            </w:r>
          </w:p>
          <w:p w14:paraId="334C6EA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★9、色温：3000~21000可调；</w:t>
            </w:r>
          </w:p>
          <w:p w14:paraId="6F656A6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★10、最大功耗：≤600W/㎡；平均功耗：不高于200W/㎡；；</w:t>
            </w:r>
          </w:p>
          <w:p w14:paraId="3F478A9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11、亮度均匀性：Icu≥98%，色度均匀性±0.002Cx，Cy之内；</w:t>
            </w:r>
          </w:p>
          <w:p w14:paraId="1B324CC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★12、发光点间距偏差：JX≤2.5%；</w:t>
            </w:r>
          </w:p>
          <w:p w14:paraId="7A11420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★13、低亮高灰：100%高度时，16bit灰度；</w:t>
            </w:r>
          </w:p>
          <w:p w14:paraId="3A3970F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70%亮度时，16bit灰度；    </w:t>
            </w:r>
          </w:p>
          <w:p w14:paraId="5856149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50%亮度时，16bit灰度；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14.防潮工作运行：在 10%-90%的湿度环境下</w:t>
            </w:r>
          </w:p>
          <w:p w14:paraId="26DB4BD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检测工作正常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★15.产品应具有中国强制性产品认证 3C 证书、中国节能产品认证证书并提供证书复印件或影印件。</w:t>
            </w:r>
          </w:p>
          <w:p w14:paraId="3D47607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16.视觉舒适度：（VICO指数）范围在0-1级，满足CSA035.2-2017标准，通过光生物安全及蓝光危害评估无危害类检测。</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17.显示屏灯珠进行了耐焊耐热，冷热冲击，漏电等实验，显示正常。</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18.恒定湿热试验温度85℃在试验时间至少168h后无异常。</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73AAC7C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7E1B02C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10.48 </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0BC11266">
            <w:pPr>
              <w:jc w:val="center"/>
              <w:rPr>
                <w:rFonts w:ascii="宋体" w:hAnsi="宋体" w:eastAsia="宋体" w:cs="宋体"/>
                <w:color w:val="000000"/>
                <w:sz w:val="24"/>
                <w:szCs w:val="24"/>
              </w:rPr>
            </w:pPr>
          </w:p>
        </w:tc>
      </w:tr>
      <w:tr w14:paraId="12A8731B">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7CDFC20A">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712005C4">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视频处理器</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1205CA7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1.处理器需具有同步、异步（投屏）功能，需为高度集成化一体设计，不得使用分立式设备拼凑实现同步、异步（投屏）功能；</w:t>
            </w:r>
          </w:p>
          <w:p w14:paraId="2C03553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2.带载不低于1920*1080@60Hz分辨率的显示屏（点对点显示）；</w:t>
            </w:r>
          </w:p>
          <w:p w14:paraId="2E160C1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3.输出信号接口：LAN（RJ45）*4（带网口连接状态指示），可上下左右任意拼接；</w:t>
            </w:r>
          </w:p>
          <w:p w14:paraId="6E68B2C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4、整机最大分辨率不低于260万像素，可自定义分辨率，最宽不低于8192像素，最高不低于2160像素；</w:t>
            </w:r>
          </w:p>
          <w:p w14:paraId="04113DC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5.可monitor接口输出；   </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03EA408D">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2B427D17">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014EA801">
            <w:pPr>
              <w:jc w:val="center"/>
              <w:rPr>
                <w:rFonts w:ascii="宋体" w:hAnsi="宋体" w:eastAsia="宋体" w:cs="宋体"/>
                <w:color w:val="000000"/>
                <w:sz w:val="24"/>
                <w:szCs w:val="24"/>
              </w:rPr>
            </w:pPr>
          </w:p>
        </w:tc>
      </w:tr>
      <w:tr w14:paraId="4BD9BB24">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4A77377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4FC3A5C5">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配电柜及</w:t>
            </w:r>
          </w:p>
          <w:p w14:paraId="49E11542">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备品备件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61FA67C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1.金属外壳 冷轧钢板过塑</w:t>
            </w:r>
          </w:p>
          <w:p w14:paraId="165FDCF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2.安装方式 壁挂式控制方式 手动控制 本地按键 一键启动 停止</w:t>
            </w:r>
          </w:p>
          <w:p w14:paraId="2036CDB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时控控制 四组定时开关 时间段</w:t>
            </w:r>
          </w:p>
          <w:p w14:paraId="4FD57FD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遥控控制 空旷距离100米，拉伸遥控器天线</w:t>
            </w:r>
          </w:p>
          <w:p w14:paraId="5ED7A34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中控控制 MODBUS 485通信协议</w:t>
            </w:r>
          </w:p>
          <w:p w14:paraId="1FEEF42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设备联动 由电脑或视频处理器开关机联动配电箱开关</w:t>
            </w:r>
          </w:p>
          <w:p w14:paraId="79F3A79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电脑控制 专用智能配电箱软件接口功能 IN1 GND 外部多功能卡或远程开关量输入</w:t>
            </w:r>
          </w:p>
          <w:p w14:paraId="1B4892F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IN2 GND 外部浸水或烟雾传感器告警信号输入</w:t>
            </w:r>
          </w:p>
          <w:p w14:paraId="2DFB359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IN3 GND 外部电脑或视频处理器联动信号输入</w:t>
            </w:r>
          </w:p>
          <w:p w14:paraId="731C550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A+ B- 485协议总线，一条总线可挂载不少于255个配电箱(可独立或集中控制)</w:t>
            </w:r>
          </w:p>
          <w:p w14:paraId="56CBC59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3.零线温度传感器 热电偶 K型 （内置）输入接线 接线方式 国家标准3相5线制输入</w:t>
            </w:r>
          </w:p>
          <w:p w14:paraId="3FB4D20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输入电压 可选单相220V三相380V输入，50HZ/60HZ</w:t>
            </w:r>
          </w:p>
          <w:p w14:paraId="669A46C7">
            <w:pPr>
              <w:widowControl/>
              <w:jc w:val="left"/>
              <w:textAlignment w:val="center"/>
              <w:rPr>
                <w:rFonts w:hint="eastAsia" w:ascii="宋体" w:hAnsi="宋体" w:eastAsia="宋体" w:cs="宋体"/>
                <w:color w:val="FF0000"/>
                <w:kern w:val="0"/>
                <w:sz w:val="24"/>
                <w:szCs w:val="24"/>
                <w:lang w:bidi="ar"/>
              </w:rPr>
            </w:pPr>
            <w:r>
              <w:rPr>
                <w:rFonts w:hint="eastAsia" w:ascii="宋体" w:hAnsi="宋体" w:eastAsia="宋体" w:cs="宋体"/>
                <w:color w:val="000000"/>
                <w:kern w:val="0"/>
                <w:sz w:val="24"/>
                <w:szCs w:val="24"/>
                <w:lang w:bidi="ar"/>
              </w:rPr>
              <w:t>额定功</w:t>
            </w:r>
            <w:r>
              <w:rPr>
                <w:rFonts w:hint="eastAsia" w:ascii="宋体" w:hAnsi="宋体" w:eastAsia="宋体" w:cs="宋体"/>
                <w:kern w:val="0"/>
                <w:sz w:val="24"/>
                <w:szCs w:val="24"/>
                <w:lang w:bidi="ar"/>
              </w:rPr>
              <w:t xml:space="preserve">率15KW   </w:t>
            </w:r>
          </w:p>
          <w:p w14:paraId="22EDFF7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4.输出接线 接线方式 单相3线，L，N，PE   单相6线，L，N，PE</w:t>
            </w:r>
          </w:p>
          <w:p w14:paraId="3EED73C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输出电压 单相220V</w:t>
            </w:r>
          </w:p>
          <w:p w14:paraId="5F7029D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单路功率 不低于5KW (MAX25台 5V40A(200W) LED专用电源)</w:t>
            </w:r>
          </w:p>
          <w:p w14:paraId="5BF8295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输出路数  不少于3路 输出</w:t>
            </w:r>
          </w:p>
          <w:p w14:paraId="1342D5D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工作环境 温度 -10至40摄氏度</w:t>
            </w:r>
          </w:p>
          <w:p w14:paraId="1DF6D45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湿度 ≤80% RH</w:t>
            </w:r>
          </w:p>
          <w:p w14:paraId="26B225B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存储环境 温度 -10至80摄氏度</w:t>
            </w:r>
          </w:p>
          <w:p w14:paraId="4D52B50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湿度 ≤95% RH</w:t>
            </w:r>
          </w:p>
          <w:p w14:paraId="4B97AB89">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5.物理规格  260mm*184mm*67mm （各尺寸正负误差5mm</w:t>
            </w:r>
            <w:r>
              <w:rPr>
                <w:rFonts w:ascii="宋体" w:hAnsi="宋体" w:eastAsia="宋体" w:cs="宋体"/>
                <w:color w:val="000000"/>
                <w:kern w:val="0"/>
                <w:sz w:val="24"/>
                <w:szCs w:val="24"/>
                <w:lang w:bidi="ar"/>
              </w:rPr>
              <w:t>）</w:t>
            </w:r>
            <w:r>
              <w:rPr>
                <w:rFonts w:hint="eastAsia" w:ascii="宋体" w:hAnsi="宋体" w:eastAsia="宋体" w:cs="宋体"/>
                <w:color w:val="000000"/>
                <w:kern w:val="0"/>
                <w:sz w:val="24"/>
                <w:szCs w:val="24"/>
                <w:lang w:bidi="ar"/>
              </w:rPr>
              <w:t xml:space="preserve">                                             </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27BAC6B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套</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1B48E25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1B87704A">
            <w:pPr>
              <w:jc w:val="center"/>
              <w:rPr>
                <w:rFonts w:ascii="宋体" w:hAnsi="宋体" w:eastAsia="宋体" w:cs="宋体"/>
                <w:color w:val="000000"/>
                <w:sz w:val="24"/>
                <w:szCs w:val="24"/>
              </w:rPr>
            </w:pPr>
          </w:p>
        </w:tc>
      </w:tr>
      <w:tr w14:paraId="4B5F35B7">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72775BBC">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4C96E2A7">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服务及配件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3548657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含LED屏的工程结构、包边装饰、专用线材、售后服务、技术支持、操作人员培训等。</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189614A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2AA2A01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10.48 </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352B3A29">
            <w:pPr>
              <w:jc w:val="center"/>
              <w:rPr>
                <w:rFonts w:ascii="宋体" w:hAnsi="宋体" w:eastAsia="宋体" w:cs="宋体"/>
                <w:color w:val="000000"/>
                <w:sz w:val="24"/>
                <w:szCs w:val="24"/>
              </w:rPr>
            </w:pPr>
          </w:p>
        </w:tc>
      </w:tr>
    </w:tbl>
    <w:p w14:paraId="3916EF3F">
      <w:pPr>
        <w:wordWrap w:val="0"/>
        <w:spacing w:line="360" w:lineRule="auto"/>
        <w:ind w:firstLine="437"/>
        <w:rPr>
          <w:rFonts w:hint="eastAsia" w:ascii="宋体" w:hAnsi="宋体" w:eastAsia="宋体"/>
          <w:b/>
          <w:sz w:val="28"/>
          <w:szCs w:val="28"/>
        </w:rPr>
      </w:pPr>
      <w:r>
        <w:rPr>
          <w:rFonts w:hint="eastAsia" w:ascii="宋体" w:hAnsi="宋体" w:eastAsia="宋体"/>
          <w:b/>
          <w:sz w:val="28"/>
          <w:szCs w:val="28"/>
        </w:rPr>
        <w:t>三、报价要求</w:t>
      </w:r>
    </w:p>
    <w:p w14:paraId="0158C7DF">
      <w:pPr>
        <w:wordWrap w:val="0"/>
        <w:spacing w:line="360" w:lineRule="auto"/>
        <w:ind w:firstLine="437"/>
        <w:rPr>
          <w:rFonts w:hint="eastAsia" w:ascii="宋体" w:hAnsi="宋体" w:eastAsia="宋体"/>
          <w:sz w:val="24"/>
        </w:rPr>
      </w:pPr>
      <w:r>
        <w:rPr>
          <w:rFonts w:hint="eastAsia" w:ascii="宋体" w:hAnsi="宋体" w:eastAsia="宋体"/>
          <w:sz w:val="24"/>
        </w:rPr>
        <w:t>本项目报总价，报价即完成本项目所需内容的所有费用，成交后采购人不再另行支付任何费用。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B691EC8-2878-44C3-ACDC-8C261E79FB2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embedRegular r:id="rId2" w:fontKey="{605AC894-1BF4-4D84-829F-D59DDA8770C6}"/>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A4546C"/>
    <w:rsid w:val="25A454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uiPriority w:val="99"/>
    <w:pPr>
      <w:jc w:val="left"/>
    </w:p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2025-10-17T02:03:00Z</dcterms:created>
  <dc:creator>14353</dc:creator>
  <cp:lastModifiedBy>14353</cp:lastModifiedBy>
  <dcterms:modified xsi:type="dcterms:W3CDTF">2025-10-17T02:04:31Z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673E67D666C8480599B9C3C96B786928_11</vt:lpwstr>
  </property>
  <property fmtid="{D5CDD505-2E9C-101B-9397-08002B2CF9AE}" pid="4" name="KSOTemplateDocerSaveRecord">
    <vt:lpwstr>eyJoZGlkIjoiN2YzNjBkOTgyNWQ1YTMxYzM3MzMwNWFiODNmOWIzYWMiLCJ1c2VySWQiOiIzMDY4OTk3NTIifQ==</vt:lpwstr>
  </property>
</Properties>
</file>