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F7DC73">
      <w:pPr>
        <w:wordWrap w:val="0"/>
        <w:spacing w:line="360" w:lineRule="auto"/>
        <w:jc w:val="center"/>
        <w:outlineLvl w:val="1"/>
        <w:rPr>
          <w:rFonts w:ascii="华文中宋" w:hAnsi="华文中宋" w:eastAsia="华文中宋" w:cs="Times New Roman"/>
          <w:b/>
          <w:bCs/>
          <w:kern w:val="44"/>
          <w:sz w:val="44"/>
          <w:szCs w:val="44"/>
        </w:rPr>
      </w:pPr>
      <w:r>
        <w:rPr>
          <w:rFonts w:hint="eastAsia" w:ascii="华文中宋" w:hAnsi="华文中宋" w:eastAsia="华文中宋" w:cs="Times New Roman"/>
          <w:b/>
          <w:bCs/>
          <w:kern w:val="44"/>
          <w:sz w:val="44"/>
          <w:szCs w:val="44"/>
        </w:rPr>
        <w:t>第三章  采购需求</w:t>
      </w:r>
    </w:p>
    <w:p w14:paraId="12F0400A">
      <w:pPr>
        <w:wordWrap w:val="0"/>
        <w:spacing w:line="440" w:lineRule="exact"/>
        <w:jc w:val="left"/>
        <w:rPr>
          <w:rFonts w:ascii="宋体" w:hAnsi="宋体" w:eastAsia="宋体"/>
          <w:b/>
          <w:sz w:val="24"/>
        </w:rPr>
      </w:pPr>
      <w:r>
        <w:rPr>
          <w:rFonts w:hint="eastAsia" w:ascii="宋体" w:hAnsi="宋体" w:eastAsia="宋体"/>
          <w:b/>
          <w:sz w:val="24"/>
        </w:rPr>
        <w:t>前注：</w:t>
      </w:r>
    </w:p>
    <w:p w14:paraId="29704276">
      <w:pPr>
        <w:wordWrap w:val="0"/>
        <w:spacing w:line="440" w:lineRule="exact"/>
        <w:ind w:firstLine="437"/>
        <w:jc w:val="left"/>
        <w:rPr>
          <w:rFonts w:ascii="宋体" w:hAnsi="宋体" w:eastAsia="宋体"/>
          <w:sz w:val="24"/>
        </w:rPr>
      </w:pPr>
      <w:r>
        <w:rPr>
          <w:rFonts w:hint="eastAsia" w:ascii="宋体" w:hAnsi="宋体" w:eastAsia="宋体"/>
          <w:sz w:val="24"/>
        </w:rPr>
        <w:t>1.</w:t>
      </w:r>
      <w:r>
        <w:rPr>
          <w:rFonts w:ascii="宋体" w:hAnsi="宋体" w:eastAsia="宋体"/>
          <w:sz w:val="24"/>
        </w:rPr>
        <w:t>本说明中提出的</w:t>
      </w:r>
      <w:r>
        <w:rPr>
          <w:rFonts w:hint="eastAsia" w:ascii="宋体" w:hAnsi="宋体" w:eastAsia="宋体"/>
          <w:sz w:val="24"/>
        </w:rPr>
        <w:t>服务</w:t>
      </w:r>
      <w:r>
        <w:rPr>
          <w:rFonts w:ascii="宋体" w:hAnsi="宋体" w:eastAsia="宋体"/>
          <w:sz w:val="24"/>
        </w:rPr>
        <w:t>方案仅为参考，如无明确限制，供应商可以进行优化，提供满足用户实际需要的更优（或者性能实质上不低于的）</w:t>
      </w:r>
      <w:r>
        <w:rPr>
          <w:rFonts w:hint="eastAsia" w:ascii="宋体" w:hAnsi="宋体" w:eastAsia="宋体"/>
          <w:sz w:val="24"/>
        </w:rPr>
        <w:t>服务</w:t>
      </w:r>
      <w:r>
        <w:rPr>
          <w:rFonts w:ascii="宋体" w:hAnsi="宋体" w:eastAsia="宋体"/>
          <w:sz w:val="24"/>
        </w:rPr>
        <w:t>方案，且此方案须经</w:t>
      </w:r>
      <w:r>
        <w:rPr>
          <w:rFonts w:hint="eastAsia" w:ascii="宋体" w:hAnsi="宋体" w:eastAsia="宋体"/>
          <w:sz w:val="24"/>
          <w:lang w:eastAsia="zh-CN"/>
        </w:rPr>
        <w:t>比选</w:t>
      </w:r>
      <w:r>
        <w:rPr>
          <w:rFonts w:ascii="宋体" w:hAnsi="宋体" w:eastAsia="宋体"/>
          <w:sz w:val="24"/>
        </w:rPr>
        <w:t>小组评审认可</w:t>
      </w:r>
      <w:r>
        <w:rPr>
          <w:rFonts w:hint="eastAsia" w:ascii="宋体" w:hAnsi="宋体" w:eastAsia="宋体"/>
          <w:sz w:val="24"/>
        </w:rPr>
        <w:t>。</w:t>
      </w:r>
    </w:p>
    <w:p w14:paraId="76170850">
      <w:pPr>
        <w:wordWrap w:val="0"/>
        <w:spacing w:line="440" w:lineRule="exact"/>
        <w:ind w:firstLine="437"/>
        <w:jc w:val="left"/>
        <w:rPr>
          <w:rFonts w:ascii="宋体" w:hAnsi="宋体" w:eastAsia="宋体"/>
          <w:b/>
          <w:sz w:val="28"/>
          <w:szCs w:val="28"/>
        </w:rPr>
      </w:pPr>
      <w:r>
        <w:rPr>
          <w:rFonts w:hint="eastAsia" w:ascii="宋体" w:hAnsi="宋体" w:eastAsia="宋体"/>
          <w:b/>
          <w:sz w:val="28"/>
          <w:szCs w:val="28"/>
        </w:rPr>
        <w:t>一、采购需求前附表</w:t>
      </w:r>
    </w:p>
    <w:tbl>
      <w:tblPr>
        <w:tblStyle w:val="4"/>
        <w:tblW w:w="8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2025"/>
        <w:gridCol w:w="5466"/>
      </w:tblGrid>
      <w:tr w14:paraId="2D27F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5AFA392B">
            <w:pPr>
              <w:pStyle w:val="6"/>
              <w:pBdr>
                <w:bottom w:val="none" w:color="auto" w:sz="0" w:space="0"/>
              </w:pBdr>
              <w:tabs>
                <w:tab w:val="clear" w:pos="4153"/>
                <w:tab w:val="clear" w:pos="8306"/>
              </w:tabs>
              <w:wordWrap w:val="0"/>
              <w:adjustRightInd/>
              <w:spacing w:line="440" w:lineRule="exact"/>
              <w:textAlignment w:val="auto"/>
              <w:rPr>
                <w:rFonts w:ascii="宋体" w:hAnsi="宋体" w:eastAsia="宋体"/>
                <w:b/>
                <w:kern w:val="2"/>
              </w:rPr>
            </w:pPr>
            <w:r>
              <w:rPr>
                <w:rFonts w:hint="eastAsia" w:ascii="宋体" w:hAnsi="宋体" w:eastAsia="宋体"/>
                <w:b/>
                <w:kern w:val="2"/>
              </w:rPr>
              <w:t>序号</w:t>
            </w:r>
          </w:p>
        </w:tc>
        <w:tc>
          <w:tcPr>
            <w:tcW w:w="2025" w:type="dxa"/>
            <w:vAlign w:val="center"/>
          </w:tcPr>
          <w:p w14:paraId="7385648D">
            <w:pPr>
              <w:pStyle w:val="7"/>
              <w:widowControl w:val="0"/>
              <w:wordWrap w:val="0"/>
              <w:spacing w:before="0" w:beforeAutospacing="0" w:after="0" w:afterAutospacing="0" w:line="440" w:lineRule="exact"/>
              <w:rPr>
                <w:rFonts w:ascii="宋体" w:hAnsi="宋体" w:eastAsia="宋体"/>
                <w:bCs w:val="0"/>
                <w:sz w:val="24"/>
              </w:rPr>
            </w:pPr>
            <w:r>
              <w:rPr>
                <w:rFonts w:hint="eastAsia" w:ascii="宋体" w:hAnsi="宋体" w:eastAsia="宋体"/>
                <w:bCs w:val="0"/>
                <w:sz w:val="24"/>
              </w:rPr>
              <w:t>内容</w:t>
            </w:r>
          </w:p>
        </w:tc>
        <w:tc>
          <w:tcPr>
            <w:tcW w:w="5466" w:type="dxa"/>
            <w:vAlign w:val="center"/>
          </w:tcPr>
          <w:p w14:paraId="21160745">
            <w:pPr>
              <w:pStyle w:val="7"/>
              <w:widowControl w:val="0"/>
              <w:wordWrap w:val="0"/>
              <w:spacing w:before="0" w:beforeAutospacing="0" w:after="0" w:afterAutospacing="0" w:line="440" w:lineRule="exact"/>
              <w:rPr>
                <w:rFonts w:ascii="宋体" w:hAnsi="宋体" w:eastAsia="宋体"/>
                <w:bCs w:val="0"/>
                <w:sz w:val="24"/>
              </w:rPr>
            </w:pPr>
            <w:r>
              <w:rPr>
                <w:rFonts w:hint="eastAsia" w:ascii="宋体" w:hAnsi="宋体" w:eastAsia="宋体"/>
                <w:bCs w:val="0"/>
                <w:sz w:val="24"/>
              </w:rPr>
              <w:t>说明与要求</w:t>
            </w:r>
          </w:p>
        </w:tc>
      </w:tr>
      <w:tr w14:paraId="77B13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4A86EF16">
            <w:pPr>
              <w:pStyle w:val="6"/>
              <w:pBdr>
                <w:bottom w:val="none" w:color="auto" w:sz="0" w:space="0"/>
              </w:pBdr>
              <w:tabs>
                <w:tab w:val="clear" w:pos="4153"/>
                <w:tab w:val="clear" w:pos="8306"/>
              </w:tabs>
              <w:wordWrap w:val="0"/>
              <w:adjustRightInd/>
              <w:spacing w:line="440" w:lineRule="exact"/>
              <w:textAlignment w:val="auto"/>
              <w:rPr>
                <w:rFonts w:ascii="宋体" w:hAnsi="宋体" w:eastAsia="宋体"/>
                <w:bCs/>
                <w:kern w:val="2"/>
              </w:rPr>
            </w:pPr>
            <w:r>
              <w:rPr>
                <w:rFonts w:hint="eastAsia" w:ascii="宋体" w:hAnsi="宋体" w:eastAsia="宋体"/>
                <w:bCs/>
                <w:kern w:val="2"/>
              </w:rPr>
              <w:t>1</w:t>
            </w:r>
          </w:p>
        </w:tc>
        <w:tc>
          <w:tcPr>
            <w:tcW w:w="2025" w:type="dxa"/>
            <w:vAlign w:val="center"/>
          </w:tcPr>
          <w:p w14:paraId="1F9CFE65">
            <w:pPr>
              <w:pStyle w:val="7"/>
              <w:widowControl w:val="0"/>
              <w:wordWrap w:val="0"/>
              <w:spacing w:before="0" w:beforeAutospacing="0" w:after="0" w:afterAutospacing="0" w:line="440" w:lineRule="exact"/>
              <w:rPr>
                <w:rFonts w:ascii="宋体" w:hAnsi="宋体" w:eastAsia="宋体"/>
                <w:b w:val="0"/>
                <w:sz w:val="24"/>
              </w:rPr>
            </w:pPr>
            <w:r>
              <w:rPr>
                <w:rFonts w:hint="eastAsia" w:ascii="宋体" w:hAnsi="宋体" w:eastAsia="宋体"/>
                <w:b w:val="0"/>
                <w:sz w:val="24"/>
              </w:rPr>
              <w:t>付款方式</w:t>
            </w:r>
          </w:p>
        </w:tc>
        <w:tc>
          <w:tcPr>
            <w:tcW w:w="5466" w:type="dxa"/>
            <w:vAlign w:val="center"/>
          </w:tcPr>
          <w:p w14:paraId="0D30D7D9">
            <w:pPr>
              <w:spacing w:line="360" w:lineRule="auto"/>
              <w:jc w:val="left"/>
              <w:rPr>
                <w:rFonts w:hint="eastAsia" w:ascii="宋体" w:hAnsi="宋体" w:eastAsia="宋体" w:cs="宋体"/>
                <w:sz w:val="24"/>
                <w:szCs w:val="24"/>
                <w:lang w:val="zh-CN" w:eastAsia="zh-CN"/>
              </w:rPr>
            </w:pPr>
            <w:r>
              <w:rPr>
                <w:rFonts w:hint="eastAsia" w:ascii="宋体" w:hAnsi="宋体" w:eastAsia="宋体" w:cs="宋体"/>
                <w:sz w:val="24"/>
                <w:szCs w:val="24"/>
                <w:lang w:val="en-US" w:eastAsia="zh-CN"/>
              </w:rPr>
              <w:t>合同签订后，支付当年合同款的60%，服务期满后支付服务周期内剩余金额。</w:t>
            </w:r>
          </w:p>
          <w:p w14:paraId="1BE79150">
            <w:pPr>
              <w:pStyle w:val="7"/>
              <w:widowControl w:val="0"/>
              <w:spacing w:before="0" w:beforeAutospacing="0" w:after="0" w:afterAutospacing="0" w:line="360" w:lineRule="auto"/>
              <w:jc w:val="both"/>
              <w:rPr>
                <w:rFonts w:ascii="宋体" w:hAnsi="宋体" w:eastAsia="宋体" w:cs="宋体"/>
                <w:b w:val="0"/>
                <w:sz w:val="24"/>
                <w:szCs w:val="24"/>
              </w:rPr>
            </w:pPr>
            <w:bookmarkStart w:id="0" w:name="OLE_LINK4"/>
            <w:r>
              <w:rPr>
                <w:rFonts w:hint="eastAsia" w:ascii="宋体" w:hAnsi="宋体" w:eastAsia="宋体" w:cs="宋体"/>
                <w:b/>
                <w:bCs/>
                <w:sz w:val="24"/>
                <w:szCs w:val="24"/>
                <w:lang w:val="en-US" w:eastAsia="zh-CN"/>
              </w:rPr>
              <w:t>供应商提交的响应文件中如有关于付款条件的表述与采购文件规定不符，将被视为实质性不响应，将导致响应无效。</w:t>
            </w:r>
            <w:bookmarkEnd w:id="0"/>
          </w:p>
        </w:tc>
      </w:tr>
      <w:tr w14:paraId="582B9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1B1739CE">
            <w:pPr>
              <w:pStyle w:val="6"/>
              <w:pBdr>
                <w:bottom w:val="none" w:color="auto" w:sz="0" w:space="0"/>
              </w:pBdr>
              <w:tabs>
                <w:tab w:val="clear" w:pos="4153"/>
                <w:tab w:val="clear" w:pos="8306"/>
              </w:tabs>
              <w:wordWrap w:val="0"/>
              <w:adjustRightInd/>
              <w:spacing w:line="440" w:lineRule="exact"/>
              <w:textAlignment w:val="auto"/>
              <w:rPr>
                <w:rFonts w:ascii="宋体" w:hAnsi="宋体" w:eastAsia="宋体"/>
                <w:bCs/>
                <w:kern w:val="2"/>
              </w:rPr>
            </w:pPr>
            <w:r>
              <w:rPr>
                <w:rFonts w:hint="eastAsia" w:ascii="宋体" w:hAnsi="宋体" w:eastAsia="宋体"/>
                <w:bCs/>
                <w:kern w:val="2"/>
              </w:rPr>
              <w:t>2</w:t>
            </w:r>
          </w:p>
        </w:tc>
        <w:tc>
          <w:tcPr>
            <w:tcW w:w="2025" w:type="dxa"/>
            <w:vAlign w:val="center"/>
          </w:tcPr>
          <w:p w14:paraId="5E201F70">
            <w:pPr>
              <w:pStyle w:val="7"/>
              <w:widowControl w:val="0"/>
              <w:wordWrap w:val="0"/>
              <w:spacing w:before="0" w:beforeAutospacing="0" w:after="0" w:afterAutospacing="0" w:line="440" w:lineRule="exact"/>
              <w:rPr>
                <w:rFonts w:ascii="宋体" w:hAnsi="宋体" w:eastAsia="宋体"/>
                <w:b w:val="0"/>
                <w:sz w:val="24"/>
              </w:rPr>
            </w:pPr>
            <w:r>
              <w:rPr>
                <w:rFonts w:hint="eastAsia" w:ascii="宋体" w:hAnsi="宋体" w:eastAsia="宋体"/>
                <w:b w:val="0"/>
                <w:sz w:val="24"/>
              </w:rPr>
              <w:t>服务地点</w:t>
            </w:r>
          </w:p>
        </w:tc>
        <w:tc>
          <w:tcPr>
            <w:tcW w:w="5466" w:type="dxa"/>
            <w:vAlign w:val="center"/>
          </w:tcPr>
          <w:p w14:paraId="13DEA57B">
            <w:pPr>
              <w:pStyle w:val="7"/>
              <w:widowControl w:val="0"/>
              <w:spacing w:before="0" w:beforeAutospacing="0" w:after="0" w:afterAutospacing="0" w:line="360" w:lineRule="auto"/>
              <w:jc w:val="both"/>
              <w:rPr>
                <w:rFonts w:ascii="宋体" w:hAnsi="宋体" w:eastAsia="宋体" w:cs="宋体"/>
                <w:b w:val="0"/>
                <w:sz w:val="24"/>
                <w:szCs w:val="24"/>
              </w:rPr>
            </w:pPr>
            <w:r>
              <w:rPr>
                <w:rFonts w:hint="eastAsia" w:ascii="宋体" w:hAnsi="宋体" w:eastAsia="宋体" w:cs="宋体"/>
                <w:b w:val="0"/>
                <w:sz w:val="24"/>
                <w:szCs w:val="24"/>
              </w:rPr>
              <w:t>安徽省疾病预防控制中心或采购人指定地点。</w:t>
            </w:r>
          </w:p>
        </w:tc>
      </w:tr>
      <w:tr w14:paraId="77909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0B68022B">
            <w:pPr>
              <w:pStyle w:val="6"/>
              <w:pBdr>
                <w:bottom w:val="none" w:color="auto" w:sz="0" w:space="0"/>
              </w:pBdr>
              <w:tabs>
                <w:tab w:val="clear" w:pos="4153"/>
                <w:tab w:val="clear" w:pos="8306"/>
              </w:tabs>
              <w:wordWrap w:val="0"/>
              <w:adjustRightInd/>
              <w:spacing w:line="440" w:lineRule="exact"/>
              <w:textAlignment w:val="auto"/>
              <w:rPr>
                <w:rFonts w:ascii="宋体" w:hAnsi="宋体" w:eastAsia="宋体"/>
                <w:bCs/>
                <w:kern w:val="2"/>
              </w:rPr>
            </w:pPr>
            <w:r>
              <w:rPr>
                <w:rFonts w:hint="eastAsia" w:ascii="宋体" w:hAnsi="宋体" w:eastAsia="宋体"/>
                <w:bCs/>
                <w:kern w:val="2"/>
              </w:rPr>
              <w:t>3</w:t>
            </w:r>
          </w:p>
        </w:tc>
        <w:tc>
          <w:tcPr>
            <w:tcW w:w="2025" w:type="dxa"/>
            <w:vAlign w:val="center"/>
          </w:tcPr>
          <w:p w14:paraId="350786DF">
            <w:pPr>
              <w:pStyle w:val="7"/>
              <w:widowControl w:val="0"/>
              <w:wordWrap w:val="0"/>
              <w:spacing w:before="0" w:beforeAutospacing="0" w:after="0" w:afterAutospacing="0" w:line="440" w:lineRule="exact"/>
              <w:rPr>
                <w:rFonts w:ascii="宋体" w:hAnsi="宋体" w:eastAsia="宋体"/>
                <w:b w:val="0"/>
                <w:sz w:val="24"/>
              </w:rPr>
            </w:pPr>
            <w:r>
              <w:rPr>
                <w:rFonts w:hint="eastAsia" w:ascii="宋体" w:hAnsi="宋体" w:eastAsia="宋体"/>
                <w:b w:val="0"/>
                <w:sz w:val="24"/>
              </w:rPr>
              <w:t>服务期限</w:t>
            </w:r>
          </w:p>
        </w:tc>
        <w:tc>
          <w:tcPr>
            <w:tcW w:w="5466" w:type="dxa"/>
            <w:vAlign w:val="center"/>
          </w:tcPr>
          <w:p w14:paraId="748D8223">
            <w:pPr>
              <w:pStyle w:val="2"/>
              <w:spacing w:line="360" w:lineRule="auto"/>
              <w:rPr>
                <w:rFonts w:ascii="宋体" w:hAnsi="宋体" w:eastAsia="宋体" w:cs="宋体"/>
                <w:bCs/>
                <w:kern w:val="0"/>
                <w:sz w:val="24"/>
                <w:szCs w:val="24"/>
              </w:rPr>
            </w:pPr>
            <w:r>
              <w:rPr>
                <w:rFonts w:hint="eastAsia" w:ascii="宋体" w:hAnsi="宋体" w:eastAsia="宋体" w:cs="宋体"/>
                <w:bCs/>
                <w:kern w:val="0"/>
                <w:sz w:val="24"/>
                <w:szCs w:val="24"/>
                <w:lang w:val="en-US" w:eastAsia="zh-CN"/>
              </w:rPr>
              <w:t>合同签订之日起2年，本项目采用2+1模式，成交供应商在本服务期内履约良好，合同到期后经双方同意，且年度预算能保障的前提下，续签下一年合同，价格不变，最多续签1次，总服务期不超过三年</w:t>
            </w:r>
            <w:r>
              <w:rPr>
                <w:rFonts w:hint="eastAsia" w:ascii="宋体" w:hAnsi="宋体" w:eastAsia="宋体" w:cs="宋体"/>
                <w:bCs/>
                <w:kern w:val="0"/>
                <w:sz w:val="24"/>
                <w:szCs w:val="24"/>
              </w:rPr>
              <w:t>。</w:t>
            </w:r>
          </w:p>
        </w:tc>
      </w:tr>
      <w:tr w14:paraId="0580A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2CC555AD">
            <w:pPr>
              <w:pStyle w:val="6"/>
              <w:pBdr>
                <w:bottom w:val="none" w:color="auto" w:sz="0" w:space="0"/>
              </w:pBdr>
              <w:tabs>
                <w:tab w:val="clear" w:pos="4153"/>
                <w:tab w:val="clear" w:pos="8306"/>
              </w:tabs>
              <w:wordWrap w:val="0"/>
              <w:adjustRightInd/>
              <w:spacing w:line="440" w:lineRule="exact"/>
              <w:textAlignment w:val="auto"/>
              <w:rPr>
                <w:rFonts w:hint="eastAsia" w:ascii="宋体" w:hAnsi="宋体" w:eastAsia="宋体"/>
                <w:bCs/>
                <w:kern w:val="2"/>
                <w:lang w:val="en-US" w:eastAsia="zh-CN"/>
              </w:rPr>
            </w:pPr>
            <w:r>
              <w:rPr>
                <w:rFonts w:hint="eastAsia" w:ascii="宋体" w:hAnsi="宋体" w:eastAsia="宋体"/>
                <w:bCs/>
                <w:kern w:val="2"/>
                <w:lang w:val="en-US" w:eastAsia="zh-CN"/>
              </w:rPr>
              <w:t>4</w:t>
            </w:r>
          </w:p>
        </w:tc>
        <w:tc>
          <w:tcPr>
            <w:tcW w:w="2025" w:type="dxa"/>
            <w:vAlign w:val="center"/>
          </w:tcPr>
          <w:p w14:paraId="3CBF5B03">
            <w:pPr>
              <w:pStyle w:val="7"/>
              <w:widowControl w:val="0"/>
              <w:wordWrap w:val="0"/>
              <w:spacing w:before="0" w:beforeAutospacing="0" w:after="0" w:afterAutospacing="0" w:line="440" w:lineRule="exact"/>
              <w:rPr>
                <w:rFonts w:hint="eastAsia" w:ascii="宋体" w:hAnsi="宋体" w:eastAsia="宋体"/>
                <w:b w:val="0"/>
                <w:sz w:val="24"/>
              </w:rPr>
            </w:pPr>
            <w:r>
              <w:rPr>
                <w:rFonts w:hint="eastAsia" w:ascii="宋体" w:hAnsi="宋体" w:eastAsia="宋体"/>
                <w:b w:val="0"/>
                <w:sz w:val="24"/>
                <w:lang w:val="en-US" w:eastAsia="zh-CN"/>
              </w:rPr>
              <w:t>人员到岗期限</w:t>
            </w:r>
          </w:p>
        </w:tc>
        <w:tc>
          <w:tcPr>
            <w:tcW w:w="5466" w:type="dxa"/>
            <w:vAlign w:val="center"/>
          </w:tcPr>
          <w:p w14:paraId="29E5A2D5">
            <w:pPr>
              <w:pStyle w:val="2"/>
              <w:spacing w:line="360" w:lineRule="auto"/>
              <w:rPr>
                <w:rFonts w:hint="eastAsia" w:ascii="宋体" w:hAnsi="宋体" w:eastAsia="宋体" w:cs="宋体"/>
                <w:bCs/>
                <w:kern w:val="0"/>
                <w:sz w:val="24"/>
                <w:szCs w:val="24"/>
                <w:lang w:val="en-US" w:eastAsia="zh-CN"/>
              </w:rPr>
            </w:pPr>
            <w:r>
              <w:rPr>
                <w:rFonts w:hint="eastAsia" w:ascii="宋体" w:hAnsi="宋体" w:eastAsia="宋体" w:cs="宋体"/>
                <w:bCs/>
                <w:kern w:val="0"/>
                <w:sz w:val="24"/>
                <w:szCs w:val="24"/>
                <w:lang w:val="en-US" w:eastAsia="zh-CN"/>
              </w:rPr>
              <w:t>成交供应商需在签订合同后三个工作日内安排人员到岗</w:t>
            </w:r>
          </w:p>
        </w:tc>
      </w:tr>
    </w:tbl>
    <w:p w14:paraId="7C6F8A8D">
      <w:pPr>
        <w:wordWrap w:val="0"/>
        <w:spacing w:line="440" w:lineRule="exact"/>
        <w:ind w:firstLine="437"/>
        <w:jc w:val="left"/>
        <w:rPr>
          <w:rFonts w:hint="default" w:ascii="宋体" w:hAnsi="宋体" w:eastAsia="宋体"/>
          <w:b/>
          <w:sz w:val="28"/>
          <w:szCs w:val="28"/>
          <w:lang w:val="en-US" w:eastAsia="zh-CN"/>
        </w:rPr>
      </w:pPr>
      <w:r>
        <w:rPr>
          <w:rFonts w:hint="eastAsia" w:ascii="宋体" w:hAnsi="宋体" w:eastAsia="宋体"/>
          <w:b/>
          <w:sz w:val="28"/>
          <w:szCs w:val="28"/>
        </w:rPr>
        <w:t>二、</w:t>
      </w:r>
      <w:r>
        <w:rPr>
          <w:rFonts w:hint="eastAsia" w:ascii="宋体" w:hAnsi="宋体" w:eastAsia="宋体"/>
          <w:b/>
          <w:sz w:val="28"/>
          <w:szCs w:val="28"/>
          <w:lang w:val="en-US" w:eastAsia="zh-CN"/>
        </w:rPr>
        <w:t>服务需求</w:t>
      </w:r>
    </w:p>
    <w:tbl>
      <w:tblPr>
        <w:tblStyle w:val="4"/>
        <w:tblW w:w="8465" w:type="dxa"/>
        <w:jc w:val="center"/>
        <w:tblLayout w:type="fixed"/>
        <w:tblCellMar>
          <w:top w:w="80" w:type="dxa"/>
          <w:left w:w="102" w:type="dxa"/>
          <w:bottom w:w="80" w:type="dxa"/>
          <w:right w:w="102" w:type="dxa"/>
        </w:tblCellMar>
      </w:tblPr>
      <w:tblGrid>
        <w:gridCol w:w="744"/>
        <w:gridCol w:w="1374"/>
        <w:gridCol w:w="4822"/>
        <w:gridCol w:w="745"/>
        <w:gridCol w:w="780"/>
      </w:tblGrid>
      <w:tr w14:paraId="3887FDAF">
        <w:tblPrEx>
          <w:tblCellMar>
            <w:top w:w="80" w:type="dxa"/>
            <w:left w:w="102" w:type="dxa"/>
            <w:bottom w:w="80" w:type="dxa"/>
            <w:right w:w="102" w:type="dxa"/>
          </w:tblCellMar>
        </w:tblPrEx>
        <w:trPr>
          <w:trHeight w:val="0" w:hRule="atLeast"/>
          <w:jc w:val="center"/>
        </w:trPr>
        <w:tc>
          <w:tcPr>
            <w:tcW w:w="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60952">
            <w:pPr>
              <w:widowControl/>
              <w:snapToGrid w:val="0"/>
              <w:spacing w:line="360" w:lineRule="auto"/>
              <w:jc w:val="center"/>
              <w:textAlignment w:val="center"/>
              <w:rPr>
                <w:rFonts w:hint="eastAsia" w:ascii="宋体" w:hAnsi="宋体" w:eastAsia="宋体" w:cs="宋体"/>
                <w:b/>
                <w:color w:val="000000"/>
                <w:sz w:val="24"/>
                <w:szCs w:val="24"/>
                <w:lang w:eastAsia="zh-CN"/>
              </w:rPr>
            </w:pPr>
            <w:r>
              <w:rPr>
                <w:rFonts w:hint="eastAsia" w:ascii="宋体" w:hAnsi="宋体" w:eastAsia="宋体" w:cs="宋体"/>
                <w:b/>
                <w:color w:val="000000"/>
                <w:kern w:val="0"/>
                <w:sz w:val="24"/>
                <w:szCs w:val="24"/>
                <w:lang w:eastAsia="zh-CN"/>
              </w:rPr>
              <w:t>序号</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3CAAE">
            <w:pPr>
              <w:widowControl/>
              <w:snapToGrid w:val="0"/>
              <w:spacing w:line="360" w:lineRule="auto"/>
              <w:jc w:val="center"/>
              <w:textAlignment w:val="center"/>
              <w:rPr>
                <w:rFonts w:hint="eastAsia" w:ascii="宋体" w:hAnsi="宋体" w:eastAsia="宋体" w:cs="宋体"/>
                <w:b/>
                <w:color w:val="000000"/>
                <w:sz w:val="24"/>
                <w:szCs w:val="24"/>
                <w:lang w:eastAsia="zh-CN"/>
              </w:rPr>
            </w:pPr>
            <w:r>
              <w:rPr>
                <w:rFonts w:hint="eastAsia" w:ascii="宋体" w:hAnsi="宋体" w:eastAsia="宋体" w:cs="宋体"/>
                <w:b/>
                <w:color w:val="000000"/>
                <w:kern w:val="0"/>
                <w:sz w:val="24"/>
                <w:szCs w:val="24"/>
                <w:lang w:eastAsia="zh-CN"/>
              </w:rPr>
              <w:t>服务名称</w:t>
            </w:r>
          </w:p>
        </w:tc>
        <w:tc>
          <w:tcPr>
            <w:tcW w:w="48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6F701">
            <w:pPr>
              <w:widowControl/>
              <w:snapToGrid w:val="0"/>
              <w:spacing w:line="360" w:lineRule="auto"/>
              <w:jc w:val="center"/>
              <w:textAlignment w:val="center"/>
              <w:rPr>
                <w:rFonts w:hint="eastAsia" w:ascii="宋体" w:hAnsi="宋体" w:eastAsia="宋体" w:cs="宋体"/>
                <w:b/>
                <w:color w:val="000000"/>
                <w:sz w:val="24"/>
                <w:szCs w:val="24"/>
                <w:lang w:eastAsia="zh-CN"/>
              </w:rPr>
            </w:pPr>
            <w:r>
              <w:rPr>
                <w:rFonts w:hint="eastAsia" w:ascii="宋体" w:hAnsi="宋体" w:eastAsia="宋体" w:cs="宋体"/>
                <w:b/>
                <w:color w:val="000000"/>
                <w:kern w:val="0"/>
                <w:sz w:val="24"/>
                <w:szCs w:val="24"/>
                <w:lang w:eastAsia="zh-CN"/>
              </w:rPr>
              <w:t>采购参数及需求</w:t>
            </w:r>
          </w:p>
        </w:tc>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D9072">
            <w:pPr>
              <w:widowControl/>
              <w:snapToGrid w:val="0"/>
              <w:spacing w:line="360" w:lineRule="auto"/>
              <w:jc w:val="center"/>
              <w:textAlignment w:val="center"/>
              <w:rPr>
                <w:rFonts w:hint="eastAsia" w:ascii="宋体" w:hAnsi="宋体" w:eastAsia="宋体" w:cs="宋体"/>
                <w:b/>
                <w:color w:val="000000"/>
                <w:kern w:val="0"/>
                <w:sz w:val="24"/>
                <w:szCs w:val="24"/>
                <w:lang w:eastAsia="zh-CN"/>
              </w:rPr>
            </w:pPr>
            <w:r>
              <w:rPr>
                <w:rFonts w:hint="eastAsia" w:ascii="宋体" w:hAnsi="宋体" w:eastAsia="宋体" w:cs="宋体"/>
                <w:b/>
                <w:color w:val="000000"/>
                <w:kern w:val="0"/>
                <w:sz w:val="24"/>
                <w:szCs w:val="24"/>
                <w:lang w:eastAsia="zh-CN"/>
              </w:rPr>
              <w:t>单位</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41E78">
            <w:pPr>
              <w:widowControl/>
              <w:snapToGrid w:val="0"/>
              <w:spacing w:line="360" w:lineRule="auto"/>
              <w:jc w:val="center"/>
              <w:textAlignment w:val="center"/>
              <w:rPr>
                <w:rFonts w:hint="eastAsia" w:ascii="宋体" w:hAnsi="宋体" w:eastAsia="宋体" w:cs="宋体"/>
                <w:b/>
                <w:color w:val="000000"/>
                <w:kern w:val="0"/>
                <w:sz w:val="24"/>
                <w:szCs w:val="24"/>
                <w:lang w:eastAsia="zh-CN"/>
              </w:rPr>
            </w:pPr>
            <w:r>
              <w:rPr>
                <w:rFonts w:hint="eastAsia" w:ascii="宋体" w:hAnsi="宋体" w:eastAsia="宋体" w:cs="宋体"/>
                <w:b/>
                <w:color w:val="000000"/>
                <w:kern w:val="0"/>
                <w:sz w:val="24"/>
                <w:szCs w:val="24"/>
                <w:lang w:eastAsia="zh-CN"/>
              </w:rPr>
              <w:t>数量</w:t>
            </w:r>
          </w:p>
        </w:tc>
      </w:tr>
      <w:tr w14:paraId="5C14A761">
        <w:tblPrEx>
          <w:tblCellMar>
            <w:top w:w="80" w:type="dxa"/>
            <w:left w:w="102" w:type="dxa"/>
            <w:bottom w:w="80" w:type="dxa"/>
            <w:right w:w="102" w:type="dxa"/>
          </w:tblCellMar>
        </w:tblPrEx>
        <w:trPr>
          <w:trHeight w:val="0" w:hRule="atLeast"/>
          <w:jc w:val="center"/>
        </w:trPr>
        <w:tc>
          <w:tcPr>
            <w:tcW w:w="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A3B22">
            <w:pPr>
              <w:widowControl/>
              <w:snapToGrid w:val="0"/>
              <w:spacing w:line="360" w:lineRule="auto"/>
              <w:jc w:val="center"/>
              <w:textAlignment w:val="center"/>
              <w:rPr>
                <w:rFonts w:hint="eastAsia" w:ascii="宋体" w:hAnsi="宋体" w:eastAsia="宋体" w:cs="宋体"/>
                <w:b/>
                <w:color w:val="000000"/>
                <w:sz w:val="24"/>
                <w:szCs w:val="24"/>
              </w:rPr>
            </w:pPr>
            <w:r>
              <w:rPr>
                <w:rFonts w:hint="eastAsia" w:ascii="宋体" w:hAnsi="宋体" w:eastAsia="宋体" w:cs="宋体"/>
                <w:b/>
                <w:color w:val="000000"/>
                <w:kern w:val="0"/>
                <w:sz w:val="24"/>
                <w:szCs w:val="24"/>
              </w:rPr>
              <w:t>1</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19A55">
            <w:pPr>
              <w:widowControl/>
              <w:snapToGrid w:val="0"/>
              <w:spacing w:line="360" w:lineRule="auto"/>
              <w:jc w:val="center"/>
              <w:textAlignment w:val="center"/>
              <w:rPr>
                <w:rFonts w:hint="eastAsia" w:ascii="宋体" w:hAnsi="宋体" w:eastAsia="宋体" w:cs="宋体"/>
                <w:color w:val="000000"/>
                <w:sz w:val="24"/>
                <w:szCs w:val="24"/>
              </w:rPr>
            </w:pPr>
            <w:r>
              <w:rPr>
                <w:rFonts w:hint="eastAsia" w:ascii="宋体" w:hAnsi="宋体" w:eastAsia="宋体" w:cs="宋体"/>
                <w:color w:val="000000"/>
                <w:sz w:val="24"/>
                <w:szCs w:val="24"/>
                <w:lang w:eastAsia="zh-CN"/>
              </w:rPr>
              <w:t>2025-2028年度</w:t>
            </w:r>
            <w:r>
              <w:rPr>
                <w:rFonts w:hint="eastAsia" w:ascii="宋体" w:hAnsi="宋体" w:eastAsia="宋体" w:cs="宋体"/>
                <w:color w:val="000000"/>
                <w:sz w:val="24"/>
                <w:szCs w:val="24"/>
              </w:rPr>
              <w:t>疫苗冷库出入库及储运工作外包服务</w:t>
            </w:r>
          </w:p>
        </w:tc>
        <w:tc>
          <w:tcPr>
            <w:tcW w:w="48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00973">
            <w:pPr>
              <w:widowControl/>
              <w:spacing w:line="360" w:lineRule="auto"/>
              <w:jc w:val="left"/>
              <w:textAlignment w:val="center"/>
              <w:rPr>
                <w:rFonts w:hint="eastAsia" w:ascii="宋体" w:hAnsi="宋体" w:eastAsia="宋体" w:cs="宋体"/>
                <w:color w:val="auto"/>
                <w:kern w:val="0"/>
                <w:sz w:val="24"/>
                <w:szCs w:val="24"/>
              </w:rPr>
            </w:pPr>
            <w:r>
              <w:rPr>
                <w:rFonts w:hint="eastAsia" w:ascii="宋体" w:hAnsi="宋体" w:eastAsia="宋体" w:cs="宋体"/>
                <w:color w:val="000000"/>
                <w:kern w:val="0"/>
                <w:sz w:val="24"/>
                <w:szCs w:val="24"/>
              </w:rPr>
              <w:t>在省疾控中心授权及管理下，</w:t>
            </w:r>
            <w:r>
              <w:rPr>
                <w:rFonts w:hint="eastAsia" w:ascii="宋体" w:hAnsi="宋体" w:eastAsia="宋体" w:cs="宋体"/>
                <w:color w:val="000000"/>
                <w:kern w:val="0"/>
                <w:sz w:val="24"/>
                <w:szCs w:val="24"/>
                <w:lang w:eastAsia="zh-CN"/>
              </w:rPr>
              <w:t>成交供应商</w:t>
            </w:r>
            <w:r>
              <w:rPr>
                <w:rFonts w:hint="eastAsia" w:ascii="宋体" w:hAnsi="宋体" w:eastAsia="宋体" w:cs="宋体"/>
                <w:color w:val="000000"/>
                <w:kern w:val="0"/>
                <w:sz w:val="24"/>
                <w:szCs w:val="24"/>
              </w:rPr>
              <w:t>按照疾控中心实际工作需要，派遣满足工作需求的专业人员入驻我中心（派遣人员数量应能满足疫苗出入库最大工作量需求），实施疫苗出入库和储存的具体操作工作，包括从事库区内进、存、配及追溯平台上传等疫苗追溯流程的相关操作事宜。具体内容如下</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1.依据《疫苗管理法》《疫苗储存与运输管理规范》相关要求，对疫苗入库进行审核、收集相关单据并扫描上传至疫苗追溯平台管理系统，对疫苗实物实行扫码入库（如遇零头，实行扫码至最小包装二维码）。相关入库纸质资</w:t>
            </w:r>
            <w:r>
              <w:rPr>
                <w:rFonts w:hint="eastAsia" w:ascii="宋体" w:hAnsi="宋体" w:eastAsia="宋体" w:cs="宋体"/>
                <w:color w:val="auto"/>
                <w:kern w:val="0"/>
                <w:sz w:val="24"/>
                <w:szCs w:val="24"/>
              </w:rPr>
              <w:t>料</w:t>
            </w:r>
            <w:r>
              <w:rPr>
                <w:rFonts w:hint="eastAsia" w:ascii="宋体" w:hAnsi="宋体" w:eastAsia="宋体" w:cs="宋体"/>
                <w:color w:val="auto"/>
                <w:kern w:val="0"/>
                <w:sz w:val="24"/>
                <w:szCs w:val="24"/>
                <w:lang w:val="en-US" w:eastAsia="zh-CN" w:bidi="ar"/>
              </w:rPr>
              <w:t>及电子版资料</w:t>
            </w:r>
            <w:r>
              <w:rPr>
                <w:rFonts w:hint="eastAsia" w:ascii="宋体" w:hAnsi="宋体" w:eastAsia="宋体" w:cs="宋体"/>
                <w:color w:val="auto"/>
                <w:kern w:val="0"/>
                <w:sz w:val="24"/>
                <w:szCs w:val="24"/>
              </w:rPr>
              <w:t>按月</w:t>
            </w:r>
            <w:r>
              <w:rPr>
                <w:rFonts w:hint="eastAsia" w:ascii="宋体" w:hAnsi="宋体" w:eastAsia="宋体" w:cs="宋体"/>
                <w:color w:val="000000"/>
                <w:kern w:val="0"/>
                <w:sz w:val="24"/>
                <w:szCs w:val="24"/>
              </w:rPr>
              <w:t>收集整理后交付后勤保障部。非工作日时间，如遇疫苗入库，仍需进行以上操作。入库具体流程需按</w:t>
            </w:r>
            <w:r>
              <w:rPr>
                <w:rFonts w:hint="eastAsia" w:ascii="宋体" w:hAnsi="宋体" w:eastAsia="宋体" w:cs="宋体"/>
                <w:color w:val="000000"/>
                <w:kern w:val="0"/>
                <w:sz w:val="24"/>
                <w:szCs w:val="24"/>
                <w:lang w:eastAsia="zh-CN"/>
              </w:rPr>
              <w:t>疫苗入库规程</w:t>
            </w:r>
            <w:r>
              <w:rPr>
                <w:rFonts w:hint="eastAsia" w:ascii="宋体" w:hAnsi="宋体" w:eastAsia="宋体" w:cs="宋体"/>
                <w:color w:val="000000"/>
                <w:kern w:val="0"/>
                <w:sz w:val="24"/>
                <w:szCs w:val="24"/>
              </w:rPr>
              <w:t>严格执行，不得擅自更改或删减，违反流程进行。</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★2.查验运输温度：运输温度起始时间需与生产厂家出库启运、到达时间一致；所有运输温度需严格在2-8℃范围之内并向厂家要求运输温度电子版备查。如不符合要求，不得接收疫苗入库。</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3.查验运输单据：疫苗必须为生产厂家直接供应，生产厂家疫苗相关单据必须与疫苗实物相一致；相关单据必须有疫苗批签发合格证、疫苗检验合格证明、出库单（运输单），进口疫苗还需有进口通关单。如不符合要求，不得接收疫苗入库。</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4.疫苗实物需与疫苗出库单数量、批号、效期等信息一致，效期需与疫苗对应采购合同中交货效期要求一致。如不符合要求，不得接收疫苗入库。</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5.疫苗入库需按照安徽省疾控中心相关疫苗申购计划进行，对不在申购计划内或未提前接到来货计划的疫苗，不得擅自接收入库。</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6.所有疫苗必须二维码向外方式码放在疫苗台车上推至缓冲区，关闭快速通过门后方可开启冷库门入内存放。不得同时开启冷库门及缓冲区快速通过门。</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7.装卸疫苗时，需指挥疫苗运输车辆对齐装卸平台无误后，开启装卸区制冷机组，开启充气包裹后进行装卸作业。作业结束后，关闭充气包裹后指挥车辆启动驶离。</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8.根据疫苗分发计划，开具出库单，扫码出库，确认无误后通知司机关闭车门。相关纸质资料按月收集整理后交付后勤保障部。出库具体流程需按照如下顺序严格执行，不得擅自更改、删减或未接到分发计划时，违反流程进行疫苗出库作业。</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（1）开单：所有疫苗出库前，需登陆疫苗管理系统，依据先进先出、近效期先出的原则开具出库单。</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（2）备苗：依据出库单进行冷库内扫码备苗，必须在2-8℃环境内备齐转移至在缓冲区等待，关闭冷库门后方可进行装车作业。</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（3）装卸疫苗时，需指挥疫苗运输车辆对齐装卸平台无误后，开启装卸区制冷机组，开启充气包裹后进行装卸作业。作业结束后，关闭充气包裹后指挥车辆启动驶离。</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9.日常疫苗储存状态下，每日（包括节假日）人工抄温2次，间隔6小时或以上，并记录在相应的温度记录表上备查。如有超温现象，需立即向安徽省疾控中心监督管理人员报告，并配合进行相关应急预案的执行操作。</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10.每周至少一次对疫苗库区进行清洁工作，保持库区卫生。疫苗台车如有损坏应及时向后勤保障部汇报。</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11.所有疫苗入库后，需按照离壁30公分、离地10公分、冷风机下缘出风口10公分以下的要求码放疫苗，码放位置不得超出冷库内标记范围之外，不得擅自更改码放方式，不得擅自更改疫苗储存温度，不得擅自关闭冷库制冷</w:t>
            </w:r>
            <w:r>
              <w:rPr>
                <w:rFonts w:hint="eastAsia" w:ascii="宋体" w:hAnsi="宋体" w:eastAsia="宋体" w:cs="宋体"/>
                <w:color w:val="auto"/>
                <w:kern w:val="0"/>
                <w:sz w:val="24"/>
                <w:szCs w:val="24"/>
              </w:rPr>
              <w:t>系统。</w:t>
            </w:r>
            <w:r>
              <w:rPr>
                <w:rFonts w:hint="eastAsia" w:ascii="宋体" w:hAnsi="宋体" w:eastAsia="宋体" w:cs="宋体"/>
                <w:color w:val="auto"/>
                <w:kern w:val="0"/>
                <w:sz w:val="24"/>
                <w:szCs w:val="24"/>
              </w:rPr>
              <w:br w:type="textWrapping"/>
            </w:r>
            <w:r>
              <w:rPr>
                <w:rFonts w:hint="eastAsia" w:ascii="宋体" w:hAnsi="宋体" w:eastAsia="宋体" w:cs="宋体"/>
                <w:color w:val="auto"/>
                <w:kern w:val="0"/>
                <w:sz w:val="24"/>
                <w:szCs w:val="24"/>
              </w:rPr>
              <w:t>★12.紧急状态下，需听从安徽省疾控中心指挥及时到岗进行工作。</w:t>
            </w:r>
            <w:r>
              <w:rPr>
                <w:rFonts w:hint="eastAsia" w:ascii="宋体" w:hAnsi="宋体" w:eastAsia="宋体" w:cs="宋体"/>
                <w:color w:val="auto"/>
                <w:kern w:val="0"/>
                <w:sz w:val="24"/>
                <w:szCs w:val="24"/>
              </w:rPr>
              <w:br w:type="textWrapping"/>
            </w:r>
            <w:r>
              <w:rPr>
                <w:rFonts w:hint="eastAsia" w:ascii="宋体" w:hAnsi="宋体" w:eastAsia="宋体" w:cs="宋体"/>
                <w:color w:val="auto"/>
                <w:kern w:val="0"/>
                <w:sz w:val="24"/>
                <w:szCs w:val="24"/>
                <w:lang w:val="en-US" w:eastAsia="zh-CN" w:bidi="ar"/>
              </w:rPr>
              <w:t>13.配合安徽省疾控中心疫苗冷库每月一次的库存盘点工作，需对照疫苗追溯系统中的疫苗库存量按品种批号逐一盘存并形成纸质盘存表按月交至后勤保障部。</w:t>
            </w:r>
          </w:p>
          <w:p w14:paraId="09346044">
            <w:pPr>
              <w:widowControl/>
              <w:snapToGrid w:val="0"/>
              <w:spacing w:line="360" w:lineRule="auto"/>
              <w:jc w:val="left"/>
              <w:textAlignment w:val="center"/>
              <w:rPr>
                <w:rFonts w:hint="eastAsia" w:ascii="宋体" w:hAnsi="宋体" w:eastAsia="宋体" w:cs="宋体"/>
                <w:color w:val="000000"/>
                <w:sz w:val="24"/>
                <w:szCs w:val="24"/>
              </w:rPr>
            </w:pPr>
            <w:r>
              <w:rPr>
                <w:rFonts w:hint="eastAsia" w:ascii="宋体" w:hAnsi="宋体" w:eastAsia="宋体" w:cs="宋体"/>
                <w:color w:val="auto"/>
                <w:kern w:val="0"/>
                <w:sz w:val="24"/>
                <w:szCs w:val="24"/>
              </w:rPr>
              <w:t>1</w:t>
            </w:r>
            <w:r>
              <w:rPr>
                <w:rFonts w:hint="eastAsia" w:ascii="宋体" w:hAnsi="宋体" w:eastAsia="宋体" w:cs="宋体"/>
                <w:color w:val="auto"/>
                <w:kern w:val="0"/>
                <w:sz w:val="24"/>
                <w:szCs w:val="24"/>
                <w:lang w:val="en-US" w:eastAsia="zh-CN"/>
              </w:rPr>
              <w:t>4</w:t>
            </w:r>
            <w:r>
              <w:rPr>
                <w:rFonts w:hint="eastAsia" w:ascii="宋体" w:hAnsi="宋体" w:eastAsia="宋体" w:cs="宋体"/>
                <w:color w:val="auto"/>
                <w:kern w:val="0"/>
                <w:sz w:val="24"/>
                <w:szCs w:val="24"/>
              </w:rPr>
              <w:t>.配合安徽省疾控中心冷库每年一次的冷库探头校准及冷库</w:t>
            </w:r>
            <w:r>
              <w:rPr>
                <w:rFonts w:hint="eastAsia" w:ascii="宋体" w:hAnsi="宋体" w:eastAsia="宋体" w:cs="宋体"/>
                <w:color w:val="000000"/>
                <w:kern w:val="0"/>
                <w:sz w:val="24"/>
                <w:szCs w:val="24"/>
              </w:rPr>
              <w:t>验证工作，按照相关要求进行工作。</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1</w:t>
            </w:r>
            <w:r>
              <w:rPr>
                <w:rFonts w:hint="eastAsia" w:ascii="宋体" w:hAnsi="宋体" w:eastAsia="宋体" w:cs="宋体"/>
                <w:color w:val="000000"/>
                <w:kern w:val="0"/>
                <w:sz w:val="24"/>
                <w:szCs w:val="24"/>
                <w:lang w:val="en-US" w:eastAsia="zh-CN"/>
              </w:rPr>
              <w:t>5</w:t>
            </w:r>
            <w:r>
              <w:rPr>
                <w:rFonts w:hint="eastAsia" w:ascii="宋体" w:hAnsi="宋体" w:eastAsia="宋体" w:cs="宋体"/>
                <w:color w:val="000000"/>
                <w:kern w:val="0"/>
                <w:sz w:val="24"/>
                <w:szCs w:val="24"/>
              </w:rPr>
              <w:t>.省疾控中心按《疫苗管理法》的规定提供符合疫苗的存储库区，包括但不限于7x24小时温度监控设施、设备、相关的仓储管理系统及办公条件，提供必要劳动工具。相关人员御寒等服装由</w:t>
            </w:r>
            <w:r>
              <w:rPr>
                <w:rFonts w:hint="eastAsia" w:ascii="宋体" w:hAnsi="宋体" w:eastAsia="宋体" w:cs="宋体"/>
                <w:color w:val="000000"/>
                <w:kern w:val="0"/>
                <w:sz w:val="24"/>
                <w:szCs w:val="24"/>
                <w:lang w:val="en-US" w:eastAsia="zh-CN"/>
              </w:rPr>
              <w:t>成交供应商</w:t>
            </w:r>
            <w:r>
              <w:rPr>
                <w:rFonts w:hint="eastAsia" w:ascii="宋体" w:hAnsi="宋体" w:eastAsia="宋体" w:cs="宋体"/>
                <w:color w:val="000000"/>
                <w:kern w:val="0"/>
                <w:sz w:val="24"/>
                <w:szCs w:val="24"/>
              </w:rPr>
              <w:t>自备。</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1</w:t>
            </w:r>
            <w:r>
              <w:rPr>
                <w:rFonts w:hint="eastAsia" w:ascii="宋体" w:hAnsi="宋体" w:eastAsia="宋体" w:cs="宋体"/>
                <w:color w:val="000000"/>
                <w:kern w:val="0"/>
                <w:sz w:val="24"/>
                <w:szCs w:val="24"/>
                <w:lang w:val="en-US" w:eastAsia="zh-CN"/>
              </w:rPr>
              <w:t>6</w:t>
            </w:r>
            <w:r>
              <w:rPr>
                <w:rFonts w:hint="eastAsia" w:ascii="宋体" w:hAnsi="宋体" w:eastAsia="宋体" w:cs="宋体"/>
                <w:color w:val="000000"/>
                <w:kern w:val="0"/>
                <w:sz w:val="24"/>
                <w:szCs w:val="24"/>
              </w:rPr>
              <w:t>.派遣的工作人员需与我中心签订保密和廉政风险防控协议，服从我中心保密和廉政要求。</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1</w:t>
            </w:r>
            <w:r>
              <w:rPr>
                <w:rFonts w:hint="eastAsia" w:ascii="宋体" w:hAnsi="宋体" w:eastAsia="宋体" w:cs="宋体"/>
                <w:color w:val="000000"/>
                <w:kern w:val="0"/>
                <w:sz w:val="24"/>
                <w:szCs w:val="24"/>
                <w:lang w:val="en-US" w:eastAsia="zh-CN"/>
              </w:rPr>
              <w:t>7</w:t>
            </w:r>
            <w:r>
              <w:rPr>
                <w:rFonts w:hint="eastAsia" w:ascii="宋体" w:hAnsi="宋体" w:eastAsia="宋体" w:cs="宋体"/>
                <w:color w:val="000000"/>
                <w:kern w:val="0"/>
                <w:sz w:val="24"/>
                <w:szCs w:val="24"/>
              </w:rPr>
              <w:t>.派遣人员还需遵守安徽省疾病预防控制中心工作时间相关规定及安全保卫规定。</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1</w:t>
            </w:r>
            <w:r>
              <w:rPr>
                <w:rFonts w:hint="eastAsia" w:ascii="宋体" w:hAnsi="宋体" w:eastAsia="宋体" w:cs="宋体"/>
                <w:color w:val="000000"/>
                <w:kern w:val="0"/>
                <w:sz w:val="24"/>
                <w:szCs w:val="24"/>
                <w:lang w:val="en-US" w:eastAsia="zh-CN"/>
              </w:rPr>
              <w:t>8</w:t>
            </w:r>
            <w:r>
              <w:rPr>
                <w:rFonts w:hint="eastAsia" w:ascii="宋体" w:hAnsi="宋体" w:eastAsia="宋体" w:cs="宋体"/>
                <w:color w:val="000000"/>
                <w:kern w:val="0"/>
                <w:sz w:val="24"/>
                <w:szCs w:val="24"/>
              </w:rPr>
              <w:t>.</w:t>
            </w:r>
            <w:r>
              <w:rPr>
                <w:rFonts w:hint="eastAsia" w:ascii="宋体" w:hAnsi="宋体" w:eastAsia="宋体" w:cs="宋体"/>
                <w:color w:val="000000"/>
                <w:kern w:val="0"/>
                <w:sz w:val="24"/>
                <w:szCs w:val="24"/>
                <w:lang w:val="en-US" w:eastAsia="zh-CN"/>
              </w:rPr>
              <w:t>成交供应商</w:t>
            </w:r>
            <w:r>
              <w:rPr>
                <w:rFonts w:hint="eastAsia" w:ascii="宋体" w:hAnsi="宋体" w:eastAsia="宋体" w:cs="宋体"/>
                <w:color w:val="000000"/>
                <w:kern w:val="0"/>
                <w:sz w:val="24"/>
                <w:szCs w:val="24"/>
              </w:rPr>
              <w:t>需在签订合同后三个工作日内安排人员到岗。</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★1</w:t>
            </w:r>
            <w:r>
              <w:rPr>
                <w:rFonts w:hint="eastAsia" w:ascii="宋体" w:hAnsi="宋体" w:eastAsia="宋体" w:cs="宋体"/>
                <w:color w:val="000000"/>
                <w:kern w:val="0"/>
                <w:sz w:val="24"/>
                <w:szCs w:val="24"/>
                <w:lang w:val="en-US" w:eastAsia="zh-CN"/>
              </w:rPr>
              <w:t>9</w:t>
            </w:r>
            <w:r>
              <w:rPr>
                <w:rFonts w:hint="eastAsia" w:ascii="宋体" w:hAnsi="宋体" w:eastAsia="宋体" w:cs="宋体"/>
                <w:color w:val="000000"/>
                <w:kern w:val="0"/>
                <w:sz w:val="24"/>
                <w:szCs w:val="24"/>
              </w:rPr>
              <w:t>.承担中心疫苗冷库大面积温度异常等紧急状态下疫苗的暂时储存工作。</w:t>
            </w:r>
          </w:p>
        </w:tc>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FA726">
            <w:pPr>
              <w:widowControl/>
              <w:snapToGrid w:val="0"/>
              <w:spacing w:line="360" w:lineRule="auto"/>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C7BE0">
            <w:pPr>
              <w:widowControl/>
              <w:snapToGrid w:val="0"/>
              <w:spacing w:line="360" w:lineRule="auto"/>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1</w:t>
            </w:r>
          </w:p>
        </w:tc>
      </w:tr>
    </w:tbl>
    <w:p w14:paraId="63A0259F">
      <w:pPr>
        <w:wordWrap w:val="0"/>
        <w:spacing w:line="440" w:lineRule="exact"/>
        <w:ind w:firstLine="437"/>
        <w:rPr>
          <w:rFonts w:ascii="宋体" w:hAnsi="宋体" w:eastAsia="宋体" w:cs="宋体"/>
          <w:b/>
          <w:sz w:val="24"/>
          <w:szCs w:val="24"/>
        </w:rPr>
      </w:pPr>
      <w:r>
        <w:rPr>
          <w:rFonts w:hint="eastAsia" w:ascii="宋体" w:hAnsi="宋体" w:eastAsia="宋体" w:cs="宋体"/>
          <w:b/>
          <w:sz w:val="24"/>
          <w:szCs w:val="24"/>
        </w:rPr>
        <w:t>三、报价要求</w:t>
      </w:r>
    </w:p>
    <w:p w14:paraId="2B4358D8">
      <w:r>
        <w:rPr>
          <w:rFonts w:ascii="宋体" w:hAnsi="宋体" w:eastAsia="宋体"/>
          <w:kern w:val="2"/>
          <w:sz w:val="24"/>
          <w:szCs w:val="24"/>
        </w:rPr>
        <w:t>本项目报</w:t>
      </w:r>
      <w:r>
        <w:rPr>
          <w:rFonts w:hint="eastAsia" w:ascii="宋体" w:hAnsi="宋体" w:eastAsia="宋体"/>
          <w:kern w:val="2"/>
          <w:sz w:val="24"/>
          <w:szCs w:val="24"/>
          <w:lang w:val="en-US" w:eastAsia="zh-CN"/>
        </w:rPr>
        <w:t>年度</w:t>
      </w:r>
      <w:r>
        <w:rPr>
          <w:rFonts w:ascii="宋体" w:hAnsi="宋体" w:eastAsia="宋体"/>
          <w:kern w:val="2"/>
          <w:sz w:val="24"/>
          <w:szCs w:val="24"/>
        </w:rPr>
        <w:t>总价，报价须包含完成本</w:t>
      </w:r>
      <w:r>
        <w:rPr>
          <w:rFonts w:hint="eastAsia" w:ascii="宋体" w:hAnsi="宋体" w:eastAsia="宋体"/>
          <w:kern w:val="2"/>
          <w:sz w:val="24"/>
          <w:szCs w:val="24"/>
          <w:lang w:val="en-US" w:eastAsia="zh-CN"/>
        </w:rPr>
        <w:t>年度</w:t>
      </w:r>
      <w:r>
        <w:rPr>
          <w:rFonts w:ascii="宋体" w:hAnsi="宋体" w:eastAsia="宋体"/>
          <w:kern w:val="2"/>
          <w:sz w:val="24"/>
          <w:szCs w:val="24"/>
        </w:rPr>
        <w:t>项目的全部费用，采购人不再另行追加费用，供应商自行考虑投标风险。</w:t>
      </w: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140DA3"/>
    <w:rsid w:val="0B140D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21"/>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D&amp;L"/>
    <w:basedOn w:val="3"/>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7">
    <w:name w:val="xl31"/>
    <w:basedOn w:val="1"/>
    <w:qFormat/>
    <w:uiPriority w:val="0"/>
    <w:pPr>
      <w:widowControl/>
      <w:spacing w:before="100" w:beforeAutospacing="1" w:after="100" w:afterAutospacing="1"/>
      <w:jc w:val="center"/>
    </w:pPr>
    <w:rPr>
      <w:b/>
      <w:bCs/>
      <w:kern w:val="0"/>
      <w:sz w:val="28"/>
      <w:szCs w:val="28"/>
    </w:rPr>
  </w:style>
  <w:style w:type="paragraph" w:customStyle="1" w:styleId="8">
    <w:name w:val="Default"/>
    <w:qFormat/>
    <w:uiPriority w:val="0"/>
    <w:pPr>
      <w:widowControl w:val="0"/>
      <w:autoSpaceDE w:val="0"/>
      <w:autoSpaceDN w:val="0"/>
      <w:adjustRightInd w:val="0"/>
    </w:pPr>
    <w:rPr>
      <w:rFonts w:ascii="黑体" w:hAnsi="Times New Roman" w:eastAsia="黑体" w:cs="Times New Roman"/>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2025-10-11T04:32:00Z</dcterms:created>
  <dc:creator>森</dc:creator>
  <cp:lastModifiedBy>森</cp:lastModifiedBy>
  <dcterms:modified xsi:type="dcterms:W3CDTF">2025-10-11T04:32:37Z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B4559A374DBB4D61AD153AF846388935_11</vt:lpwstr>
  </property>
  <property fmtid="{D5CDD505-2E9C-101B-9397-08002B2CF9AE}" pid="4" name="KSOTemplateDocerSaveRecord">
    <vt:lpwstr>eyJoZGlkIjoiOTc3M2Y5NzIzMDFlZjAyY2Q4Njk5ODkyYjFjNzBiNTQiLCJ1c2VySWQiOiI0MzAwMTYzNzkifQ==</vt:lpwstr>
  </property>
</Properties>
</file>