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4D9FE8">
      <w:pPr>
        <w:wordWrap w:val="0"/>
        <w:spacing w:line="360" w:lineRule="auto"/>
        <w:jc w:val="center"/>
        <w:outlineLvl w:val="1"/>
        <w:rPr>
          <w:rFonts w:ascii="华文中宋" w:hAnsi="华文中宋" w:eastAsia="华文中宋" w:cs="Times New Roman"/>
          <w:b/>
          <w:bCs/>
          <w:kern w:val="44"/>
          <w:sz w:val="44"/>
          <w:szCs w:val="44"/>
        </w:rPr>
      </w:pPr>
      <w:r>
        <w:rPr>
          <w:rFonts w:hint="eastAsia" w:ascii="华文中宋" w:hAnsi="华文中宋" w:eastAsia="华文中宋" w:cs="Times New Roman"/>
          <w:b/>
          <w:bCs/>
          <w:kern w:val="44"/>
          <w:sz w:val="44"/>
          <w:szCs w:val="44"/>
        </w:rPr>
        <w:t>第三章  采购需求</w:t>
      </w:r>
    </w:p>
    <w:p w14:paraId="2E0DC054">
      <w:pPr>
        <w:wordWrap w:val="0"/>
        <w:spacing w:line="440" w:lineRule="exact"/>
        <w:jc w:val="left"/>
        <w:rPr>
          <w:rFonts w:ascii="宋体" w:hAnsi="宋体" w:eastAsia="宋体"/>
          <w:b/>
          <w:sz w:val="24"/>
        </w:rPr>
      </w:pPr>
      <w:r>
        <w:rPr>
          <w:rFonts w:hint="eastAsia" w:ascii="宋体" w:hAnsi="宋体" w:eastAsia="宋体"/>
          <w:b/>
          <w:sz w:val="24"/>
        </w:rPr>
        <w:t>前注：</w:t>
      </w:r>
    </w:p>
    <w:p w14:paraId="7D8D1859">
      <w:pPr>
        <w:wordWrap w:val="0"/>
        <w:spacing w:line="440" w:lineRule="exact"/>
        <w:ind w:firstLine="437"/>
        <w:jc w:val="left"/>
        <w:rPr>
          <w:rFonts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方案，且此方案须经磋商小组评审认可</w:t>
      </w:r>
      <w:r>
        <w:rPr>
          <w:rFonts w:hint="eastAsia" w:ascii="宋体" w:hAnsi="宋体" w:eastAsia="宋体"/>
          <w:sz w:val="24"/>
        </w:rPr>
        <w:t>。</w:t>
      </w:r>
    </w:p>
    <w:p w14:paraId="136ED6FC">
      <w:pPr>
        <w:wordWrap w:val="0"/>
        <w:spacing w:line="440" w:lineRule="exact"/>
        <w:ind w:firstLine="437"/>
        <w:jc w:val="left"/>
        <w:rPr>
          <w:rFonts w:ascii="宋体" w:hAnsi="宋体" w:eastAsia="宋体"/>
          <w:b/>
          <w:sz w:val="28"/>
          <w:szCs w:val="28"/>
        </w:rPr>
      </w:pPr>
      <w:r>
        <w:rPr>
          <w:rFonts w:hint="eastAsia" w:ascii="宋体" w:hAnsi="宋体" w:eastAsia="宋体"/>
          <w:b/>
          <w:sz w:val="28"/>
          <w:szCs w:val="28"/>
        </w:rPr>
        <w:t>一、采购需求前附表</w:t>
      </w:r>
    </w:p>
    <w:tbl>
      <w:tblPr>
        <w:tblStyle w:val="4"/>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6BE1C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1939C976">
            <w:pPr>
              <w:pStyle w:val="6"/>
              <w:pBdr>
                <w:bottom w:val="none" w:color="auto" w:sz="0" w:space="0"/>
              </w:pBdr>
              <w:tabs>
                <w:tab w:val="clear" w:pos="4153"/>
                <w:tab w:val="clear" w:pos="8306"/>
              </w:tabs>
              <w:wordWrap w:val="0"/>
              <w:adjustRightInd/>
              <w:spacing w:line="440" w:lineRule="exact"/>
              <w:textAlignment w:val="auto"/>
              <w:rPr>
                <w:rFonts w:ascii="宋体" w:hAnsi="宋体" w:eastAsia="宋体"/>
                <w:b/>
                <w:kern w:val="2"/>
              </w:rPr>
            </w:pPr>
            <w:r>
              <w:rPr>
                <w:rFonts w:hint="eastAsia" w:ascii="宋体" w:hAnsi="宋体" w:eastAsia="宋体"/>
                <w:b/>
                <w:kern w:val="2"/>
              </w:rPr>
              <w:t>序号</w:t>
            </w:r>
          </w:p>
        </w:tc>
        <w:tc>
          <w:tcPr>
            <w:tcW w:w="2025" w:type="dxa"/>
            <w:vAlign w:val="center"/>
          </w:tcPr>
          <w:p w14:paraId="39AF03C8">
            <w:pPr>
              <w:pStyle w:val="7"/>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内容</w:t>
            </w:r>
          </w:p>
        </w:tc>
        <w:tc>
          <w:tcPr>
            <w:tcW w:w="5466" w:type="dxa"/>
            <w:vAlign w:val="center"/>
          </w:tcPr>
          <w:p w14:paraId="4B2A2038">
            <w:pPr>
              <w:pStyle w:val="7"/>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说明与要求</w:t>
            </w:r>
          </w:p>
        </w:tc>
      </w:tr>
      <w:tr w14:paraId="5D67F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407B806C">
            <w:pPr>
              <w:pStyle w:val="6"/>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1</w:t>
            </w:r>
          </w:p>
        </w:tc>
        <w:tc>
          <w:tcPr>
            <w:tcW w:w="2025" w:type="dxa"/>
            <w:vAlign w:val="center"/>
          </w:tcPr>
          <w:p w14:paraId="40DFCCD0">
            <w:pPr>
              <w:pStyle w:val="7"/>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付款方式</w:t>
            </w:r>
          </w:p>
        </w:tc>
        <w:tc>
          <w:tcPr>
            <w:tcW w:w="5466" w:type="dxa"/>
            <w:vAlign w:val="center"/>
          </w:tcPr>
          <w:p w14:paraId="0D948329">
            <w:pPr>
              <w:spacing w:line="360" w:lineRule="auto"/>
              <w:jc w:val="left"/>
              <w:rPr>
                <w:rFonts w:ascii="宋体" w:hAnsi="宋体" w:eastAsia="宋体" w:cs="Times New Roman"/>
                <w:bCs/>
                <w:kern w:val="0"/>
                <w:sz w:val="24"/>
                <w:szCs w:val="28"/>
              </w:rPr>
            </w:pPr>
            <w:bookmarkStart w:id="0" w:name="OLE_LINK4"/>
            <w:r>
              <w:rPr>
                <w:rFonts w:hint="eastAsia" w:ascii="宋体" w:hAnsi="宋体" w:eastAsia="宋体" w:cs="Times New Roman"/>
                <w:bCs/>
                <w:kern w:val="0"/>
                <w:sz w:val="24"/>
                <w:szCs w:val="28"/>
              </w:rPr>
              <w:t>服务完毕，经验收合格并收到验证及校准报告后15个工作日内支付合同金额。</w:t>
            </w:r>
          </w:p>
          <w:p w14:paraId="06C19BD8">
            <w:pPr>
              <w:pStyle w:val="7"/>
              <w:widowControl w:val="0"/>
              <w:spacing w:before="0" w:beforeAutospacing="0" w:after="0" w:afterAutospacing="0" w:line="360" w:lineRule="auto"/>
              <w:jc w:val="both"/>
              <w:rPr>
                <w:rFonts w:ascii="宋体" w:hAnsi="宋体" w:eastAsia="宋体" w:cs="宋体"/>
                <w:b w:val="0"/>
                <w:sz w:val="24"/>
                <w:szCs w:val="24"/>
              </w:rPr>
            </w:pPr>
            <w:r>
              <w:rPr>
                <w:rFonts w:hint="eastAsia" w:ascii="宋体" w:hAnsi="宋体" w:eastAsia="宋体" w:cs="宋体"/>
                <w:sz w:val="24"/>
                <w:szCs w:val="24"/>
              </w:rPr>
              <w:t>供应商提交的响应文件中如有关于付款条件的表述与采购文件规定不符，将被视为实质性不响应，将导致响应无效。</w:t>
            </w:r>
            <w:bookmarkEnd w:id="0"/>
          </w:p>
        </w:tc>
      </w:tr>
      <w:tr w14:paraId="333A8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08120389">
            <w:pPr>
              <w:pStyle w:val="6"/>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2</w:t>
            </w:r>
          </w:p>
        </w:tc>
        <w:tc>
          <w:tcPr>
            <w:tcW w:w="2025" w:type="dxa"/>
            <w:vAlign w:val="center"/>
          </w:tcPr>
          <w:p w14:paraId="1E3C27B0">
            <w:pPr>
              <w:pStyle w:val="7"/>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服务地点</w:t>
            </w:r>
          </w:p>
        </w:tc>
        <w:tc>
          <w:tcPr>
            <w:tcW w:w="5466" w:type="dxa"/>
            <w:vAlign w:val="center"/>
          </w:tcPr>
          <w:p w14:paraId="4A65B281">
            <w:pPr>
              <w:pStyle w:val="7"/>
              <w:widowControl w:val="0"/>
              <w:spacing w:before="0" w:beforeAutospacing="0" w:after="0" w:afterAutospacing="0" w:line="360" w:lineRule="auto"/>
              <w:jc w:val="both"/>
              <w:rPr>
                <w:rFonts w:ascii="宋体" w:hAnsi="宋体" w:eastAsia="宋体" w:cs="宋体"/>
                <w:b w:val="0"/>
                <w:sz w:val="24"/>
                <w:szCs w:val="24"/>
              </w:rPr>
            </w:pPr>
            <w:r>
              <w:rPr>
                <w:rFonts w:hint="eastAsia" w:ascii="宋体" w:hAnsi="宋体" w:eastAsia="宋体" w:cs="宋体"/>
                <w:b w:val="0"/>
                <w:sz w:val="24"/>
                <w:szCs w:val="24"/>
              </w:rPr>
              <w:t>安徽省疾病预防控制中心或采购人指定地点。</w:t>
            </w:r>
          </w:p>
        </w:tc>
      </w:tr>
      <w:tr w14:paraId="682A1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005A578E">
            <w:pPr>
              <w:pStyle w:val="6"/>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3</w:t>
            </w:r>
          </w:p>
        </w:tc>
        <w:tc>
          <w:tcPr>
            <w:tcW w:w="2025" w:type="dxa"/>
            <w:vAlign w:val="center"/>
          </w:tcPr>
          <w:p w14:paraId="5442ABBE">
            <w:pPr>
              <w:pStyle w:val="7"/>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服务期限</w:t>
            </w:r>
          </w:p>
        </w:tc>
        <w:tc>
          <w:tcPr>
            <w:tcW w:w="5466" w:type="dxa"/>
            <w:vAlign w:val="center"/>
          </w:tcPr>
          <w:p w14:paraId="67B63596">
            <w:pPr>
              <w:pStyle w:val="2"/>
              <w:spacing w:line="360" w:lineRule="auto"/>
              <w:rPr>
                <w:rFonts w:ascii="宋体" w:hAnsi="宋体" w:eastAsia="宋体" w:cs="宋体"/>
                <w:bCs/>
                <w:kern w:val="0"/>
                <w:sz w:val="24"/>
                <w:szCs w:val="24"/>
              </w:rPr>
            </w:pPr>
            <w:r>
              <w:rPr>
                <w:rFonts w:hint="eastAsia" w:ascii="宋体" w:hAnsi="宋体" w:eastAsia="宋体" w:cs="宋体"/>
                <w:bCs/>
                <w:kern w:val="0"/>
                <w:sz w:val="24"/>
                <w:szCs w:val="24"/>
              </w:rPr>
              <w:t>合同签订之日起2年，本项目采用2+1模式，成交供应商在本服务期内履约良好，合同到期后经双方同意，且年度预算能保障的前提下，续签下一年合同，价格不变，最多续签1次，总服务期不超过三年。</w:t>
            </w:r>
          </w:p>
        </w:tc>
      </w:tr>
    </w:tbl>
    <w:p w14:paraId="68128A09">
      <w:pPr>
        <w:wordWrap w:val="0"/>
        <w:spacing w:line="440" w:lineRule="exact"/>
        <w:ind w:firstLine="437"/>
        <w:jc w:val="left"/>
        <w:rPr>
          <w:rFonts w:ascii="宋体" w:hAnsi="宋体" w:eastAsia="宋体"/>
          <w:b/>
          <w:sz w:val="28"/>
          <w:szCs w:val="28"/>
        </w:rPr>
      </w:pPr>
      <w:r>
        <w:rPr>
          <w:rFonts w:hint="eastAsia" w:ascii="宋体" w:hAnsi="宋体" w:eastAsia="宋体"/>
          <w:b/>
          <w:sz w:val="28"/>
          <w:szCs w:val="28"/>
        </w:rPr>
        <w:t>二、项目需求</w:t>
      </w:r>
    </w:p>
    <w:tbl>
      <w:tblPr>
        <w:tblStyle w:val="4"/>
        <w:tblW w:w="8510" w:type="dxa"/>
        <w:jc w:val="center"/>
        <w:tblLayout w:type="fixed"/>
        <w:tblCellMar>
          <w:top w:w="80" w:type="dxa"/>
          <w:left w:w="102" w:type="dxa"/>
          <w:bottom w:w="80" w:type="dxa"/>
          <w:right w:w="102" w:type="dxa"/>
        </w:tblCellMar>
      </w:tblPr>
      <w:tblGrid>
        <w:gridCol w:w="744"/>
        <w:gridCol w:w="1374"/>
        <w:gridCol w:w="4872"/>
        <w:gridCol w:w="808"/>
        <w:gridCol w:w="712"/>
      </w:tblGrid>
      <w:tr w14:paraId="7B4332A6">
        <w:tblPrEx>
          <w:tblCellMar>
            <w:top w:w="80" w:type="dxa"/>
            <w:left w:w="102" w:type="dxa"/>
            <w:bottom w:w="80" w:type="dxa"/>
            <w:right w:w="102" w:type="dxa"/>
          </w:tblCellMar>
        </w:tblPrEx>
        <w:trPr>
          <w:jc w:val="center"/>
        </w:trPr>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51D2B">
            <w:pPr>
              <w:widowControl/>
              <w:snapToGrid w:val="0"/>
              <w:spacing w:line="360" w:lineRule="auto"/>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序号</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A3556">
            <w:pPr>
              <w:widowControl/>
              <w:snapToGrid w:val="0"/>
              <w:spacing w:line="360" w:lineRule="auto"/>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服务名称</w:t>
            </w:r>
          </w:p>
        </w:tc>
        <w:tc>
          <w:tcPr>
            <w:tcW w:w="4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EF128">
            <w:pPr>
              <w:widowControl/>
              <w:snapToGrid w:val="0"/>
              <w:spacing w:line="360" w:lineRule="auto"/>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采购参数及需求</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4DF32">
            <w:pPr>
              <w:widowControl/>
              <w:snapToGrid w:val="0"/>
              <w:spacing w:line="360" w:lineRule="auto"/>
              <w:jc w:val="center"/>
              <w:textAlignment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单位</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5E13A">
            <w:pPr>
              <w:widowControl/>
              <w:snapToGrid w:val="0"/>
              <w:spacing w:line="360" w:lineRule="auto"/>
              <w:jc w:val="center"/>
              <w:textAlignment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数量</w:t>
            </w:r>
          </w:p>
        </w:tc>
      </w:tr>
      <w:tr w14:paraId="1E2BF58E">
        <w:tblPrEx>
          <w:tblCellMar>
            <w:top w:w="80" w:type="dxa"/>
            <w:left w:w="102" w:type="dxa"/>
            <w:bottom w:w="80" w:type="dxa"/>
            <w:right w:w="102" w:type="dxa"/>
          </w:tblCellMar>
        </w:tblPrEx>
        <w:trPr>
          <w:jc w:val="center"/>
        </w:trPr>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06F5B">
            <w:pPr>
              <w:widowControl/>
              <w:snapToGrid w:val="0"/>
              <w:spacing w:line="360" w:lineRule="auto"/>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1</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32ACB">
            <w:pPr>
              <w:widowControl/>
              <w:snapToGrid w:val="0"/>
              <w:spacing w:line="360" w:lineRule="auto"/>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2025年疫苗冷库和冷链车科学验证及校准服务</w:t>
            </w:r>
          </w:p>
        </w:tc>
        <w:tc>
          <w:tcPr>
            <w:tcW w:w="4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2FD32">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在省疾控中心授权及管理下，供应商须按照疾控中心实际工作需要，派遣满足工作需求的专业人员进入疫苗冷库和冷链运输车，对冷库和冷链车实施科学验证及温度监测系统校准服务,具体操作内容如下：</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一、冷库验证（冷库容积750m³，含3座2℃-8℃冷藏库，1座-20℃以下冷冻库）</w:t>
            </w:r>
          </w:p>
          <w:p w14:paraId="772D2F4F">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验证分析实验周期内冷库温度分布特性，确定适宜药品存放的安全位置及区域并为监测系统布点提供指导。分析库房存储空间温度的偏差、均匀度和波动度确认（温度分布测试），确定库区最冷点与最热点，明确冷热点与库区温湿度监测终端位置的关系；对温度分布测试过程中出现的任何温度偏差需要开启偏差调查并形成报告；</w:t>
            </w:r>
          </w:p>
          <w:p w14:paraId="73719EFB">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2验证分析冷库温控设施运行参数及使用状况，掌握温控设定参数引起的冷库实际运行效果；</w:t>
            </w:r>
          </w:p>
          <w:p w14:paraId="414C6E65">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3监测系统配置的测点终端参数及安装位置确认；</w:t>
            </w:r>
          </w:p>
          <w:p w14:paraId="7D76C751">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4验证分析开门作业工况对冷库温度分布及药品储存的影响，模拟日常工况下进行验证，开关门验证终端布点应覆盖库区的整体，连续开门间隔时间,为冷库日常开门作业时间控制提供指导；</w:t>
            </w:r>
          </w:p>
          <w:p w14:paraId="54231723">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5确定设备故障或外部供电中断的状况下，冷库的保温性能及变化趋势分析，为应急预案的制定提供指导；</w:t>
            </w:r>
          </w:p>
          <w:p w14:paraId="6F5BC4F7">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6验证分析特殊位置（门、灯）对冷库区温度的影响，指导日常作业管理：</w:t>
            </w:r>
          </w:p>
          <w:p w14:paraId="424E3AE0">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7验证分析在验证地区高温极端外部环境条件下保温性能，掌握在极端环境下保温情况。</w:t>
            </w:r>
          </w:p>
          <w:p w14:paraId="0E86CD06">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二、疫苗冷链运输车（3台2℃-8℃冷链车）</w:t>
            </w:r>
          </w:p>
          <w:p w14:paraId="5E0C7C24">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1.车厢内温度分布特性的测试与分析，确定适宜药品存放的安全位置及区域；</w:t>
            </w:r>
          </w:p>
          <w:p w14:paraId="18DE5812">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2.温控设施运行参数及使用状况测试；</w:t>
            </w:r>
          </w:p>
          <w:p w14:paraId="49997518">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3.监测系统配置的测点终端参数及安装位置确认；</w:t>
            </w:r>
          </w:p>
          <w:p w14:paraId="647480B4">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4.开门作业对车厢温度分布及变化的影响；</w:t>
            </w:r>
          </w:p>
          <w:p w14:paraId="58DF710B">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5.确定设备故障或外部供电中断的状况下，车厢保温性能及变化趋势分析；</w:t>
            </w:r>
          </w:p>
          <w:p w14:paraId="60C71C41">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6.对本地区高温或低温等极端外部环境条件，分别进行保温效果评估；</w:t>
            </w:r>
          </w:p>
          <w:p w14:paraId="2662A70E">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7.在冷藏车初次使用前或改造后重新使用前，进行空载及满载验证。</w:t>
            </w:r>
          </w:p>
          <w:p w14:paraId="6727847D">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三、冷链系统温湿度传感器的校准</w:t>
            </w:r>
          </w:p>
          <w:p w14:paraId="11DD890F">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1、对冷链系统（冷库、冷藏车）所有在用温湿度传感器按国家规范进行每年一次的校准服务并出具校准证书（校准证书应按采购人要求的标准提供）；</w:t>
            </w:r>
          </w:p>
          <w:p w14:paraId="31577C26">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2、上述传感器年度校准工作必须满足最新《疫苗管理法》、《药品经营质量管理规范》、《医药产品冷链物流温控设施设备验证性能确认技术规范GB/T 34399—2025》及相关附录中对冷链系统中温湿度传感器校准工作的要求；</w:t>
            </w:r>
          </w:p>
          <w:p w14:paraId="0B373914">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冷链系统温湿度传感器校准温度标准值数量及范围应当适用于实际测量范围，且不同测量范围下使用的传感器应当确定三个校准温度标准值。如：常温校准应设定三个温度标准值10℃、20℃、30℃：阴凉校准应设定三个温度标准值0℃、10℃、20℃；冷藏校准应设定三个温度标准值O℃、5℃、10℃。冷冻校准应设定三个温度校准值：-25℃、-20℃、-15℃。</w:t>
            </w:r>
          </w:p>
          <w:p w14:paraId="0F0E8E34">
            <w:pPr>
              <w:widowControl/>
              <w:snapToGrid w:val="0"/>
              <w:spacing w:line="360" w:lineRule="auto"/>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4、提供冷链系统温湿度传感器送校期间温湿度监测系统不间断运行的保障方案，以保证监测设备送校期间业务及物流工作不受影响，温湿度监测数据完整、合法、有效；</w:t>
            </w:r>
          </w:p>
          <w:p w14:paraId="6D9DF2B0">
            <w:pPr>
              <w:widowControl/>
              <w:snapToGrid w:val="0"/>
              <w:spacing w:line="360" w:lineRule="auto"/>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5、验证项目开始前，应当对服务对象开展相关的培训。</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E4CDF">
            <w:pPr>
              <w:widowControl/>
              <w:snapToGrid w:val="0"/>
              <w:spacing w:line="36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1DA67">
            <w:pPr>
              <w:widowControl/>
              <w:snapToGrid w:val="0"/>
              <w:spacing w:line="36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r>
    </w:tbl>
    <w:p w14:paraId="343DC85E">
      <w:pPr>
        <w:wordWrap w:val="0"/>
        <w:spacing w:line="440" w:lineRule="exact"/>
        <w:ind w:firstLine="437"/>
        <w:rPr>
          <w:rFonts w:ascii="宋体" w:hAnsi="宋体" w:eastAsia="宋体" w:cs="宋体"/>
          <w:b/>
          <w:sz w:val="24"/>
          <w:szCs w:val="24"/>
        </w:rPr>
      </w:pPr>
      <w:r>
        <w:rPr>
          <w:rFonts w:hint="eastAsia" w:ascii="宋体" w:hAnsi="宋体" w:eastAsia="宋体" w:cs="宋体"/>
          <w:b/>
          <w:sz w:val="24"/>
          <w:szCs w:val="24"/>
        </w:rPr>
        <w:t>三、报价要求</w:t>
      </w:r>
    </w:p>
    <w:p w14:paraId="653FA16F">
      <w:r>
        <w:rPr>
          <w:rFonts w:ascii="宋体" w:hAnsi="宋体" w:eastAsia="宋体"/>
          <w:kern w:val="2"/>
          <w:sz w:val="24"/>
          <w:szCs w:val="24"/>
        </w:rPr>
        <w:t>本项目报</w:t>
      </w:r>
      <w:r>
        <w:rPr>
          <w:rFonts w:hint="eastAsia" w:ascii="宋体" w:hAnsi="宋体" w:eastAsia="宋体"/>
          <w:kern w:val="2"/>
          <w:sz w:val="24"/>
          <w:szCs w:val="24"/>
        </w:rPr>
        <w:t>年度</w:t>
      </w:r>
      <w:r>
        <w:rPr>
          <w:rFonts w:ascii="宋体" w:hAnsi="宋体" w:eastAsia="宋体"/>
          <w:kern w:val="2"/>
          <w:sz w:val="24"/>
          <w:szCs w:val="24"/>
        </w:rPr>
        <w:t>总价，报价须包含完成本</w:t>
      </w:r>
      <w:r>
        <w:rPr>
          <w:rFonts w:hint="eastAsia" w:ascii="宋体" w:hAnsi="宋体" w:eastAsia="宋体"/>
          <w:kern w:val="2"/>
          <w:sz w:val="24"/>
          <w:szCs w:val="24"/>
        </w:rPr>
        <w:t>年度</w:t>
      </w:r>
      <w:r>
        <w:rPr>
          <w:rFonts w:ascii="宋体" w:hAnsi="宋体" w:eastAsia="宋体"/>
          <w:kern w:val="2"/>
          <w:sz w:val="24"/>
          <w:szCs w:val="24"/>
        </w:rPr>
        <w:t>项目的全部费用，采购人不再另行追加费用，供应商自行考虑投标风险。</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350848"/>
    <w:rsid w:val="1B3508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D&amp;L"/>
    <w:basedOn w:val="3"/>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 w:type="paragraph" w:customStyle="1" w:styleId="8">
    <w:name w:val="Default"/>
    <w:qFormat/>
    <w:uiPriority w:val="0"/>
    <w:pPr>
      <w:widowControl w:val="0"/>
      <w:autoSpaceDE w:val="0"/>
      <w:autoSpaceDN w:val="0"/>
      <w:adjustRightInd w:val="0"/>
    </w:pPr>
    <w:rPr>
      <w:rFonts w:ascii="黑体" w:hAnsi="Times New Roman" w:eastAsia="黑体" w:cs="Times New Roman"/>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9</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2025-10-11T04:34:00Z</dcterms:created>
  <dc:creator>森</dc:creator>
  <cp:lastModifiedBy>森</cp:lastModifiedBy>
  <dcterms:modified xsi:type="dcterms:W3CDTF">2025-10-11T04:59:51Z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4B45DD11659847F8AC5F47A4C0224140_11</vt:lpwstr>
  </property>
  <property fmtid="{D5CDD505-2E9C-101B-9397-08002B2CF9AE}" pid="4" name="KSOTemplateDocerSaveRecord">
    <vt:lpwstr>eyJoZGlkIjoiOTc3M2Y5NzIzMDFlZjAyY2Q4Njk5ODkyYjFjNzBiNTQiLCJ1c2VySWQiOiI0MzAwMTYzNzkifQ==</vt:lpwstr>
  </property>
</Properties>
</file>