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FDAFA8">
      <w:pPr>
        <w:pStyle w:val="2"/>
        <w:pageBreakBefore w:val="0"/>
        <w:kinsoku/>
        <w:wordWrap w:val="0"/>
        <w:overflowPunct/>
        <w:topLinePunct w:val="0"/>
        <w:bidi w:val="0"/>
        <w:jc w:val="center"/>
        <w:textAlignment w:val="auto"/>
        <w:rPr>
          <w:rFonts w:hint="default" w:ascii="华文中宋" w:hAnsi="华文中宋" w:eastAsia="华文中宋" w:cs="Times New Roman"/>
          <w:b/>
          <w:bCs/>
          <w:kern w:val="44"/>
          <w:sz w:val="44"/>
          <w:szCs w:val="44"/>
          <w:highlight w:val="none"/>
          <w:lang w:val="en-US" w:eastAsia="zh-CN" w:bidi="ar-SA"/>
        </w:rPr>
      </w:pPr>
      <w:bookmarkStart w:id="0" w:name="_Toc15718"/>
      <w:bookmarkStart w:id="1" w:name="_Toc17676"/>
      <w:r>
        <w:rPr>
          <w:rFonts w:hint="eastAsia" w:ascii="华文中宋" w:hAnsi="华文中宋" w:eastAsia="华文中宋" w:cs="Times New Roman"/>
          <w:b/>
          <w:bCs/>
          <w:kern w:val="44"/>
          <w:sz w:val="44"/>
          <w:szCs w:val="44"/>
          <w:highlight w:val="none"/>
          <w:lang w:val="en-US" w:eastAsia="zh-CN" w:bidi="ar-SA"/>
        </w:rPr>
        <w:t>第三章  招标需求</w:t>
      </w:r>
      <w:bookmarkEnd w:id="0"/>
      <w:bookmarkEnd w:id="1"/>
    </w:p>
    <w:p w14:paraId="7CBAFD9C">
      <w:pPr>
        <w:pageBreakBefore w:val="0"/>
        <w:kinsoku/>
        <w:wordWrap w:val="0"/>
        <w:overflowPunct/>
        <w:topLinePunct w:val="0"/>
        <w:bidi w:val="0"/>
        <w:spacing w:line="360" w:lineRule="auto"/>
        <w:textAlignment w:val="auto"/>
        <w:rPr>
          <w:rFonts w:ascii="宋体" w:hAnsi="宋体" w:eastAsia="宋体"/>
          <w:b/>
          <w:sz w:val="24"/>
        </w:rPr>
      </w:pPr>
      <w:r>
        <w:rPr>
          <w:rFonts w:hint="eastAsia" w:ascii="宋体" w:hAnsi="宋体" w:eastAsia="宋体"/>
          <w:b/>
          <w:sz w:val="24"/>
        </w:rPr>
        <w:t>前注：</w:t>
      </w:r>
    </w:p>
    <w:p w14:paraId="7044A219">
      <w:pPr>
        <w:pageBreakBefore w:val="0"/>
        <w:kinsoku/>
        <w:wordWrap w:val="0"/>
        <w:overflowPunct/>
        <w:topLinePunct w:val="0"/>
        <w:bidi w:val="0"/>
        <w:spacing w:line="360" w:lineRule="auto"/>
        <w:ind w:firstLine="437"/>
        <w:textAlignment w:val="auto"/>
        <w:rPr>
          <w:rFonts w:ascii="宋体" w:hAnsi="宋体" w:eastAsia="宋体"/>
          <w:sz w:val="24"/>
        </w:rPr>
      </w:pPr>
      <w:r>
        <w:rPr>
          <w:rFonts w:hint="eastAsia" w:ascii="宋体" w:hAnsi="宋体" w:eastAsia="宋体"/>
          <w:sz w:val="24"/>
          <w:lang w:val="en-US" w:eastAsia="zh-CN"/>
        </w:rPr>
        <w:t>1.</w:t>
      </w:r>
      <w:r>
        <w:rPr>
          <w:rFonts w:ascii="宋体" w:hAnsi="宋体" w:eastAsia="宋体"/>
          <w:sz w:val="24"/>
        </w:rPr>
        <w:t>本说明中提出的</w:t>
      </w:r>
      <w:r>
        <w:rPr>
          <w:rFonts w:hint="eastAsia" w:ascii="宋体" w:hAnsi="宋体" w:eastAsia="宋体"/>
          <w:sz w:val="24"/>
          <w:lang w:val="en-US" w:eastAsia="zh-CN"/>
        </w:rPr>
        <w:t>服务</w:t>
      </w:r>
      <w:r>
        <w:rPr>
          <w:rFonts w:ascii="宋体" w:hAnsi="宋体" w:eastAsia="宋体"/>
          <w:sz w:val="24"/>
        </w:rPr>
        <w:t>方案仅为参考，如无明确限制，</w:t>
      </w:r>
      <w:r>
        <w:rPr>
          <w:rFonts w:hint="eastAsia" w:ascii="宋体" w:hAnsi="宋体" w:eastAsia="宋体"/>
          <w:sz w:val="24"/>
          <w:lang w:val="en-US" w:eastAsia="zh-CN"/>
        </w:rPr>
        <w:t>投标人</w:t>
      </w:r>
      <w:r>
        <w:rPr>
          <w:rFonts w:ascii="宋体" w:hAnsi="宋体" w:eastAsia="宋体"/>
          <w:sz w:val="24"/>
        </w:rPr>
        <w:t>可以进行优化，提供满足用户实际需要的更优（或者性能实质上不低于的）</w:t>
      </w:r>
      <w:r>
        <w:rPr>
          <w:rFonts w:hint="eastAsia" w:ascii="宋体" w:hAnsi="宋体" w:eastAsia="宋体"/>
          <w:sz w:val="24"/>
          <w:lang w:val="en-US" w:eastAsia="zh-CN"/>
        </w:rPr>
        <w:t>服务</w:t>
      </w:r>
      <w:r>
        <w:rPr>
          <w:rFonts w:ascii="宋体" w:hAnsi="宋体" w:eastAsia="宋体"/>
          <w:sz w:val="24"/>
        </w:rPr>
        <w:t>方案，且此方案须经</w:t>
      </w:r>
      <w:r>
        <w:rPr>
          <w:rFonts w:hint="eastAsia" w:ascii="宋体" w:hAnsi="宋体" w:eastAsia="宋体"/>
          <w:sz w:val="24"/>
          <w:lang w:val="en-US" w:eastAsia="zh-CN"/>
        </w:rPr>
        <w:t>评标委员会评标</w:t>
      </w:r>
      <w:r>
        <w:rPr>
          <w:rFonts w:ascii="宋体" w:hAnsi="宋体" w:eastAsia="宋体"/>
          <w:sz w:val="24"/>
        </w:rPr>
        <w:t>认可</w:t>
      </w:r>
      <w:r>
        <w:rPr>
          <w:rFonts w:hint="eastAsia" w:ascii="宋体" w:hAnsi="宋体" w:eastAsia="宋体"/>
          <w:sz w:val="24"/>
        </w:rPr>
        <w:t>。</w:t>
      </w:r>
    </w:p>
    <w:p w14:paraId="2DADEFB7">
      <w:pPr>
        <w:pageBreakBefore w:val="0"/>
        <w:kinsoku/>
        <w:wordWrap w:val="0"/>
        <w:overflowPunct/>
        <w:topLinePunct w:val="0"/>
        <w:bidi w:val="0"/>
        <w:spacing w:line="360" w:lineRule="auto"/>
        <w:ind w:firstLine="437"/>
        <w:textAlignment w:val="auto"/>
        <w:rPr>
          <w:rFonts w:hint="default" w:ascii="Arial" w:hAnsi="Arial" w:eastAsia="宋体" w:cs="Arial"/>
          <w:b/>
          <w:sz w:val="28"/>
          <w:szCs w:val="28"/>
        </w:rPr>
      </w:pPr>
      <w:r>
        <w:rPr>
          <w:rFonts w:hint="default" w:ascii="Arial" w:hAnsi="Arial" w:eastAsia="宋体" w:cs="Arial"/>
          <w:b/>
          <w:sz w:val="28"/>
          <w:szCs w:val="28"/>
        </w:rPr>
        <w:t>一、</w:t>
      </w:r>
      <w:r>
        <w:rPr>
          <w:rFonts w:hint="eastAsia" w:ascii="Arial" w:hAnsi="Arial" w:eastAsia="宋体" w:cs="Arial"/>
          <w:b/>
          <w:sz w:val="28"/>
          <w:szCs w:val="28"/>
          <w:lang w:eastAsia="zh-CN"/>
        </w:rPr>
        <w:t>招标需求</w:t>
      </w:r>
      <w:r>
        <w:rPr>
          <w:rFonts w:hint="default" w:ascii="Arial" w:hAnsi="Arial" w:eastAsia="宋体" w:cs="Arial"/>
          <w:b/>
          <w:sz w:val="28"/>
          <w:szCs w:val="28"/>
        </w:rPr>
        <w:t>前附表</w:t>
      </w:r>
    </w:p>
    <w:tbl>
      <w:tblPr>
        <w:tblStyle w:val="5"/>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8"/>
        <w:gridCol w:w="2213"/>
        <w:gridCol w:w="5977"/>
      </w:tblGrid>
      <w:tr w14:paraId="1A582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8" w:type="dxa"/>
            <w:vAlign w:val="center"/>
          </w:tcPr>
          <w:p w14:paraId="3E152CC8">
            <w:pPr>
              <w:pStyle w:val="7"/>
              <w:pageBreakBefore w:val="0"/>
              <w:pBdr>
                <w:bottom w:val="none" w:color="auto" w:sz="0" w:space="0"/>
              </w:pBdr>
              <w:tabs>
                <w:tab w:val="clear" w:pos="4153"/>
                <w:tab w:val="clear" w:pos="8306"/>
              </w:tabs>
              <w:kinsoku/>
              <w:wordWrap w:val="0"/>
              <w:overflowPunct/>
              <w:topLinePunct w:val="0"/>
              <w:bidi w:val="0"/>
              <w:adjustRightInd/>
              <w:spacing w:line="240" w:lineRule="auto"/>
              <w:textAlignment w:val="auto"/>
              <w:rPr>
                <w:rFonts w:ascii="宋体" w:hAnsi="宋体" w:eastAsia="宋体"/>
                <w:b/>
                <w:kern w:val="2"/>
              </w:rPr>
            </w:pPr>
            <w:r>
              <w:rPr>
                <w:rFonts w:hint="eastAsia" w:ascii="宋体" w:hAnsi="宋体" w:eastAsia="宋体"/>
                <w:b/>
                <w:kern w:val="2"/>
              </w:rPr>
              <w:t>序号</w:t>
            </w:r>
          </w:p>
        </w:tc>
        <w:tc>
          <w:tcPr>
            <w:tcW w:w="2213" w:type="dxa"/>
            <w:vAlign w:val="center"/>
          </w:tcPr>
          <w:p w14:paraId="1D1C7A20">
            <w:pPr>
              <w:pStyle w:val="8"/>
              <w:pageBreakBefore w:val="0"/>
              <w:widowControl w:val="0"/>
              <w:kinsoku/>
              <w:wordWrap w:val="0"/>
              <w:overflowPunct/>
              <w:topLinePunct w:val="0"/>
              <w:bidi w:val="0"/>
              <w:spacing w:before="0" w:beforeAutospacing="0" w:after="0" w:afterAutospacing="0" w:line="360" w:lineRule="auto"/>
              <w:textAlignment w:val="auto"/>
              <w:rPr>
                <w:rFonts w:ascii="宋体" w:hAnsi="宋体" w:eastAsia="宋体"/>
                <w:bCs w:val="0"/>
                <w:sz w:val="24"/>
              </w:rPr>
            </w:pPr>
            <w:r>
              <w:rPr>
                <w:rFonts w:hint="eastAsia" w:ascii="宋体" w:hAnsi="宋体" w:eastAsia="宋体"/>
                <w:bCs w:val="0"/>
                <w:sz w:val="24"/>
              </w:rPr>
              <w:t>条款名称</w:t>
            </w:r>
          </w:p>
        </w:tc>
        <w:tc>
          <w:tcPr>
            <w:tcW w:w="5977" w:type="dxa"/>
            <w:vAlign w:val="center"/>
          </w:tcPr>
          <w:p w14:paraId="151A9B1D">
            <w:pPr>
              <w:pStyle w:val="8"/>
              <w:pageBreakBefore w:val="0"/>
              <w:widowControl w:val="0"/>
              <w:kinsoku/>
              <w:wordWrap w:val="0"/>
              <w:overflowPunct/>
              <w:topLinePunct w:val="0"/>
              <w:bidi w:val="0"/>
              <w:spacing w:before="0" w:beforeAutospacing="0" w:after="0" w:afterAutospacing="0" w:line="360" w:lineRule="auto"/>
              <w:textAlignment w:val="auto"/>
              <w:rPr>
                <w:rFonts w:ascii="宋体" w:hAnsi="宋体" w:eastAsia="宋体"/>
                <w:bCs w:val="0"/>
                <w:sz w:val="24"/>
              </w:rPr>
            </w:pPr>
            <w:r>
              <w:rPr>
                <w:rFonts w:hint="eastAsia" w:ascii="宋体" w:hAnsi="宋体" w:eastAsia="宋体"/>
                <w:bCs w:val="0"/>
                <w:sz w:val="24"/>
              </w:rPr>
              <w:t>内容、说明与要求</w:t>
            </w:r>
          </w:p>
        </w:tc>
      </w:tr>
      <w:tr w14:paraId="57331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8" w:type="dxa"/>
            <w:vAlign w:val="center"/>
          </w:tcPr>
          <w:p w14:paraId="0C9AB622">
            <w:pPr>
              <w:pStyle w:val="7"/>
              <w:pageBreakBefore w:val="0"/>
              <w:pBdr>
                <w:bottom w:val="none" w:color="auto" w:sz="0" w:space="0"/>
              </w:pBdr>
              <w:tabs>
                <w:tab w:val="clear" w:pos="4153"/>
                <w:tab w:val="clear" w:pos="8306"/>
              </w:tabs>
              <w:kinsoku/>
              <w:wordWrap w:val="0"/>
              <w:overflowPunct/>
              <w:topLinePunct w:val="0"/>
              <w:bidi w:val="0"/>
              <w:adjustRightInd/>
              <w:spacing w:line="240" w:lineRule="auto"/>
              <w:textAlignment w:val="auto"/>
              <w:rPr>
                <w:rFonts w:ascii="宋体" w:hAnsi="宋体" w:eastAsia="宋体"/>
                <w:bCs/>
                <w:kern w:val="2"/>
              </w:rPr>
            </w:pPr>
            <w:r>
              <w:rPr>
                <w:rFonts w:hint="eastAsia" w:ascii="宋体" w:hAnsi="宋体" w:eastAsia="宋体"/>
                <w:bCs/>
                <w:kern w:val="2"/>
              </w:rPr>
              <w:t>1</w:t>
            </w:r>
          </w:p>
        </w:tc>
        <w:tc>
          <w:tcPr>
            <w:tcW w:w="2213" w:type="dxa"/>
            <w:vAlign w:val="center"/>
          </w:tcPr>
          <w:p w14:paraId="50CDBD62">
            <w:pPr>
              <w:pStyle w:val="8"/>
              <w:pageBreakBefore w:val="0"/>
              <w:widowControl w:val="0"/>
              <w:kinsoku/>
              <w:wordWrap w:val="0"/>
              <w:overflowPunct/>
              <w:topLinePunct w:val="0"/>
              <w:bidi w:val="0"/>
              <w:spacing w:before="0" w:beforeAutospacing="0" w:after="0" w:afterAutospacing="0" w:line="360" w:lineRule="auto"/>
              <w:textAlignment w:val="auto"/>
              <w:rPr>
                <w:rFonts w:ascii="宋体" w:hAnsi="宋体" w:eastAsia="宋体"/>
                <w:b w:val="0"/>
                <w:sz w:val="24"/>
              </w:rPr>
            </w:pPr>
            <w:r>
              <w:rPr>
                <w:rFonts w:hint="eastAsia" w:ascii="宋体" w:hAnsi="宋体" w:eastAsia="宋体"/>
                <w:b w:val="0"/>
                <w:sz w:val="24"/>
              </w:rPr>
              <w:t>付款方式</w:t>
            </w:r>
          </w:p>
        </w:tc>
        <w:tc>
          <w:tcPr>
            <w:tcW w:w="5977" w:type="dxa"/>
            <w:vAlign w:val="center"/>
          </w:tcPr>
          <w:p w14:paraId="6D04D7F8">
            <w:pPr>
              <w:pStyle w:val="8"/>
              <w:pageBreakBefore w:val="0"/>
              <w:widowControl w:val="0"/>
              <w:kinsoku/>
              <w:wordWrap w:val="0"/>
              <w:overflowPunct/>
              <w:topLinePunct w:val="0"/>
              <w:bidi w:val="0"/>
              <w:spacing w:before="0" w:beforeAutospacing="0" w:after="0" w:afterAutospacing="0" w:line="360" w:lineRule="auto"/>
              <w:jc w:val="left"/>
              <w:textAlignment w:val="auto"/>
              <w:rPr>
                <w:rFonts w:hint="eastAsia" w:ascii="宋体" w:hAnsi="宋体" w:eastAsia="宋体"/>
                <w:b w:val="0"/>
                <w:sz w:val="24"/>
                <w:lang w:val="en-US" w:eastAsia="zh-CN"/>
              </w:rPr>
            </w:pPr>
            <w:r>
              <w:rPr>
                <w:rFonts w:hint="eastAsia" w:ascii="宋体" w:hAnsi="宋体" w:eastAsia="宋体"/>
                <w:b w:val="0"/>
                <w:sz w:val="24"/>
                <w:lang w:val="en-US" w:eastAsia="en-US"/>
              </w:rPr>
              <w:t>学生</w:t>
            </w:r>
            <w:r>
              <w:rPr>
                <w:rFonts w:hint="eastAsia" w:ascii="宋体" w:hAnsi="宋体" w:eastAsia="宋体"/>
                <w:b w:val="0"/>
                <w:sz w:val="24"/>
                <w:lang w:val="en-US" w:eastAsia="zh-CN"/>
              </w:rPr>
              <w:t>每学期通过教材管理系统</w:t>
            </w:r>
            <w:r>
              <w:rPr>
                <w:rFonts w:hint="eastAsia" w:ascii="宋体" w:hAnsi="宋体" w:eastAsia="宋体"/>
                <w:b w:val="0"/>
                <w:sz w:val="24"/>
                <w:lang w:val="en-US" w:eastAsia="en-US"/>
              </w:rPr>
              <w:t>将书本费用（实洋）打到</w:t>
            </w:r>
            <w:r>
              <w:rPr>
                <w:rFonts w:hint="eastAsia" w:ascii="宋体" w:hAnsi="宋体" w:eastAsia="宋体"/>
                <w:b w:val="0"/>
                <w:sz w:val="24"/>
                <w:lang w:val="en-US" w:eastAsia="zh-CN"/>
              </w:rPr>
              <w:t>中标人</w:t>
            </w:r>
            <w:r>
              <w:rPr>
                <w:rFonts w:hint="eastAsia" w:ascii="宋体" w:hAnsi="宋体" w:eastAsia="宋体"/>
                <w:b w:val="0"/>
                <w:sz w:val="24"/>
                <w:lang w:val="en-US" w:eastAsia="en-US"/>
              </w:rPr>
              <w:t>指定账户</w:t>
            </w:r>
          </w:p>
        </w:tc>
      </w:tr>
      <w:tr w14:paraId="57035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8" w:type="dxa"/>
            <w:vAlign w:val="center"/>
          </w:tcPr>
          <w:p w14:paraId="16399024">
            <w:pPr>
              <w:pStyle w:val="7"/>
              <w:pageBreakBefore w:val="0"/>
              <w:pBdr>
                <w:bottom w:val="none" w:color="auto" w:sz="0" w:space="0"/>
              </w:pBdr>
              <w:tabs>
                <w:tab w:val="clear" w:pos="4153"/>
                <w:tab w:val="clear" w:pos="8306"/>
              </w:tabs>
              <w:kinsoku/>
              <w:wordWrap w:val="0"/>
              <w:overflowPunct/>
              <w:topLinePunct w:val="0"/>
              <w:bidi w:val="0"/>
              <w:adjustRightInd/>
              <w:spacing w:line="240" w:lineRule="auto"/>
              <w:textAlignment w:val="auto"/>
              <w:rPr>
                <w:rFonts w:ascii="宋体" w:hAnsi="宋体" w:eastAsia="宋体"/>
                <w:bCs/>
                <w:kern w:val="2"/>
              </w:rPr>
            </w:pPr>
            <w:r>
              <w:rPr>
                <w:rFonts w:hint="eastAsia" w:ascii="宋体" w:hAnsi="宋体" w:eastAsia="宋体"/>
                <w:bCs/>
                <w:kern w:val="2"/>
              </w:rPr>
              <w:t>2</w:t>
            </w:r>
          </w:p>
        </w:tc>
        <w:tc>
          <w:tcPr>
            <w:tcW w:w="2213" w:type="dxa"/>
            <w:vAlign w:val="center"/>
          </w:tcPr>
          <w:p w14:paraId="45A4D7AB">
            <w:pPr>
              <w:pStyle w:val="8"/>
              <w:pageBreakBefore w:val="0"/>
              <w:widowControl w:val="0"/>
              <w:kinsoku/>
              <w:wordWrap w:val="0"/>
              <w:overflowPunct/>
              <w:topLinePunct w:val="0"/>
              <w:bidi w:val="0"/>
              <w:spacing w:before="0" w:beforeAutospacing="0" w:after="0" w:afterAutospacing="0" w:line="360" w:lineRule="auto"/>
              <w:textAlignment w:val="auto"/>
              <w:rPr>
                <w:rFonts w:ascii="宋体" w:hAnsi="宋体" w:eastAsia="宋体"/>
                <w:b w:val="0"/>
                <w:sz w:val="24"/>
                <w:highlight w:val="none"/>
              </w:rPr>
            </w:pPr>
            <w:r>
              <w:rPr>
                <w:rFonts w:hint="eastAsia" w:ascii="宋体" w:hAnsi="宋体" w:eastAsia="宋体"/>
                <w:b w:val="0"/>
                <w:sz w:val="24"/>
                <w:highlight w:val="none"/>
                <w:lang w:val="en-US" w:eastAsia="zh-CN"/>
              </w:rPr>
              <w:t>服务</w:t>
            </w:r>
            <w:r>
              <w:rPr>
                <w:rFonts w:hint="eastAsia" w:ascii="宋体" w:hAnsi="宋体" w:eastAsia="宋体"/>
                <w:b w:val="0"/>
                <w:sz w:val="24"/>
                <w:highlight w:val="none"/>
              </w:rPr>
              <w:t>地点</w:t>
            </w:r>
          </w:p>
        </w:tc>
        <w:tc>
          <w:tcPr>
            <w:tcW w:w="5977" w:type="dxa"/>
            <w:vAlign w:val="center"/>
          </w:tcPr>
          <w:p w14:paraId="1FA4422C">
            <w:pPr>
              <w:pStyle w:val="8"/>
              <w:pageBreakBefore w:val="0"/>
              <w:widowControl w:val="0"/>
              <w:kinsoku/>
              <w:wordWrap w:val="0"/>
              <w:overflowPunct/>
              <w:topLinePunct w:val="0"/>
              <w:bidi w:val="0"/>
              <w:spacing w:before="0" w:beforeAutospacing="0" w:after="0" w:afterAutospacing="0" w:line="360" w:lineRule="auto"/>
              <w:jc w:val="left"/>
              <w:textAlignment w:val="auto"/>
              <w:rPr>
                <w:rFonts w:hint="eastAsia" w:ascii="宋体" w:hAnsi="宋体" w:eastAsia="宋体"/>
                <w:b w:val="0"/>
                <w:sz w:val="24"/>
                <w:highlight w:val="none"/>
                <w:lang w:val="en-US" w:eastAsia="zh-CN"/>
              </w:rPr>
            </w:pPr>
            <w:r>
              <w:rPr>
                <w:rFonts w:hint="eastAsia" w:ascii="宋体" w:hAnsi="宋体" w:eastAsia="宋体"/>
                <w:b w:val="0"/>
                <w:sz w:val="24"/>
                <w:highlight w:val="none"/>
                <w:lang w:val="en-US" w:eastAsia="zh-CN"/>
              </w:rPr>
              <w:t>安徽国防科技职业学院校内</w:t>
            </w:r>
          </w:p>
        </w:tc>
      </w:tr>
      <w:tr w14:paraId="020D6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8" w:type="dxa"/>
            <w:vAlign w:val="center"/>
          </w:tcPr>
          <w:p w14:paraId="335C02A5">
            <w:pPr>
              <w:pStyle w:val="7"/>
              <w:pageBreakBefore w:val="0"/>
              <w:pBdr>
                <w:bottom w:val="none" w:color="auto" w:sz="0" w:space="0"/>
              </w:pBdr>
              <w:tabs>
                <w:tab w:val="clear" w:pos="4153"/>
                <w:tab w:val="clear" w:pos="8306"/>
              </w:tabs>
              <w:kinsoku/>
              <w:wordWrap w:val="0"/>
              <w:overflowPunct/>
              <w:topLinePunct w:val="0"/>
              <w:bidi w:val="0"/>
              <w:adjustRightInd/>
              <w:spacing w:line="240" w:lineRule="auto"/>
              <w:textAlignment w:val="auto"/>
              <w:rPr>
                <w:rFonts w:hint="eastAsia" w:ascii="宋体" w:hAnsi="宋体" w:eastAsia="宋体"/>
                <w:bCs/>
                <w:kern w:val="2"/>
                <w:lang w:val="en-US" w:eastAsia="zh-CN"/>
              </w:rPr>
            </w:pPr>
            <w:r>
              <w:rPr>
                <w:rFonts w:hint="eastAsia" w:ascii="宋体" w:hAnsi="宋体" w:eastAsia="宋体"/>
                <w:bCs/>
                <w:kern w:val="2"/>
                <w:lang w:val="en-US" w:eastAsia="zh-CN"/>
              </w:rPr>
              <w:t>3</w:t>
            </w:r>
          </w:p>
        </w:tc>
        <w:tc>
          <w:tcPr>
            <w:tcW w:w="2213" w:type="dxa"/>
            <w:vAlign w:val="center"/>
          </w:tcPr>
          <w:p w14:paraId="2113CC97">
            <w:pPr>
              <w:pStyle w:val="8"/>
              <w:pageBreakBefore w:val="0"/>
              <w:widowControl w:val="0"/>
              <w:kinsoku/>
              <w:wordWrap w:val="0"/>
              <w:overflowPunct/>
              <w:topLinePunct w:val="0"/>
              <w:bidi w:val="0"/>
              <w:spacing w:before="0" w:beforeAutospacing="0" w:after="0" w:afterAutospacing="0" w:line="360" w:lineRule="auto"/>
              <w:textAlignment w:val="auto"/>
              <w:rPr>
                <w:rFonts w:hint="default" w:ascii="宋体" w:hAnsi="宋体" w:eastAsia="宋体"/>
                <w:b w:val="0"/>
                <w:sz w:val="24"/>
                <w:lang w:val="en-US" w:eastAsia="zh-CN"/>
              </w:rPr>
            </w:pPr>
            <w:r>
              <w:rPr>
                <w:rFonts w:hint="eastAsia" w:ascii="宋体" w:hAnsi="宋体" w:eastAsia="宋体"/>
                <w:b w:val="0"/>
                <w:sz w:val="24"/>
                <w:lang w:val="en-US" w:eastAsia="zh-CN"/>
              </w:rPr>
              <w:t>服务时间</w:t>
            </w:r>
          </w:p>
        </w:tc>
        <w:tc>
          <w:tcPr>
            <w:tcW w:w="5977" w:type="dxa"/>
            <w:vAlign w:val="center"/>
          </w:tcPr>
          <w:p w14:paraId="4AFA3D17">
            <w:pPr>
              <w:pStyle w:val="8"/>
              <w:pageBreakBefore w:val="0"/>
              <w:widowControl w:val="0"/>
              <w:kinsoku/>
              <w:wordWrap w:val="0"/>
              <w:overflowPunct/>
              <w:topLinePunct w:val="0"/>
              <w:bidi w:val="0"/>
              <w:spacing w:before="0" w:beforeAutospacing="0" w:after="0" w:afterAutospacing="0" w:line="360" w:lineRule="auto"/>
              <w:jc w:val="left"/>
              <w:textAlignment w:val="auto"/>
              <w:rPr>
                <w:rFonts w:hint="eastAsia" w:ascii="宋体" w:hAnsi="宋体" w:eastAsia="宋体"/>
                <w:b w:val="0"/>
                <w:sz w:val="24"/>
                <w:lang w:val="en-US" w:eastAsia="zh-CN"/>
              </w:rPr>
            </w:pPr>
            <w:r>
              <w:rPr>
                <w:rFonts w:hint="eastAsia" w:ascii="宋体" w:hAnsi="宋体" w:eastAsia="宋体"/>
                <w:b w:val="0"/>
                <w:sz w:val="24"/>
                <w:lang w:val="en-US" w:eastAsia="zh-CN"/>
              </w:rPr>
              <w:t>根据学生实际报到人数，按实收取，每学期开学前一周送货到位，完成验收</w:t>
            </w:r>
          </w:p>
        </w:tc>
      </w:tr>
      <w:tr w14:paraId="0DEA6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8" w:type="dxa"/>
            <w:vAlign w:val="center"/>
          </w:tcPr>
          <w:p w14:paraId="0E0F21BA">
            <w:pPr>
              <w:pStyle w:val="7"/>
              <w:pageBreakBefore w:val="0"/>
              <w:pBdr>
                <w:bottom w:val="none" w:color="auto" w:sz="0" w:space="0"/>
              </w:pBdr>
              <w:tabs>
                <w:tab w:val="clear" w:pos="4153"/>
                <w:tab w:val="clear" w:pos="8306"/>
              </w:tabs>
              <w:kinsoku/>
              <w:wordWrap w:val="0"/>
              <w:overflowPunct/>
              <w:topLinePunct w:val="0"/>
              <w:bidi w:val="0"/>
              <w:adjustRightInd/>
              <w:spacing w:line="240" w:lineRule="auto"/>
              <w:textAlignment w:val="auto"/>
              <w:rPr>
                <w:rFonts w:hint="eastAsia" w:ascii="宋体" w:hAnsi="宋体" w:eastAsia="宋体"/>
                <w:bCs/>
                <w:kern w:val="2"/>
                <w:lang w:eastAsia="zh-CN"/>
              </w:rPr>
            </w:pPr>
            <w:r>
              <w:rPr>
                <w:rFonts w:hint="eastAsia" w:ascii="宋体" w:hAnsi="宋体" w:eastAsia="宋体"/>
                <w:bCs/>
                <w:kern w:val="2"/>
                <w:lang w:val="en-US" w:eastAsia="zh-CN"/>
              </w:rPr>
              <w:t>4</w:t>
            </w:r>
          </w:p>
        </w:tc>
        <w:tc>
          <w:tcPr>
            <w:tcW w:w="2213" w:type="dxa"/>
            <w:vAlign w:val="center"/>
          </w:tcPr>
          <w:p w14:paraId="26BE93CD">
            <w:pPr>
              <w:pStyle w:val="8"/>
              <w:pageBreakBefore w:val="0"/>
              <w:widowControl w:val="0"/>
              <w:kinsoku/>
              <w:wordWrap w:val="0"/>
              <w:overflowPunct/>
              <w:topLinePunct w:val="0"/>
              <w:bidi w:val="0"/>
              <w:spacing w:before="0" w:beforeAutospacing="0" w:after="0" w:afterAutospacing="0" w:line="360" w:lineRule="auto"/>
              <w:textAlignment w:val="auto"/>
              <w:rPr>
                <w:rFonts w:ascii="宋体" w:hAnsi="宋体" w:eastAsia="宋体"/>
                <w:b w:val="0"/>
                <w:sz w:val="24"/>
              </w:rPr>
            </w:pPr>
            <w:r>
              <w:rPr>
                <w:rFonts w:hint="eastAsia" w:ascii="宋体" w:hAnsi="宋体" w:eastAsia="宋体"/>
                <w:b w:val="0"/>
                <w:sz w:val="24"/>
                <w:lang w:val="en-US" w:eastAsia="zh-CN"/>
              </w:rPr>
              <w:t>服务</w:t>
            </w:r>
            <w:r>
              <w:rPr>
                <w:rFonts w:hint="eastAsia" w:ascii="宋体" w:hAnsi="宋体" w:eastAsia="宋体"/>
                <w:b w:val="0"/>
                <w:sz w:val="24"/>
              </w:rPr>
              <w:t>期限</w:t>
            </w:r>
          </w:p>
        </w:tc>
        <w:tc>
          <w:tcPr>
            <w:tcW w:w="5977" w:type="dxa"/>
            <w:vAlign w:val="center"/>
          </w:tcPr>
          <w:p w14:paraId="010C6A56">
            <w:pPr>
              <w:pStyle w:val="8"/>
              <w:pageBreakBefore w:val="0"/>
              <w:widowControl w:val="0"/>
              <w:kinsoku/>
              <w:wordWrap w:val="0"/>
              <w:overflowPunct/>
              <w:topLinePunct w:val="0"/>
              <w:bidi w:val="0"/>
              <w:spacing w:before="0" w:beforeAutospacing="0" w:after="0" w:afterAutospacing="0" w:line="360" w:lineRule="auto"/>
              <w:jc w:val="left"/>
              <w:textAlignment w:val="auto"/>
              <w:rPr>
                <w:rFonts w:hint="eastAsia" w:ascii="宋体" w:hAnsi="宋体" w:eastAsia="宋体"/>
                <w:b w:val="0"/>
                <w:sz w:val="24"/>
                <w:lang w:val="en-US" w:eastAsia="zh-CN"/>
              </w:rPr>
            </w:pPr>
            <w:r>
              <w:rPr>
                <w:rFonts w:hint="eastAsia" w:ascii="宋体" w:hAnsi="宋体" w:eastAsia="宋体"/>
                <w:b w:val="0"/>
                <w:sz w:val="24"/>
                <w:lang w:val="en-US" w:eastAsia="zh-CN"/>
              </w:rPr>
              <w:t>本次采购服务的时间为合同签订生效之日起一年。服务期满后，如本次服务反馈良好，合同双方同意，且年度预算能保障的前提下，可按中标价格续签下一年度合同，合同一年一签，最多续签1次。</w:t>
            </w:r>
          </w:p>
        </w:tc>
      </w:tr>
    </w:tbl>
    <w:p w14:paraId="19828A2D">
      <w:pPr>
        <w:pageBreakBefore w:val="0"/>
        <w:numPr>
          <w:ilvl w:val="0"/>
          <w:numId w:val="1"/>
        </w:numPr>
        <w:kinsoku/>
        <w:wordWrap w:val="0"/>
        <w:overflowPunct/>
        <w:topLinePunct w:val="0"/>
        <w:bidi w:val="0"/>
        <w:spacing w:line="360" w:lineRule="auto"/>
        <w:ind w:firstLine="437"/>
        <w:textAlignment w:val="auto"/>
        <w:rPr>
          <w:rFonts w:hint="eastAsia" w:ascii="Arial" w:hAnsi="Arial" w:eastAsia="宋体" w:cs="Arial"/>
          <w:b/>
          <w:bCs/>
          <w:color w:val="auto"/>
          <w:sz w:val="28"/>
          <w:szCs w:val="28"/>
          <w:lang w:val="en-US" w:eastAsia="zh-CN"/>
        </w:rPr>
      </w:pPr>
      <w:r>
        <w:rPr>
          <w:rFonts w:hint="eastAsia" w:ascii="Arial" w:hAnsi="Arial" w:eastAsia="宋体" w:cs="Arial"/>
          <w:b/>
          <w:bCs/>
          <w:color w:val="auto"/>
          <w:sz w:val="28"/>
          <w:szCs w:val="28"/>
          <w:lang w:val="en-US" w:eastAsia="zh-CN"/>
        </w:rPr>
        <w:t>项目概况</w:t>
      </w:r>
    </w:p>
    <w:p w14:paraId="253F9CA0">
      <w:pPr>
        <w:pageBreakBefore w:val="0"/>
        <w:kinsoku/>
        <w:wordWrap w:val="0"/>
        <w:overflowPunct/>
        <w:topLinePunct w:val="0"/>
        <w:bidi w:val="0"/>
        <w:spacing w:line="360" w:lineRule="auto"/>
        <w:ind w:firstLine="437"/>
        <w:textAlignment w:val="auto"/>
        <w:rPr>
          <w:rFonts w:hint="eastAsia" w:ascii="宋体" w:hAnsi="宋体" w:eastAsia="宋体"/>
          <w:sz w:val="24"/>
          <w:lang w:val="en-US" w:eastAsia="zh-CN"/>
        </w:rPr>
      </w:pPr>
      <w:r>
        <w:rPr>
          <w:rFonts w:hint="eastAsia" w:ascii="宋体" w:hAnsi="宋体" w:eastAsia="宋体"/>
          <w:sz w:val="24"/>
          <w:lang w:val="en-US" w:eastAsia="zh-CN"/>
        </w:rPr>
        <w:t>安徽国防科技职业院出版类教材采购与发放服务项目共分2个包，具体包别内容如下：</w:t>
      </w:r>
    </w:p>
    <w:p w14:paraId="6474C42B">
      <w:pPr>
        <w:pageBreakBefore w:val="0"/>
        <w:kinsoku/>
        <w:wordWrap w:val="0"/>
        <w:overflowPunct/>
        <w:topLinePunct w:val="0"/>
        <w:bidi w:val="0"/>
        <w:spacing w:line="360" w:lineRule="auto"/>
        <w:ind w:firstLine="437"/>
        <w:textAlignment w:val="auto"/>
        <w:rPr>
          <w:rFonts w:hint="eastAsia" w:ascii="宋体" w:hAnsi="宋体" w:eastAsia="宋体"/>
          <w:sz w:val="24"/>
          <w:lang w:val="en-US" w:eastAsia="zh-CN"/>
        </w:rPr>
      </w:pPr>
      <w:r>
        <w:rPr>
          <w:rFonts w:hint="eastAsia" w:ascii="宋体" w:hAnsi="宋体" w:eastAsia="宋体"/>
          <w:sz w:val="24"/>
          <w:lang w:val="en-US" w:eastAsia="zh-CN"/>
        </w:rPr>
        <w:t>第1包：信息技术学院、经贸管理学院、城市建设学院教材含高教教材、非高教教材、思政教材；</w:t>
      </w:r>
    </w:p>
    <w:p w14:paraId="76B708CB">
      <w:pPr>
        <w:pageBreakBefore w:val="0"/>
        <w:kinsoku/>
        <w:wordWrap w:val="0"/>
        <w:overflowPunct/>
        <w:topLinePunct w:val="0"/>
        <w:bidi w:val="0"/>
        <w:spacing w:line="360" w:lineRule="auto"/>
        <w:ind w:firstLine="437"/>
        <w:textAlignment w:val="auto"/>
        <w:rPr>
          <w:rFonts w:hint="default" w:ascii="宋体" w:hAnsi="宋体" w:eastAsia="宋体"/>
          <w:sz w:val="24"/>
          <w:lang w:val="en-US" w:eastAsia="zh-CN"/>
        </w:rPr>
      </w:pPr>
      <w:r>
        <w:rPr>
          <w:rFonts w:hint="eastAsia" w:ascii="宋体" w:hAnsi="宋体" w:eastAsia="宋体"/>
          <w:sz w:val="24"/>
          <w:lang w:val="en-US" w:eastAsia="zh-CN"/>
        </w:rPr>
        <w:t>第2包：电气技术学院、机械技术学院、汽车技术学院教材含高教教材、非高教教材、思政教材。</w:t>
      </w:r>
    </w:p>
    <w:p w14:paraId="5FE0EA2B">
      <w:pPr>
        <w:pageBreakBefore w:val="0"/>
        <w:kinsoku/>
        <w:wordWrap w:val="0"/>
        <w:overflowPunct/>
        <w:topLinePunct w:val="0"/>
        <w:bidi w:val="0"/>
        <w:spacing w:line="360" w:lineRule="auto"/>
        <w:ind w:firstLine="437"/>
        <w:textAlignment w:val="auto"/>
        <w:rPr>
          <w:rFonts w:hint="eastAsia" w:ascii="宋体" w:hAnsi="宋体" w:eastAsia="宋体"/>
          <w:b/>
          <w:bCs/>
          <w:sz w:val="24"/>
          <w:lang w:val="en-US" w:eastAsia="zh-CN"/>
        </w:rPr>
      </w:pPr>
      <w:r>
        <w:rPr>
          <w:rFonts w:hint="eastAsia" w:ascii="宋体" w:hAnsi="宋体" w:eastAsia="宋体"/>
          <w:b/>
          <w:bCs/>
          <w:sz w:val="24"/>
          <w:lang w:val="en-US" w:eastAsia="zh-CN"/>
        </w:rPr>
        <w:t>注：两包均包含“思想政治理论课”教材，两课教材按照上级教育主管部门规定的折扣100%供货，此项不参与本项目报价评审，属于实质性要求，不允许偏离或未响应，否则投标无效。</w:t>
      </w:r>
    </w:p>
    <w:p w14:paraId="2E3F2EA1">
      <w:pPr>
        <w:pageBreakBefore w:val="0"/>
        <w:kinsoku/>
        <w:wordWrap w:val="0"/>
        <w:overflowPunct/>
        <w:topLinePunct w:val="0"/>
        <w:bidi w:val="0"/>
        <w:spacing w:line="360" w:lineRule="auto"/>
        <w:ind w:firstLine="437"/>
        <w:textAlignment w:val="auto"/>
        <w:rPr>
          <w:rFonts w:hint="default" w:ascii="宋体" w:hAnsi="宋体" w:eastAsia="宋体"/>
          <w:sz w:val="24"/>
          <w:lang w:val="en-US" w:eastAsia="zh-CN"/>
        </w:rPr>
      </w:pPr>
      <w:r>
        <w:rPr>
          <w:rFonts w:hint="eastAsia" w:ascii="宋体" w:hAnsi="宋体" w:eastAsia="宋体"/>
          <w:sz w:val="24"/>
          <w:lang w:val="en-US" w:eastAsia="zh-CN"/>
        </w:rPr>
        <w:t>合同履行期限：共2年，采用1+1模式，</w:t>
      </w:r>
      <w:r>
        <w:rPr>
          <w:rFonts w:hint="eastAsia" w:ascii="宋体" w:hAnsi="宋体" w:eastAsia="宋体"/>
          <w:sz w:val="24"/>
          <w:lang w:val="en-US" w:eastAsia="en-US"/>
        </w:rPr>
        <w:t>采购人在合同履约期间，每</w:t>
      </w:r>
      <w:r>
        <w:rPr>
          <w:rFonts w:hint="eastAsia" w:ascii="宋体" w:hAnsi="宋体" w:eastAsia="宋体"/>
          <w:sz w:val="24"/>
          <w:lang w:val="en-US" w:eastAsia="zh-CN"/>
        </w:rPr>
        <w:t>学期</w:t>
      </w:r>
      <w:r>
        <w:rPr>
          <w:rFonts w:hint="eastAsia" w:ascii="宋体" w:hAnsi="宋体" w:eastAsia="宋体"/>
          <w:sz w:val="24"/>
          <w:lang w:val="en-US" w:eastAsia="en-US"/>
        </w:rPr>
        <w:t>对</w:t>
      </w:r>
      <w:r>
        <w:rPr>
          <w:rFonts w:hint="eastAsia" w:ascii="宋体" w:hAnsi="宋体" w:eastAsia="宋体"/>
          <w:sz w:val="24"/>
          <w:lang w:val="en-US" w:eastAsia="zh-CN"/>
        </w:rPr>
        <w:t>投标人</w:t>
      </w:r>
      <w:r>
        <w:rPr>
          <w:rFonts w:hint="eastAsia" w:ascii="宋体" w:hAnsi="宋体" w:eastAsia="宋体"/>
          <w:sz w:val="24"/>
          <w:lang w:val="en-US" w:eastAsia="en-US"/>
        </w:rPr>
        <w:t>进行一次供货工作的质量考核，按下列考核标准，如有3项及以上得到采购人“不满意”评价的，视为“不合格”。</w:t>
      </w:r>
      <w:r>
        <w:rPr>
          <w:rFonts w:hint="eastAsia" w:ascii="宋体" w:hAnsi="宋体" w:eastAsia="宋体"/>
          <w:sz w:val="24"/>
          <w:lang w:val="en-US" w:eastAsia="zh-CN"/>
        </w:rPr>
        <w:t>投标人</w:t>
      </w:r>
      <w:r>
        <w:rPr>
          <w:rFonts w:hint="eastAsia" w:ascii="宋体" w:hAnsi="宋体" w:eastAsia="宋体"/>
          <w:sz w:val="24"/>
          <w:lang w:val="en-US" w:eastAsia="en-US"/>
        </w:rPr>
        <w:t>在每</w:t>
      </w:r>
      <w:r>
        <w:rPr>
          <w:rFonts w:hint="eastAsia" w:ascii="宋体" w:hAnsi="宋体" w:eastAsia="宋体"/>
          <w:sz w:val="24"/>
          <w:lang w:val="en-US" w:eastAsia="zh-CN"/>
        </w:rPr>
        <w:t>学期</w:t>
      </w:r>
      <w:r>
        <w:rPr>
          <w:rFonts w:hint="eastAsia" w:ascii="宋体" w:hAnsi="宋体" w:eastAsia="宋体"/>
          <w:sz w:val="24"/>
          <w:lang w:val="en-US" w:eastAsia="en-US"/>
        </w:rPr>
        <w:t>考核结果为“不合格”评价的，采购人将对</w:t>
      </w:r>
      <w:r>
        <w:rPr>
          <w:rFonts w:hint="eastAsia" w:ascii="宋体" w:hAnsi="宋体" w:eastAsia="宋体"/>
          <w:sz w:val="24"/>
          <w:lang w:val="en-US" w:eastAsia="zh-CN"/>
        </w:rPr>
        <w:t>投标人</w:t>
      </w:r>
      <w:r>
        <w:rPr>
          <w:rFonts w:hint="eastAsia" w:ascii="宋体" w:hAnsi="宋体" w:eastAsia="宋体"/>
          <w:sz w:val="24"/>
          <w:lang w:val="en-US" w:eastAsia="en-US"/>
        </w:rPr>
        <w:t>做出警告提醒并要求其限期整改，合同服务期间如出现2个及以上“不合格”评价的，采购人将有权终止</w:t>
      </w:r>
      <w:r>
        <w:rPr>
          <w:rFonts w:hint="eastAsia" w:ascii="宋体" w:hAnsi="宋体" w:eastAsia="宋体"/>
          <w:sz w:val="24"/>
          <w:lang w:val="en-US" w:eastAsia="zh-CN"/>
        </w:rPr>
        <w:t>中标人</w:t>
      </w:r>
      <w:r>
        <w:rPr>
          <w:rFonts w:hint="eastAsia" w:ascii="宋体" w:hAnsi="宋体" w:eastAsia="宋体"/>
          <w:sz w:val="24"/>
          <w:lang w:val="en-US" w:eastAsia="en-US"/>
        </w:rPr>
        <w:t>的供货资格（采购合同）。</w:t>
      </w:r>
      <w:r>
        <w:rPr>
          <w:rFonts w:hint="eastAsia" w:ascii="宋体" w:hAnsi="宋体" w:eastAsia="宋体"/>
          <w:b/>
          <w:bCs/>
          <w:sz w:val="24"/>
          <w:lang w:val="en-US" w:eastAsia="en-US"/>
        </w:rPr>
        <w:t>《履约考核表》详见附件。</w:t>
      </w:r>
    </w:p>
    <w:p w14:paraId="417E5507">
      <w:pPr>
        <w:pageBreakBefore w:val="0"/>
        <w:numPr>
          <w:ilvl w:val="0"/>
          <w:numId w:val="1"/>
        </w:numPr>
        <w:kinsoku/>
        <w:wordWrap w:val="0"/>
        <w:overflowPunct/>
        <w:topLinePunct w:val="0"/>
        <w:bidi w:val="0"/>
        <w:spacing w:line="360" w:lineRule="auto"/>
        <w:ind w:firstLine="437"/>
        <w:textAlignment w:val="auto"/>
        <w:rPr>
          <w:rFonts w:hint="default" w:ascii="Arial" w:hAnsi="Arial" w:eastAsia="宋体" w:cs="Arial"/>
          <w:b/>
          <w:bCs/>
          <w:color w:val="auto"/>
          <w:sz w:val="28"/>
          <w:szCs w:val="28"/>
        </w:rPr>
      </w:pPr>
      <w:r>
        <w:rPr>
          <w:rFonts w:hint="eastAsia" w:ascii="Arial" w:hAnsi="Arial" w:eastAsia="宋体" w:cs="Arial"/>
          <w:b/>
          <w:bCs/>
          <w:color w:val="auto"/>
          <w:sz w:val="28"/>
          <w:szCs w:val="28"/>
          <w:lang w:val="en-US" w:eastAsia="zh-CN"/>
        </w:rPr>
        <w:t>服务</w:t>
      </w:r>
      <w:r>
        <w:rPr>
          <w:rFonts w:hint="default" w:ascii="Arial" w:hAnsi="Arial" w:eastAsia="宋体" w:cs="Arial"/>
          <w:b/>
          <w:bCs/>
          <w:color w:val="auto"/>
          <w:sz w:val="28"/>
          <w:szCs w:val="28"/>
        </w:rPr>
        <w:t>需求</w:t>
      </w:r>
    </w:p>
    <w:p w14:paraId="596F3353">
      <w:pPr>
        <w:pageBreakBefore w:val="0"/>
        <w:kinsoku/>
        <w:wordWrap w:val="0"/>
        <w:overflowPunct/>
        <w:topLinePunct w:val="0"/>
        <w:bidi w:val="0"/>
        <w:spacing w:line="360" w:lineRule="auto"/>
        <w:ind w:firstLine="437"/>
        <w:textAlignment w:val="auto"/>
        <w:rPr>
          <w:rFonts w:hint="eastAsia" w:ascii="宋体" w:hAnsi="宋体" w:eastAsia="宋体"/>
          <w:sz w:val="24"/>
          <w:lang w:val="en-US" w:eastAsia="en-US"/>
        </w:rPr>
      </w:pPr>
      <w:r>
        <w:rPr>
          <w:rFonts w:hint="eastAsia" w:ascii="宋体" w:hAnsi="宋体" w:eastAsia="宋体"/>
          <w:sz w:val="24"/>
          <w:lang w:val="en-US" w:eastAsia="zh-CN"/>
        </w:rPr>
        <w:t>（1）</w:t>
      </w:r>
      <w:r>
        <w:rPr>
          <w:rFonts w:hint="eastAsia" w:ascii="宋体" w:hAnsi="宋体" w:eastAsia="宋体"/>
          <w:sz w:val="24"/>
          <w:lang w:val="en-US" w:eastAsia="en-US"/>
        </w:rPr>
        <w:t>订单整理：</w:t>
      </w:r>
      <w:r>
        <w:rPr>
          <w:rFonts w:hint="eastAsia" w:ascii="宋体" w:hAnsi="宋体" w:eastAsia="宋体"/>
          <w:sz w:val="24"/>
          <w:lang w:val="en-US" w:eastAsia="zh-CN"/>
        </w:rPr>
        <w:t>投标人</w:t>
      </w:r>
      <w:r>
        <w:rPr>
          <w:rFonts w:hint="eastAsia" w:ascii="宋体" w:hAnsi="宋体" w:eastAsia="宋体"/>
          <w:sz w:val="24"/>
          <w:lang w:val="en-US" w:eastAsia="en-US"/>
        </w:rPr>
        <w:t>在学期末需协助采购人教材负责人</w:t>
      </w:r>
      <w:r>
        <w:rPr>
          <w:rFonts w:hint="eastAsia" w:ascii="宋体" w:hAnsi="宋体" w:eastAsia="宋体"/>
          <w:sz w:val="24"/>
          <w:lang w:val="en-US" w:eastAsia="zh-CN"/>
        </w:rPr>
        <w:t>在采购人指定的教材管理系统中</w:t>
      </w:r>
      <w:r>
        <w:rPr>
          <w:rFonts w:hint="eastAsia" w:ascii="宋体" w:hAnsi="宋体" w:eastAsia="宋体"/>
          <w:sz w:val="24"/>
          <w:lang w:val="en-US" w:eastAsia="en-US"/>
        </w:rPr>
        <w:t>做好教材选用相关工作，在教材选用工作结束后，将订单根据需求进行</w:t>
      </w:r>
      <w:r>
        <w:rPr>
          <w:rFonts w:hint="eastAsia" w:ascii="宋体" w:hAnsi="宋体" w:eastAsia="宋体"/>
          <w:sz w:val="24"/>
          <w:lang w:val="en-US" w:eastAsia="zh-CN"/>
        </w:rPr>
        <w:t>核对、</w:t>
      </w:r>
      <w:r>
        <w:rPr>
          <w:rFonts w:hint="eastAsia" w:ascii="宋体" w:hAnsi="宋体" w:eastAsia="宋体"/>
          <w:sz w:val="24"/>
          <w:lang w:val="en-US" w:eastAsia="en-US"/>
        </w:rPr>
        <w:t>整理。</w:t>
      </w:r>
    </w:p>
    <w:p w14:paraId="5F85ED52">
      <w:pPr>
        <w:pageBreakBefore w:val="0"/>
        <w:kinsoku/>
        <w:wordWrap w:val="0"/>
        <w:overflowPunct/>
        <w:topLinePunct w:val="0"/>
        <w:bidi w:val="0"/>
        <w:spacing w:line="360" w:lineRule="auto"/>
        <w:ind w:firstLine="437"/>
        <w:textAlignment w:val="auto"/>
        <w:rPr>
          <w:rFonts w:hint="eastAsia" w:ascii="宋体" w:hAnsi="宋体" w:eastAsia="宋体"/>
          <w:sz w:val="24"/>
          <w:lang w:val="en-US" w:eastAsia="en-US"/>
        </w:rPr>
      </w:pPr>
      <w:r>
        <w:rPr>
          <w:rFonts w:hint="eastAsia" w:ascii="宋体" w:hAnsi="宋体" w:eastAsia="宋体"/>
          <w:sz w:val="24"/>
          <w:lang w:val="en-US" w:eastAsia="zh-CN"/>
        </w:rPr>
        <w:t>（2）</w:t>
      </w:r>
      <w:r>
        <w:rPr>
          <w:rFonts w:hint="eastAsia" w:ascii="宋体" w:hAnsi="宋体" w:eastAsia="宋体"/>
          <w:sz w:val="24"/>
          <w:lang w:val="en-US" w:eastAsia="en-US"/>
        </w:rPr>
        <w:t>预订反馈：</w:t>
      </w:r>
      <w:r>
        <w:rPr>
          <w:rFonts w:hint="eastAsia" w:ascii="宋体" w:hAnsi="宋体" w:eastAsia="宋体"/>
          <w:sz w:val="24"/>
          <w:lang w:val="en-US" w:eastAsia="zh-CN"/>
        </w:rPr>
        <w:t>投标人</w:t>
      </w:r>
      <w:r>
        <w:rPr>
          <w:rFonts w:hint="eastAsia" w:ascii="宋体" w:hAnsi="宋体" w:eastAsia="宋体"/>
          <w:sz w:val="24"/>
          <w:lang w:val="en-US" w:eastAsia="en-US"/>
        </w:rPr>
        <w:t>在收到采购人教材征订单后，应在三个工作日内将教材预订情况进行反馈。</w:t>
      </w:r>
    </w:p>
    <w:p w14:paraId="76AB4B6C">
      <w:pPr>
        <w:pageBreakBefore w:val="0"/>
        <w:kinsoku/>
        <w:wordWrap w:val="0"/>
        <w:overflowPunct/>
        <w:topLinePunct w:val="0"/>
        <w:bidi w:val="0"/>
        <w:spacing w:line="360" w:lineRule="auto"/>
        <w:ind w:firstLine="437"/>
        <w:textAlignment w:val="auto"/>
        <w:rPr>
          <w:rFonts w:hint="eastAsia" w:ascii="宋体" w:hAnsi="宋体" w:eastAsia="宋体"/>
          <w:sz w:val="24"/>
          <w:lang w:val="en-US" w:eastAsia="en-US"/>
        </w:rPr>
      </w:pPr>
      <w:r>
        <w:rPr>
          <w:rFonts w:hint="eastAsia" w:ascii="宋体" w:hAnsi="宋体" w:eastAsia="宋体"/>
          <w:sz w:val="24"/>
          <w:lang w:val="en-US" w:eastAsia="zh-CN"/>
        </w:rPr>
        <w:t>（3）</w:t>
      </w:r>
      <w:r>
        <w:rPr>
          <w:rFonts w:hint="eastAsia" w:ascii="宋体" w:hAnsi="宋体" w:eastAsia="宋体"/>
          <w:sz w:val="24"/>
          <w:lang w:val="en-US" w:eastAsia="en-US"/>
        </w:rPr>
        <w:t>正版教材：</w:t>
      </w:r>
      <w:r>
        <w:rPr>
          <w:rFonts w:hint="eastAsia" w:ascii="宋体" w:hAnsi="宋体" w:eastAsia="宋体"/>
          <w:sz w:val="24"/>
          <w:lang w:val="en-US" w:eastAsia="zh-CN"/>
        </w:rPr>
        <w:t>投标人</w:t>
      </w:r>
      <w:r>
        <w:rPr>
          <w:rFonts w:hint="eastAsia" w:ascii="宋体" w:hAnsi="宋体" w:eastAsia="宋体"/>
          <w:sz w:val="24"/>
          <w:lang w:val="en-US" w:eastAsia="en-US"/>
        </w:rPr>
        <w:t>所提供的教材均为国家正规出版物，符合国家相关产品质量技术标准要求，教材字迹清楚、不缺页、不掉色，装订牢固。若发现任何盗版教材，</w:t>
      </w:r>
      <w:r>
        <w:rPr>
          <w:rFonts w:hint="eastAsia" w:ascii="宋体" w:hAnsi="宋体" w:eastAsia="宋体"/>
          <w:sz w:val="24"/>
          <w:lang w:val="en-US" w:eastAsia="zh-CN"/>
        </w:rPr>
        <w:t>投标人</w:t>
      </w:r>
      <w:r>
        <w:rPr>
          <w:rFonts w:hint="eastAsia" w:ascii="宋体" w:hAnsi="宋体" w:eastAsia="宋体"/>
          <w:sz w:val="24"/>
          <w:lang w:val="en-US" w:eastAsia="en-US"/>
        </w:rPr>
        <w:t>依据相应法律承担责任外，还需无条件将盗版教材调换成正版教材，并承担其提供盗版教材码洋十倍的罚款。</w:t>
      </w:r>
    </w:p>
    <w:p w14:paraId="39DE9232">
      <w:pPr>
        <w:pageBreakBefore w:val="0"/>
        <w:kinsoku/>
        <w:wordWrap w:val="0"/>
        <w:overflowPunct/>
        <w:topLinePunct w:val="0"/>
        <w:bidi w:val="0"/>
        <w:spacing w:line="360" w:lineRule="auto"/>
        <w:ind w:firstLine="437"/>
        <w:textAlignment w:val="auto"/>
        <w:rPr>
          <w:rFonts w:hint="eastAsia" w:ascii="宋体" w:hAnsi="宋体" w:eastAsia="宋体"/>
          <w:sz w:val="24"/>
          <w:lang w:val="en-US" w:eastAsia="en-US"/>
        </w:rPr>
      </w:pPr>
      <w:r>
        <w:rPr>
          <w:rFonts w:hint="eastAsia" w:ascii="宋体" w:hAnsi="宋体" w:eastAsia="宋体"/>
          <w:sz w:val="24"/>
          <w:lang w:val="en-US" w:eastAsia="zh-CN"/>
        </w:rPr>
        <w:t>（4）</w:t>
      </w:r>
      <w:r>
        <w:rPr>
          <w:rFonts w:hint="eastAsia" w:ascii="宋体" w:hAnsi="宋体" w:eastAsia="宋体"/>
          <w:sz w:val="24"/>
          <w:lang w:val="en-US" w:eastAsia="en-US"/>
        </w:rPr>
        <w:t>教材供应</w:t>
      </w:r>
      <w:r>
        <w:rPr>
          <w:rFonts w:hint="eastAsia" w:ascii="宋体" w:hAnsi="宋体" w:eastAsia="宋体"/>
          <w:sz w:val="24"/>
          <w:lang w:val="en-US" w:eastAsia="zh-CN"/>
        </w:rPr>
        <w:t>与仓储</w:t>
      </w:r>
      <w:r>
        <w:rPr>
          <w:rFonts w:hint="eastAsia" w:ascii="宋体" w:hAnsi="宋体" w:eastAsia="宋体"/>
          <w:sz w:val="24"/>
          <w:lang w:val="en-US" w:eastAsia="en-US"/>
        </w:rPr>
        <w:t>：要求</w:t>
      </w:r>
      <w:r>
        <w:rPr>
          <w:rFonts w:hint="eastAsia" w:ascii="宋体" w:hAnsi="宋体" w:eastAsia="宋体"/>
          <w:sz w:val="24"/>
          <w:lang w:val="en-US" w:eastAsia="zh-CN"/>
        </w:rPr>
        <w:t>投标人</w:t>
      </w:r>
      <w:r>
        <w:rPr>
          <w:rFonts w:hint="eastAsia" w:ascii="宋体" w:hAnsi="宋体" w:eastAsia="宋体"/>
          <w:sz w:val="24"/>
          <w:lang w:val="en-US" w:eastAsia="en-US"/>
        </w:rPr>
        <w:t>具备安全合规的仓储环境（防火、防潮、防盗），保障教材存储安全</w:t>
      </w:r>
      <w:r>
        <w:rPr>
          <w:rFonts w:hint="eastAsia" w:ascii="宋体" w:hAnsi="宋体" w:eastAsia="宋体"/>
          <w:sz w:val="24"/>
          <w:lang w:val="en-US" w:eastAsia="zh-CN"/>
        </w:rPr>
        <w:t>。投标人</w:t>
      </w:r>
      <w:r>
        <w:rPr>
          <w:rFonts w:hint="eastAsia" w:ascii="宋体" w:hAnsi="宋体" w:eastAsia="宋体"/>
          <w:sz w:val="24"/>
          <w:lang w:val="en-US" w:eastAsia="en-US"/>
        </w:rPr>
        <w:t>需在指定日期内（以实际通知时间为准）按照</w:t>
      </w:r>
      <w:r>
        <w:rPr>
          <w:rFonts w:hint="eastAsia" w:ascii="宋体" w:hAnsi="宋体" w:eastAsia="宋体"/>
          <w:sz w:val="24"/>
          <w:lang w:val="en-US" w:eastAsia="zh-CN"/>
        </w:rPr>
        <w:t>教材管理系统上的</w:t>
      </w:r>
      <w:r>
        <w:rPr>
          <w:rFonts w:hint="eastAsia" w:ascii="宋体" w:hAnsi="宋体" w:eastAsia="宋体"/>
          <w:sz w:val="24"/>
          <w:lang w:val="en-US" w:eastAsia="en-US"/>
        </w:rPr>
        <w:t>书单对教材进行配备、打包、运送、发放（采购人免费提供场地供教材发放专用），以上所产生的费用均由</w:t>
      </w:r>
      <w:r>
        <w:rPr>
          <w:rFonts w:hint="eastAsia" w:ascii="宋体" w:hAnsi="宋体" w:eastAsia="宋体"/>
          <w:sz w:val="24"/>
          <w:lang w:val="en-US" w:eastAsia="zh-CN"/>
        </w:rPr>
        <w:t>投标人</w:t>
      </w:r>
      <w:r>
        <w:rPr>
          <w:rFonts w:hint="eastAsia" w:ascii="宋体" w:hAnsi="宋体" w:eastAsia="宋体"/>
          <w:sz w:val="24"/>
          <w:lang w:val="en-US" w:eastAsia="en-US"/>
        </w:rPr>
        <w:t>承担。</w:t>
      </w:r>
      <w:r>
        <w:rPr>
          <w:rFonts w:hint="eastAsia" w:ascii="宋体" w:hAnsi="宋体" w:eastAsia="宋体"/>
          <w:sz w:val="24"/>
          <w:lang w:val="en-US" w:eastAsia="zh-CN"/>
        </w:rPr>
        <w:t>要求</w:t>
      </w:r>
      <w:r>
        <w:rPr>
          <w:rFonts w:hint="eastAsia" w:ascii="宋体" w:hAnsi="宋体" w:eastAsia="宋体"/>
          <w:sz w:val="24"/>
          <w:lang w:val="en-US" w:eastAsia="en-US"/>
        </w:rPr>
        <w:t>课前到书率”（≥98%）、“发放准确率”（≥99%）</w:t>
      </w:r>
      <w:r>
        <w:rPr>
          <w:rFonts w:hint="eastAsia" w:ascii="宋体" w:hAnsi="宋体" w:eastAsia="宋体"/>
          <w:sz w:val="24"/>
          <w:lang w:val="en-US" w:eastAsia="zh-CN"/>
        </w:rPr>
        <w:t>。</w:t>
      </w:r>
      <w:r>
        <w:rPr>
          <w:rFonts w:hint="eastAsia" w:ascii="宋体" w:hAnsi="宋体" w:eastAsia="宋体"/>
          <w:sz w:val="24"/>
          <w:lang w:val="en-US" w:eastAsia="en-US"/>
        </w:rPr>
        <w:t>“马工程”教材须提供教育部最新版本。如未能按时发放教材而影响正常教学，采购人将视情节严重程度，从履约保证金中扣除违约金</w:t>
      </w:r>
      <w:r>
        <w:rPr>
          <w:rFonts w:hint="eastAsia" w:ascii="宋体" w:hAnsi="宋体" w:eastAsia="宋体"/>
          <w:sz w:val="24"/>
          <w:lang w:val="en-US" w:eastAsia="zh-CN"/>
        </w:rPr>
        <w:t>，直到扣除（完）为止</w:t>
      </w:r>
      <w:r>
        <w:rPr>
          <w:rFonts w:hint="eastAsia" w:ascii="宋体" w:hAnsi="宋体" w:eastAsia="宋体"/>
          <w:sz w:val="24"/>
          <w:lang w:val="en-US" w:eastAsia="en-US"/>
        </w:rPr>
        <w:t>。教材发放后，需将教材发放场所打扫干净，并将包装材料整理后运出学校。</w:t>
      </w:r>
    </w:p>
    <w:p w14:paraId="75541967">
      <w:pPr>
        <w:pageBreakBefore w:val="0"/>
        <w:kinsoku/>
        <w:wordWrap w:val="0"/>
        <w:overflowPunct/>
        <w:topLinePunct w:val="0"/>
        <w:bidi w:val="0"/>
        <w:spacing w:line="360" w:lineRule="auto"/>
        <w:ind w:firstLine="437"/>
        <w:textAlignment w:val="auto"/>
        <w:rPr>
          <w:rFonts w:hint="eastAsia" w:ascii="宋体" w:hAnsi="宋体" w:eastAsia="宋体"/>
          <w:sz w:val="24"/>
          <w:lang w:val="en-US" w:eastAsia="en-US"/>
        </w:rPr>
      </w:pPr>
      <w:r>
        <w:rPr>
          <w:rFonts w:hint="eastAsia" w:ascii="宋体" w:hAnsi="宋体" w:eastAsia="宋体"/>
          <w:sz w:val="24"/>
          <w:lang w:val="en-US" w:eastAsia="zh-CN"/>
        </w:rPr>
        <w:t>（5）</w:t>
      </w:r>
      <w:r>
        <w:rPr>
          <w:rFonts w:hint="eastAsia" w:ascii="宋体" w:hAnsi="宋体" w:eastAsia="宋体"/>
          <w:sz w:val="24"/>
          <w:lang w:val="en-US" w:eastAsia="en-US"/>
        </w:rPr>
        <w:t>退订</w:t>
      </w:r>
      <w:r>
        <w:rPr>
          <w:rFonts w:hint="eastAsia" w:ascii="宋体" w:hAnsi="宋体" w:eastAsia="宋体"/>
          <w:sz w:val="24"/>
          <w:lang w:val="en-US" w:eastAsia="zh-CN"/>
        </w:rPr>
        <w:t>、退换</w:t>
      </w:r>
      <w:r>
        <w:rPr>
          <w:rFonts w:hint="eastAsia" w:ascii="宋体" w:hAnsi="宋体" w:eastAsia="宋体"/>
          <w:sz w:val="24"/>
          <w:lang w:val="en-US" w:eastAsia="en-US"/>
        </w:rPr>
        <w:t>或补订教材：由于新生报到、老生调整专业、参军等确有特殊情况而造成人数变动等因素多订或不足的教材，</w:t>
      </w:r>
      <w:r>
        <w:rPr>
          <w:rFonts w:hint="eastAsia" w:ascii="宋体" w:hAnsi="宋体" w:eastAsia="宋体"/>
          <w:sz w:val="24"/>
          <w:lang w:val="en-US" w:eastAsia="zh-CN"/>
        </w:rPr>
        <w:t>投标人</w:t>
      </w:r>
      <w:r>
        <w:rPr>
          <w:rFonts w:hint="eastAsia" w:ascii="宋体" w:hAnsi="宋体" w:eastAsia="宋体"/>
          <w:sz w:val="24"/>
          <w:lang w:val="en-US" w:eastAsia="en-US"/>
        </w:rPr>
        <w:t>应给予退货或增补。增补</w:t>
      </w:r>
      <w:r>
        <w:rPr>
          <w:rFonts w:hint="eastAsia" w:ascii="宋体" w:hAnsi="宋体" w:eastAsia="宋体"/>
          <w:sz w:val="24"/>
          <w:lang w:val="en-US" w:eastAsia="zh-CN"/>
        </w:rPr>
        <w:t>教材订单（品种和数量不限），当天给学校回告该书有无，以便重新选购教材。</w:t>
      </w:r>
      <w:r>
        <w:rPr>
          <w:rFonts w:hint="eastAsia" w:ascii="宋体" w:hAnsi="宋体" w:eastAsia="宋体"/>
          <w:sz w:val="24"/>
          <w:lang w:val="en-US" w:eastAsia="en-US"/>
        </w:rPr>
        <w:t>增补</w:t>
      </w:r>
      <w:r>
        <w:rPr>
          <w:rFonts w:hint="eastAsia" w:ascii="宋体" w:hAnsi="宋体" w:eastAsia="宋体"/>
          <w:sz w:val="24"/>
          <w:lang w:val="en-US" w:eastAsia="zh-CN"/>
        </w:rPr>
        <w:t>教材10日内送达，其折扣率与中标的折扣率一致；对于临时采购的急用教材，供应商应在24小时内回告是否有书，并在10天内送到采购人（甲方）指定的地点。投标人</w:t>
      </w:r>
      <w:r>
        <w:rPr>
          <w:rFonts w:hint="eastAsia" w:ascii="宋体" w:hAnsi="宋体" w:eastAsia="宋体"/>
          <w:sz w:val="24"/>
          <w:lang w:val="en-US" w:eastAsia="en-US"/>
        </w:rPr>
        <w:t>应对有质量问题的教材进行无条件退换，并承担全部费用</w:t>
      </w:r>
      <w:r>
        <w:rPr>
          <w:rFonts w:hint="eastAsia" w:ascii="宋体" w:hAnsi="宋体" w:eastAsia="宋体"/>
          <w:sz w:val="24"/>
          <w:lang w:val="en-US" w:eastAsia="zh-CN"/>
        </w:rPr>
        <w:t>，</w:t>
      </w:r>
      <w:r>
        <w:rPr>
          <w:rFonts w:hint="eastAsia" w:ascii="宋体" w:hAnsi="宋体" w:eastAsia="宋体"/>
          <w:sz w:val="24"/>
          <w:lang w:val="en-US" w:eastAsia="en-US"/>
        </w:rPr>
        <w:t>如有特殊情况双方可协商解决。</w:t>
      </w:r>
    </w:p>
    <w:p w14:paraId="5689528E">
      <w:pPr>
        <w:pageBreakBefore w:val="0"/>
        <w:kinsoku/>
        <w:wordWrap w:val="0"/>
        <w:overflowPunct/>
        <w:topLinePunct w:val="0"/>
        <w:bidi w:val="0"/>
        <w:spacing w:line="360" w:lineRule="auto"/>
        <w:ind w:firstLine="437"/>
        <w:textAlignment w:val="auto"/>
        <w:rPr>
          <w:rFonts w:hint="eastAsia" w:ascii="宋体" w:hAnsi="宋体" w:eastAsia="宋体"/>
          <w:sz w:val="24"/>
          <w:lang w:val="en-US" w:eastAsia="en-US"/>
        </w:rPr>
      </w:pPr>
      <w:r>
        <w:rPr>
          <w:rFonts w:hint="eastAsia" w:ascii="宋体" w:hAnsi="宋体" w:eastAsia="宋体"/>
          <w:sz w:val="24"/>
          <w:lang w:val="en-US" w:eastAsia="zh-CN"/>
        </w:rPr>
        <w:t>（6）明确预订机制与退订风险：学校实施按实际学生人数采购教材或有条件情况下采取教材预订制度，允许学生根据教学计划自主预订教材。鉴于学生预订行为存在不确定性（包括但不限于课程调整、个人原因放弃购买等），可能导致部分预订教材最终未被实际购买。投标人须充分认知并接受由此产生的教材剩余风险。</w:t>
      </w:r>
    </w:p>
    <w:p w14:paraId="2E338AD9">
      <w:pPr>
        <w:pageBreakBefore w:val="0"/>
        <w:kinsoku/>
        <w:wordWrap w:val="0"/>
        <w:overflowPunct/>
        <w:topLinePunct w:val="0"/>
        <w:bidi w:val="0"/>
        <w:spacing w:line="360" w:lineRule="auto"/>
        <w:ind w:firstLine="437"/>
        <w:textAlignment w:val="auto"/>
        <w:rPr>
          <w:rFonts w:hint="eastAsia" w:ascii="宋体" w:hAnsi="宋体" w:eastAsia="宋体"/>
          <w:sz w:val="24"/>
          <w:lang w:val="en-US" w:eastAsia="en-US"/>
        </w:rPr>
      </w:pPr>
      <w:r>
        <w:rPr>
          <w:rFonts w:hint="eastAsia" w:ascii="宋体" w:hAnsi="宋体" w:eastAsia="宋体"/>
          <w:sz w:val="24"/>
          <w:lang w:val="en-US" w:eastAsia="zh-CN"/>
        </w:rPr>
        <w:t>（7）</w:t>
      </w:r>
      <w:r>
        <w:rPr>
          <w:rFonts w:hint="eastAsia" w:ascii="宋体" w:hAnsi="宋体" w:eastAsia="宋体"/>
          <w:sz w:val="24"/>
          <w:lang w:val="en-US" w:eastAsia="en-US"/>
        </w:rPr>
        <w:t>教师用书：</w:t>
      </w:r>
      <w:r>
        <w:rPr>
          <w:rFonts w:hint="eastAsia" w:ascii="宋体" w:hAnsi="宋体" w:eastAsia="宋体"/>
          <w:sz w:val="24"/>
          <w:lang w:val="en-US" w:eastAsia="zh-CN"/>
        </w:rPr>
        <w:t>投标人</w:t>
      </w:r>
      <w:r>
        <w:rPr>
          <w:rFonts w:hint="eastAsia" w:ascii="宋体" w:hAnsi="宋体" w:eastAsia="宋体"/>
          <w:sz w:val="24"/>
          <w:lang w:val="en-US" w:eastAsia="en-US"/>
        </w:rPr>
        <w:t>需保证在指定日期内将教师用书按院部打包好并配送到指定地点，如遇特殊情况双方另议时间。教师用书费用不超过教材总费用1</w:t>
      </w:r>
      <w:r>
        <w:rPr>
          <w:rFonts w:hint="eastAsia" w:ascii="宋体" w:hAnsi="宋体" w:eastAsia="宋体"/>
          <w:sz w:val="24"/>
          <w:lang w:val="en-US" w:eastAsia="zh-CN"/>
        </w:rPr>
        <w:t>.</w:t>
      </w:r>
      <w:r>
        <w:rPr>
          <w:rFonts w:hint="eastAsia" w:ascii="宋体" w:hAnsi="宋体" w:eastAsia="宋体"/>
          <w:sz w:val="24"/>
          <w:lang w:val="en-US" w:eastAsia="en-US"/>
        </w:rPr>
        <w:t>5%的，由</w:t>
      </w:r>
      <w:r>
        <w:rPr>
          <w:rFonts w:hint="eastAsia" w:ascii="宋体" w:hAnsi="宋体" w:eastAsia="宋体"/>
          <w:sz w:val="24"/>
          <w:lang w:val="en-US" w:eastAsia="zh-CN"/>
        </w:rPr>
        <w:t>供应商</w:t>
      </w:r>
      <w:r>
        <w:rPr>
          <w:rFonts w:hint="eastAsia" w:ascii="宋体" w:hAnsi="宋体" w:eastAsia="宋体"/>
          <w:sz w:val="24"/>
          <w:lang w:val="en-US" w:eastAsia="en-US"/>
        </w:rPr>
        <w:t>免费提供。</w:t>
      </w:r>
    </w:p>
    <w:p w14:paraId="0FAC2502">
      <w:pPr>
        <w:pageBreakBefore w:val="0"/>
        <w:kinsoku/>
        <w:wordWrap w:val="0"/>
        <w:overflowPunct/>
        <w:topLinePunct w:val="0"/>
        <w:bidi w:val="0"/>
        <w:spacing w:line="360" w:lineRule="auto"/>
        <w:ind w:firstLine="437"/>
        <w:textAlignment w:val="auto"/>
        <w:rPr>
          <w:rFonts w:hint="default" w:ascii="宋体" w:hAnsi="宋体" w:eastAsia="宋体"/>
          <w:sz w:val="24"/>
          <w:lang w:val="en-US" w:eastAsia="zh-CN"/>
        </w:rPr>
      </w:pPr>
      <w:r>
        <w:rPr>
          <w:rFonts w:hint="eastAsia" w:ascii="宋体" w:hAnsi="宋体" w:eastAsia="宋体"/>
          <w:sz w:val="24"/>
          <w:lang w:val="en-US" w:eastAsia="zh-CN"/>
        </w:rPr>
        <w:t>（8）每样教材免费提供1本样书至书库供学生借阅（不含教师教材）。</w:t>
      </w:r>
    </w:p>
    <w:p w14:paraId="28F861F5">
      <w:pPr>
        <w:pageBreakBefore w:val="0"/>
        <w:kinsoku/>
        <w:wordWrap w:val="0"/>
        <w:overflowPunct/>
        <w:topLinePunct w:val="0"/>
        <w:bidi w:val="0"/>
        <w:spacing w:line="360" w:lineRule="auto"/>
        <w:ind w:firstLine="437"/>
        <w:textAlignment w:val="auto"/>
        <w:rPr>
          <w:rFonts w:hint="eastAsia" w:ascii="宋体" w:hAnsi="宋体" w:eastAsia="宋体"/>
          <w:sz w:val="24"/>
          <w:lang w:val="en-US" w:eastAsia="en-US"/>
        </w:rPr>
      </w:pPr>
      <w:r>
        <w:rPr>
          <w:rFonts w:hint="eastAsia" w:ascii="宋体" w:hAnsi="宋体" w:eastAsia="宋体"/>
          <w:sz w:val="24"/>
          <w:lang w:val="en-US" w:eastAsia="zh-CN"/>
        </w:rPr>
        <w:t>（9）</w:t>
      </w:r>
      <w:r>
        <w:rPr>
          <w:rFonts w:hint="eastAsia" w:ascii="宋体" w:hAnsi="宋体" w:eastAsia="宋体"/>
          <w:sz w:val="24"/>
          <w:lang w:val="en-US" w:eastAsia="en-US"/>
        </w:rPr>
        <w:t>每学期教材发放完成后，</w:t>
      </w:r>
      <w:r>
        <w:rPr>
          <w:rFonts w:hint="eastAsia" w:ascii="宋体" w:hAnsi="宋体" w:eastAsia="宋体"/>
          <w:sz w:val="24"/>
          <w:lang w:val="en-US" w:eastAsia="zh-CN"/>
        </w:rPr>
        <w:t>投标人</w:t>
      </w:r>
      <w:r>
        <w:rPr>
          <w:rFonts w:hint="eastAsia" w:ascii="宋体" w:hAnsi="宋体" w:eastAsia="宋体"/>
          <w:sz w:val="24"/>
          <w:lang w:val="en-US" w:eastAsia="en-US"/>
        </w:rPr>
        <w:t>应将原始发放材料（或复印件）及电子版、教师用书发放清单及电子版提供给教务处存档。</w:t>
      </w:r>
    </w:p>
    <w:p w14:paraId="4687A376">
      <w:pPr>
        <w:pageBreakBefore w:val="0"/>
        <w:kinsoku/>
        <w:wordWrap w:val="0"/>
        <w:overflowPunct/>
        <w:topLinePunct w:val="0"/>
        <w:bidi w:val="0"/>
        <w:spacing w:line="360" w:lineRule="auto"/>
        <w:ind w:firstLine="437"/>
        <w:textAlignment w:val="auto"/>
        <w:rPr>
          <w:rFonts w:hint="eastAsia" w:ascii="宋体" w:hAnsi="宋体" w:eastAsia="宋体"/>
          <w:sz w:val="24"/>
          <w:lang w:val="en-US" w:eastAsia="en-US"/>
        </w:rPr>
      </w:pPr>
      <w:r>
        <w:rPr>
          <w:rFonts w:hint="eastAsia" w:ascii="宋体" w:hAnsi="宋体" w:eastAsia="宋体"/>
          <w:sz w:val="24"/>
          <w:lang w:val="en-US" w:eastAsia="zh-CN"/>
        </w:rPr>
        <w:t>（10）</w:t>
      </w:r>
      <w:r>
        <w:rPr>
          <w:rFonts w:hint="eastAsia" w:ascii="宋体" w:hAnsi="宋体" w:eastAsia="宋体"/>
          <w:sz w:val="24"/>
          <w:lang w:val="en-US" w:eastAsia="en-US"/>
        </w:rPr>
        <w:t>如遇不可控因素导致教材发放工作受阻，</w:t>
      </w:r>
      <w:r>
        <w:rPr>
          <w:rFonts w:hint="eastAsia" w:ascii="宋体" w:hAnsi="宋体" w:eastAsia="宋体"/>
          <w:sz w:val="24"/>
          <w:lang w:val="en-US" w:eastAsia="zh-CN"/>
        </w:rPr>
        <w:t>投标人</w:t>
      </w:r>
      <w:r>
        <w:rPr>
          <w:rFonts w:hint="eastAsia" w:ascii="宋体" w:hAnsi="宋体" w:eastAsia="宋体"/>
          <w:sz w:val="24"/>
          <w:lang w:val="en-US" w:eastAsia="en-US"/>
        </w:rPr>
        <w:t>需协助提供应急方案并承担教材邮寄等费用。</w:t>
      </w:r>
    </w:p>
    <w:p w14:paraId="3EFC947E">
      <w:pPr>
        <w:pageBreakBefore w:val="0"/>
        <w:kinsoku/>
        <w:wordWrap w:val="0"/>
        <w:overflowPunct/>
        <w:topLinePunct w:val="0"/>
        <w:bidi w:val="0"/>
        <w:spacing w:line="360" w:lineRule="auto"/>
        <w:ind w:firstLine="437"/>
        <w:textAlignment w:val="auto"/>
        <w:rPr>
          <w:rFonts w:hint="eastAsia" w:ascii="宋体" w:hAnsi="宋体" w:eastAsia="宋体"/>
          <w:sz w:val="24"/>
          <w:lang w:val="en-US" w:eastAsia="zh-CN"/>
        </w:rPr>
      </w:pPr>
      <w:r>
        <w:rPr>
          <w:rFonts w:hint="eastAsia" w:ascii="宋体" w:hAnsi="宋体" w:eastAsia="宋体"/>
          <w:sz w:val="24"/>
          <w:lang w:val="en-US" w:eastAsia="zh-CN"/>
        </w:rPr>
        <w:t>（11）因教材的质量问题发生争议，由安徽省或六安市新闻出版部门进行质量鉴定。如符合质量标准，鉴定费用由采购人承担；如不符合质量标准，鉴定费用由投标人承担。</w:t>
      </w:r>
    </w:p>
    <w:p w14:paraId="191B288A">
      <w:pPr>
        <w:pageBreakBefore w:val="0"/>
        <w:kinsoku/>
        <w:wordWrap w:val="0"/>
        <w:overflowPunct/>
        <w:topLinePunct w:val="0"/>
        <w:bidi w:val="0"/>
        <w:spacing w:line="360" w:lineRule="auto"/>
        <w:ind w:firstLine="437"/>
        <w:textAlignment w:val="auto"/>
        <w:rPr>
          <w:rFonts w:hint="default" w:ascii="Arial" w:hAnsi="Arial" w:eastAsia="宋体" w:cs="Arial"/>
          <w:b/>
          <w:bCs/>
          <w:color w:val="auto"/>
          <w:sz w:val="28"/>
          <w:szCs w:val="28"/>
        </w:rPr>
      </w:pPr>
      <w:r>
        <w:rPr>
          <w:rFonts w:hint="eastAsia" w:ascii="Arial" w:hAnsi="Arial" w:eastAsia="宋体" w:cs="Arial"/>
          <w:b/>
          <w:bCs/>
          <w:color w:val="auto"/>
          <w:sz w:val="28"/>
          <w:szCs w:val="28"/>
          <w:lang w:val="en-US" w:eastAsia="zh-CN"/>
        </w:rPr>
        <w:t>四</w:t>
      </w:r>
      <w:r>
        <w:rPr>
          <w:rFonts w:hint="default" w:ascii="Arial" w:hAnsi="Arial" w:eastAsia="宋体" w:cs="Arial"/>
          <w:b/>
          <w:bCs/>
          <w:color w:val="auto"/>
          <w:sz w:val="28"/>
          <w:szCs w:val="28"/>
        </w:rPr>
        <w:t>、报价要求</w:t>
      </w:r>
    </w:p>
    <w:p w14:paraId="0307FE48">
      <w:pPr>
        <w:pageBreakBefore w:val="0"/>
        <w:kinsoku/>
        <w:wordWrap w:val="0"/>
        <w:overflowPunct/>
        <w:topLinePunct w:val="0"/>
        <w:bidi w:val="0"/>
        <w:spacing w:line="360" w:lineRule="auto"/>
        <w:ind w:firstLine="437"/>
        <w:textAlignment w:val="auto"/>
        <w:rPr>
          <w:rFonts w:hint="eastAsia" w:ascii="宋体" w:hAnsi="宋体" w:eastAsia="宋体"/>
          <w:sz w:val="24"/>
          <w:highlight w:val="yellow"/>
          <w:lang w:val="en-US" w:eastAsia="zh-CN"/>
        </w:rPr>
      </w:pPr>
      <w:r>
        <w:rPr>
          <w:rFonts w:hint="eastAsia" w:ascii="宋体" w:hAnsi="宋体" w:eastAsia="宋体"/>
          <w:sz w:val="24"/>
          <w:highlight w:val="none"/>
          <w:lang w:val="en-US" w:eastAsia="zh-CN"/>
        </w:rPr>
        <w:t>1.</w:t>
      </w:r>
      <w:r>
        <w:rPr>
          <w:rFonts w:hint="eastAsia" w:ascii="宋体" w:hAnsi="宋体" w:eastAsia="宋体"/>
          <w:sz w:val="24"/>
          <w:highlight w:val="none"/>
          <w:lang w:eastAsia="zh-CN"/>
        </w:rPr>
        <w:t>本项目报价</w:t>
      </w:r>
      <w:r>
        <w:rPr>
          <w:rFonts w:hint="eastAsia" w:ascii="宋体" w:hAnsi="宋体" w:eastAsia="宋体"/>
          <w:sz w:val="24"/>
          <w:highlight w:val="none"/>
          <w:lang w:val="en-US" w:eastAsia="zh-CN"/>
        </w:rPr>
        <w:t>按教材</w:t>
      </w:r>
      <w:r>
        <w:rPr>
          <w:rFonts w:hint="eastAsia" w:ascii="宋体" w:hAnsi="宋体" w:eastAsia="宋体"/>
          <w:b w:val="0"/>
          <w:bCs w:val="0"/>
          <w:sz w:val="24"/>
          <w:highlight w:val="none"/>
          <w:lang w:val="en-US" w:eastAsia="zh-CN"/>
        </w:rPr>
        <w:t>码洋</w:t>
      </w:r>
      <w:r>
        <w:rPr>
          <w:rFonts w:hint="eastAsia" w:ascii="宋体" w:hAnsi="宋体" w:eastAsia="宋体"/>
          <w:sz w:val="24"/>
          <w:highlight w:val="none"/>
          <w:lang w:val="en-US" w:eastAsia="zh-CN"/>
        </w:rPr>
        <w:t>统一折扣报价。统一折扣=（所购教材实洋÷所购教材总码洋）×100％</w:t>
      </w:r>
      <w:r>
        <w:rPr>
          <w:rFonts w:hint="eastAsia" w:ascii="宋体" w:hAnsi="宋体" w:eastAsia="宋体"/>
          <w:b/>
          <w:bCs/>
          <w:sz w:val="24"/>
          <w:highlight w:val="none"/>
          <w:lang w:val="en-US" w:eastAsia="zh-CN"/>
        </w:rPr>
        <w:t>（最终支付费用为：所购教材实洋=所购教材总码洋×统一折扣，上级教育主管部门行文定价的教材可按其定价结算，如教育部指定使用的两课教材）</w:t>
      </w:r>
      <w:r>
        <w:rPr>
          <w:rFonts w:hint="eastAsia" w:ascii="宋体" w:hAnsi="宋体" w:eastAsia="宋体"/>
          <w:sz w:val="24"/>
          <w:highlight w:val="none"/>
          <w:lang w:val="en-US" w:eastAsia="zh-CN"/>
        </w:rPr>
        <w:t>。投标人所报统一折扣不得高于80%，否则报价无效。</w:t>
      </w:r>
    </w:p>
    <w:p w14:paraId="6E4D4961">
      <w:pPr>
        <w:pageBreakBefore w:val="0"/>
        <w:kinsoku/>
        <w:wordWrap w:val="0"/>
        <w:overflowPunct/>
        <w:topLinePunct w:val="0"/>
        <w:bidi w:val="0"/>
        <w:spacing w:line="360" w:lineRule="auto"/>
        <w:ind w:firstLine="437"/>
        <w:textAlignment w:val="auto"/>
        <w:rPr>
          <w:rFonts w:hint="eastAsia" w:ascii="宋体" w:hAnsi="宋体" w:eastAsia="宋体"/>
          <w:b/>
          <w:bCs/>
          <w:sz w:val="24"/>
          <w:lang w:val="en-US" w:eastAsia="zh-CN"/>
        </w:rPr>
      </w:pPr>
      <w:r>
        <w:rPr>
          <w:rFonts w:hint="eastAsia" w:ascii="宋体" w:hAnsi="宋体" w:eastAsia="宋体"/>
          <w:b/>
          <w:bCs/>
          <w:sz w:val="24"/>
          <w:lang w:val="en-US" w:eastAsia="zh-CN"/>
        </w:rPr>
        <w:t>备注：折扣定义：即商品购销中的让利，是指经营者在销售商品时，以明示并如实入帐的方式给予对方的价格优惠（折扣就是打几折，如打8折，就是80%）</w:t>
      </w:r>
    </w:p>
    <w:p w14:paraId="42B54273">
      <w:pPr>
        <w:pageBreakBefore w:val="0"/>
        <w:kinsoku/>
        <w:wordWrap w:val="0"/>
        <w:overflowPunct/>
        <w:topLinePunct w:val="0"/>
        <w:bidi w:val="0"/>
        <w:spacing w:line="360" w:lineRule="auto"/>
        <w:ind w:firstLine="437"/>
        <w:textAlignment w:val="auto"/>
        <w:rPr>
          <w:rFonts w:hint="eastAsia" w:ascii="宋体" w:hAnsi="宋体" w:eastAsia="宋体"/>
          <w:sz w:val="24"/>
          <w:lang w:val="en-US" w:eastAsia="zh-CN"/>
        </w:rPr>
      </w:pPr>
      <w:r>
        <w:rPr>
          <w:rFonts w:hint="eastAsia" w:ascii="宋体" w:hAnsi="宋体" w:eastAsia="宋体"/>
          <w:sz w:val="24"/>
          <w:lang w:val="en-US" w:eastAsia="zh-CN"/>
        </w:rPr>
        <w:t>投标文件只允许唯一的投标报价，招标人不接受任何选择性的报价。</w:t>
      </w:r>
    </w:p>
    <w:p w14:paraId="640188AD">
      <w:pPr>
        <w:pageBreakBefore w:val="0"/>
        <w:kinsoku/>
        <w:wordWrap w:val="0"/>
        <w:overflowPunct/>
        <w:topLinePunct w:val="0"/>
        <w:bidi w:val="0"/>
        <w:spacing w:line="360" w:lineRule="auto"/>
        <w:ind w:firstLine="437"/>
        <w:textAlignment w:val="auto"/>
        <w:rPr>
          <w:rFonts w:hint="eastAsia" w:ascii="宋体" w:hAnsi="宋体" w:eastAsia="宋体"/>
          <w:sz w:val="24"/>
          <w:lang w:val="en-US" w:eastAsia="zh-CN"/>
        </w:rPr>
      </w:pPr>
      <w:r>
        <w:rPr>
          <w:rFonts w:hint="eastAsia" w:ascii="宋体" w:hAnsi="宋体" w:eastAsia="宋体"/>
          <w:sz w:val="24"/>
          <w:lang w:val="en-US" w:eastAsia="zh-CN"/>
        </w:rPr>
        <w:t>报价包含教材及随书附件（光盘、软件等）的成本费、运输装卸搬运费、售前售中售后服务费、履行质保期义务、合理的利润及所有税费的总和。</w:t>
      </w:r>
    </w:p>
    <w:p w14:paraId="62C7D452">
      <w:pPr>
        <w:pageBreakBefore w:val="0"/>
        <w:kinsoku/>
        <w:wordWrap w:val="0"/>
        <w:overflowPunct/>
        <w:topLinePunct w:val="0"/>
        <w:bidi w:val="0"/>
        <w:spacing w:line="360" w:lineRule="auto"/>
        <w:ind w:firstLine="437"/>
        <w:textAlignment w:val="auto"/>
        <w:rPr>
          <w:rFonts w:hint="default" w:ascii="Arial" w:hAnsi="Arial" w:eastAsia="宋体" w:cs="Arial"/>
          <w:b/>
          <w:bCs/>
          <w:color w:val="auto"/>
          <w:sz w:val="28"/>
          <w:szCs w:val="28"/>
        </w:rPr>
      </w:pPr>
      <w:r>
        <w:rPr>
          <w:rFonts w:hint="eastAsia" w:ascii="Arial" w:hAnsi="Arial" w:eastAsia="宋体" w:cs="Arial"/>
          <w:b/>
          <w:bCs/>
          <w:color w:val="auto"/>
          <w:sz w:val="28"/>
          <w:szCs w:val="28"/>
          <w:lang w:val="en-US" w:eastAsia="zh-CN"/>
        </w:rPr>
        <w:t>五</w:t>
      </w:r>
      <w:r>
        <w:rPr>
          <w:rFonts w:hint="default" w:ascii="Arial" w:hAnsi="Arial" w:eastAsia="宋体" w:cs="Arial"/>
          <w:b/>
          <w:bCs/>
          <w:color w:val="auto"/>
          <w:sz w:val="28"/>
          <w:szCs w:val="28"/>
        </w:rPr>
        <w:t>、其他要求</w:t>
      </w:r>
    </w:p>
    <w:p w14:paraId="173EF4CA">
      <w:pPr>
        <w:pageBreakBefore w:val="0"/>
        <w:kinsoku/>
        <w:wordWrap w:val="0"/>
        <w:overflowPunct/>
        <w:topLinePunct w:val="0"/>
        <w:bidi w:val="0"/>
        <w:spacing w:line="360" w:lineRule="auto"/>
        <w:ind w:firstLine="437"/>
        <w:textAlignment w:val="auto"/>
        <w:rPr>
          <w:rFonts w:hint="eastAsia" w:ascii="宋体" w:hAnsi="宋体" w:eastAsia="宋体"/>
          <w:sz w:val="24"/>
          <w:lang w:val="en-US" w:eastAsia="zh-CN"/>
        </w:rPr>
      </w:pPr>
      <w:r>
        <w:rPr>
          <w:rFonts w:hint="eastAsia" w:ascii="宋体" w:hAnsi="宋体" w:eastAsia="宋体"/>
          <w:sz w:val="24"/>
          <w:lang w:val="en-US" w:eastAsia="zh-CN"/>
        </w:rPr>
        <w:t>教材订单：</w:t>
      </w:r>
      <w:r>
        <w:rPr>
          <w:rFonts w:hint="eastAsia" w:ascii="宋体" w:hAnsi="宋体" w:eastAsia="宋体"/>
          <w:sz w:val="24"/>
          <w:lang w:val="en-US" w:eastAsia="en-US"/>
        </w:rPr>
        <w:t>书单以教务处提供的</w:t>
      </w:r>
      <w:r>
        <w:rPr>
          <w:rFonts w:hint="eastAsia" w:ascii="宋体" w:hAnsi="宋体" w:eastAsia="宋体"/>
          <w:sz w:val="24"/>
          <w:lang w:val="en-US" w:eastAsia="zh-CN"/>
        </w:rPr>
        <w:t>2026年</w:t>
      </w:r>
      <w:r>
        <w:rPr>
          <w:rFonts w:hint="eastAsia" w:ascii="宋体" w:hAnsi="宋体" w:eastAsia="宋体"/>
          <w:sz w:val="24"/>
          <w:lang w:val="en-US" w:eastAsia="en-US"/>
        </w:rPr>
        <w:t>（202</w:t>
      </w:r>
      <w:r>
        <w:rPr>
          <w:rFonts w:hint="eastAsia" w:ascii="宋体" w:hAnsi="宋体" w:eastAsia="宋体"/>
          <w:sz w:val="24"/>
          <w:lang w:val="en-US" w:eastAsia="zh-CN"/>
        </w:rPr>
        <w:t>6</w:t>
      </w:r>
      <w:r>
        <w:rPr>
          <w:rFonts w:hint="eastAsia" w:ascii="宋体" w:hAnsi="宋体" w:eastAsia="宋体"/>
          <w:sz w:val="24"/>
          <w:lang w:val="en-US" w:eastAsia="en-US"/>
        </w:rPr>
        <w:t>年春季和202</w:t>
      </w:r>
      <w:r>
        <w:rPr>
          <w:rFonts w:hint="eastAsia" w:ascii="宋体" w:hAnsi="宋体" w:eastAsia="宋体"/>
          <w:sz w:val="24"/>
          <w:lang w:val="en-US" w:eastAsia="zh-CN"/>
        </w:rPr>
        <w:t>6</w:t>
      </w:r>
      <w:r>
        <w:rPr>
          <w:rFonts w:hint="eastAsia" w:ascii="宋体" w:hAnsi="宋体" w:eastAsia="宋体"/>
          <w:sz w:val="24"/>
          <w:lang w:val="en-US" w:eastAsia="en-US"/>
        </w:rPr>
        <w:t>年秋季</w:t>
      </w:r>
      <w:r>
        <w:rPr>
          <w:rFonts w:hint="eastAsia" w:ascii="宋体" w:hAnsi="宋体" w:eastAsia="宋体"/>
          <w:sz w:val="24"/>
          <w:lang w:val="en-US" w:eastAsia="zh-CN"/>
        </w:rPr>
        <w:t>）、2027年</w:t>
      </w:r>
      <w:r>
        <w:rPr>
          <w:rFonts w:hint="eastAsia" w:ascii="宋体" w:hAnsi="宋体" w:eastAsia="宋体"/>
          <w:sz w:val="24"/>
          <w:lang w:val="en-US" w:eastAsia="en-US"/>
        </w:rPr>
        <w:t>（202</w:t>
      </w:r>
      <w:r>
        <w:rPr>
          <w:rFonts w:hint="eastAsia" w:ascii="宋体" w:hAnsi="宋体" w:eastAsia="宋体"/>
          <w:sz w:val="24"/>
          <w:lang w:val="en-US" w:eastAsia="zh-CN"/>
        </w:rPr>
        <w:t>7</w:t>
      </w:r>
      <w:r>
        <w:rPr>
          <w:rFonts w:hint="eastAsia" w:ascii="宋体" w:hAnsi="宋体" w:eastAsia="宋体"/>
          <w:sz w:val="24"/>
          <w:lang w:val="en-US" w:eastAsia="en-US"/>
        </w:rPr>
        <w:t>年春季和202</w:t>
      </w:r>
      <w:r>
        <w:rPr>
          <w:rFonts w:hint="eastAsia" w:ascii="宋体" w:hAnsi="宋体" w:eastAsia="宋体"/>
          <w:sz w:val="24"/>
          <w:lang w:val="en-US" w:eastAsia="zh-CN"/>
        </w:rPr>
        <w:t>7</w:t>
      </w:r>
      <w:r>
        <w:rPr>
          <w:rFonts w:hint="eastAsia" w:ascii="宋体" w:hAnsi="宋体" w:eastAsia="宋体"/>
          <w:sz w:val="24"/>
          <w:lang w:val="en-US" w:eastAsia="en-US"/>
        </w:rPr>
        <w:t>年秋季）教材征订清单为准</w:t>
      </w:r>
      <w:r>
        <w:rPr>
          <w:rFonts w:hint="eastAsia" w:ascii="宋体" w:hAnsi="宋体" w:eastAsia="宋体"/>
          <w:sz w:val="24"/>
          <w:lang w:val="en-US" w:eastAsia="zh-CN"/>
        </w:rPr>
        <w:t>。</w:t>
      </w:r>
    </w:p>
    <w:p w14:paraId="685B03B5">
      <w:pPr>
        <w:rPr>
          <w:rFonts w:hint="eastAsia" w:ascii="宋体" w:hAnsi="宋体" w:eastAsia="宋体"/>
          <w:sz w:val="24"/>
          <w:lang w:val="en-US" w:eastAsia="zh-CN"/>
        </w:rPr>
      </w:pPr>
      <w:r>
        <w:rPr>
          <w:rFonts w:hint="eastAsia" w:ascii="宋体" w:hAnsi="宋体" w:eastAsia="宋体"/>
          <w:sz w:val="24"/>
          <w:lang w:val="en-US" w:eastAsia="zh-CN"/>
        </w:rPr>
        <w:br w:type="page"/>
      </w:r>
    </w:p>
    <w:tbl>
      <w:tblPr>
        <w:tblStyle w:val="5"/>
        <w:tblW w:w="88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6"/>
        <w:gridCol w:w="1399"/>
        <w:gridCol w:w="1523"/>
        <w:gridCol w:w="1835"/>
        <w:gridCol w:w="1742"/>
        <w:gridCol w:w="1767"/>
      </w:tblGrid>
      <w:tr w14:paraId="7F017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8862" w:type="dxa"/>
            <w:gridSpan w:val="6"/>
            <w:tcBorders>
              <w:top w:val="nil"/>
              <w:left w:val="nil"/>
              <w:right w:val="nil"/>
            </w:tcBorders>
            <w:noWrap w:val="0"/>
            <w:vAlign w:val="center"/>
          </w:tcPr>
          <w:p w14:paraId="215423FC">
            <w:pPr>
              <w:pStyle w:val="3"/>
              <w:adjustRightInd w:val="0"/>
              <w:snapToGrid w:val="0"/>
              <w:spacing w:line="460" w:lineRule="exact"/>
              <w:ind w:firstLine="426" w:firstLineChars="177"/>
              <w:jc w:val="left"/>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lang w:val="en-US" w:eastAsia="zh-CN"/>
              </w:rPr>
              <w:t>附件：</w:t>
            </w:r>
            <w:r>
              <w:rPr>
                <w:rFonts w:hint="eastAsia" w:ascii="宋体" w:hAnsi="宋体" w:eastAsia="宋体" w:cs="宋体"/>
                <w:b/>
                <w:color w:val="auto"/>
                <w:sz w:val="24"/>
                <w:szCs w:val="24"/>
                <w:highlight w:val="none"/>
              </w:rPr>
              <w:t>履约考核表</w:t>
            </w:r>
          </w:p>
        </w:tc>
      </w:tr>
      <w:tr w14:paraId="64869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995" w:type="dxa"/>
            <w:gridSpan w:val="2"/>
            <w:noWrap w:val="0"/>
            <w:vAlign w:val="center"/>
          </w:tcPr>
          <w:p w14:paraId="1836948A">
            <w:pPr>
              <w:widowControl/>
              <w:spacing w:line="4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合同名称</w:t>
            </w:r>
          </w:p>
        </w:tc>
        <w:tc>
          <w:tcPr>
            <w:tcW w:w="5100" w:type="dxa"/>
            <w:gridSpan w:val="3"/>
            <w:noWrap w:val="0"/>
            <w:vAlign w:val="center"/>
          </w:tcPr>
          <w:p w14:paraId="16749567">
            <w:pPr>
              <w:spacing w:line="460" w:lineRule="exact"/>
              <w:rPr>
                <w:rFonts w:hint="eastAsia" w:ascii="宋体" w:hAnsi="宋体" w:eastAsia="宋体" w:cs="宋体"/>
                <w:color w:val="auto"/>
                <w:sz w:val="21"/>
                <w:szCs w:val="21"/>
                <w:highlight w:val="none"/>
              </w:rPr>
            </w:pPr>
          </w:p>
        </w:tc>
        <w:tc>
          <w:tcPr>
            <w:tcW w:w="1767" w:type="dxa"/>
            <w:vMerge w:val="restart"/>
            <w:noWrap w:val="0"/>
            <w:vAlign w:val="center"/>
          </w:tcPr>
          <w:p w14:paraId="12267D46">
            <w:pPr>
              <w:spacing w:line="460" w:lineRule="exact"/>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考评</w:t>
            </w:r>
            <w:r>
              <w:rPr>
                <w:rFonts w:hint="eastAsia" w:ascii="宋体" w:hAnsi="宋体" w:eastAsia="宋体" w:cs="宋体"/>
                <w:color w:val="auto"/>
                <w:sz w:val="21"/>
                <w:szCs w:val="21"/>
                <w:highlight w:val="none"/>
                <w:lang w:val="en-US" w:eastAsia="zh-CN"/>
              </w:rPr>
              <w:t>学期</w:t>
            </w:r>
          </w:p>
          <w:p w14:paraId="4337DABC">
            <w:pPr>
              <w:spacing w:line="460" w:lineRule="exact"/>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20</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季</w:t>
            </w:r>
          </w:p>
        </w:tc>
      </w:tr>
      <w:tr w14:paraId="7A569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995" w:type="dxa"/>
            <w:gridSpan w:val="2"/>
            <w:noWrap w:val="0"/>
            <w:vAlign w:val="center"/>
          </w:tcPr>
          <w:p w14:paraId="506AFD9B">
            <w:pPr>
              <w:widowControl/>
              <w:spacing w:line="4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供应商名称</w:t>
            </w:r>
          </w:p>
        </w:tc>
        <w:tc>
          <w:tcPr>
            <w:tcW w:w="5100" w:type="dxa"/>
            <w:gridSpan w:val="3"/>
            <w:noWrap w:val="0"/>
            <w:vAlign w:val="center"/>
          </w:tcPr>
          <w:p w14:paraId="613F4C52">
            <w:pPr>
              <w:spacing w:line="460" w:lineRule="exact"/>
              <w:rPr>
                <w:rFonts w:hint="eastAsia" w:ascii="宋体" w:hAnsi="宋体" w:eastAsia="宋体" w:cs="宋体"/>
                <w:color w:val="auto"/>
                <w:sz w:val="21"/>
                <w:szCs w:val="21"/>
                <w:highlight w:val="none"/>
              </w:rPr>
            </w:pPr>
          </w:p>
        </w:tc>
        <w:tc>
          <w:tcPr>
            <w:tcW w:w="1767" w:type="dxa"/>
            <w:vMerge w:val="continue"/>
            <w:noWrap w:val="0"/>
            <w:vAlign w:val="center"/>
          </w:tcPr>
          <w:p w14:paraId="1E0A0994">
            <w:pPr>
              <w:spacing w:line="460" w:lineRule="exact"/>
              <w:jc w:val="center"/>
              <w:rPr>
                <w:rFonts w:hint="eastAsia" w:ascii="宋体" w:hAnsi="宋体" w:eastAsia="宋体" w:cs="宋体"/>
                <w:color w:val="auto"/>
                <w:sz w:val="21"/>
                <w:szCs w:val="21"/>
                <w:highlight w:val="none"/>
              </w:rPr>
            </w:pPr>
          </w:p>
        </w:tc>
      </w:tr>
      <w:tr w14:paraId="12BF5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596" w:type="dxa"/>
            <w:noWrap w:val="0"/>
            <w:vAlign w:val="center"/>
          </w:tcPr>
          <w:p w14:paraId="03A50B5F">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1399" w:type="dxa"/>
            <w:noWrap w:val="0"/>
            <w:vAlign w:val="center"/>
          </w:tcPr>
          <w:p w14:paraId="65E5E1BA">
            <w:pPr>
              <w:spacing w:line="4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考核内容</w:t>
            </w:r>
          </w:p>
        </w:tc>
        <w:tc>
          <w:tcPr>
            <w:tcW w:w="5100" w:type="dxa"/>
            <w:gridSpan w:val="3"/>
            <w:noWrap w:val="0"/>
            <w:vAlign w:val="center"/>
          </w:tcPr>
          <w:p w14:paraId="28BCA449">
            <w:pPr>
              <w:spacing w:line="4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考核标准</w:t>
            </w:r>
          </w:p>
        </w:tc>
        <w:tc>
          <w:tcPr>
            <w:tcW w:w="1767" w:type="dxa"/>
            <w:vMerge w:val="continue"/>
            <w:noWrap w:val="0"/>
            <w:vAlign w:val="center"/>
          </w:tcPr>
          <w:p w14:paraId="2409FA6A">
            <w:pPr>
              <w:spacing w:line="460" w:lineRule="exact"/>
              <w:rPr>
                <w:rFonts w:hint="eastAsia" w:ascii="宋体" w:hAnsi="宋体" w:eastAsia="宋体" w:cs="宋体"/>
                <w:color w:val="auto"/>
                <w:sz w:val="21"/>
                <w:szCs w:val="21"/>
                <w:highlight w:val="none"/>
              </w:rPr>
            </w:pPr>
          </w:p>
        </w:tc>
      </w:tr>
      <w:tr w14:paraId="6BECE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jc w:val="center"/>
        </w:trPr>
        <w:tc>
          <w:tcPr>
            <w:tcW w:w="596" w:type="dxa"/>
            <w:noWrap w:val="0"/>
            <w:vAlign w:val="center"/>
          </w:tcPr>
          <w:p w14:paraId="16B173C0">
            <w:pPr>
              <w:spacing w:line="4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rPr>
              <w:t>1</w:t>
            </w:r>
          </w:p>
        </w:tc>
        <w:tc>
          <w:tcPr>
            <w:tcW w:w="1399" w:type="dxa"/>
            <w:noWrap w:val="0"/>
            <w:vAlign w:val="center"/>
          </w:tcPr>
          <w:p w14:paraId="5EE9E827">
            <w:pPr>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规定时间内到书率</w:t>
            </w:r>
          </w:p>
        </w:tc>
        <w:tc>
          <w:tcPr>
            <w:tcW w:w="1523" w:type="dxa"/>
            <w:noWrap w:val="0"/>
            <w:vAlign w:val="center"/>
          </w:tcPr>
          <w:p w14:paraId="78E8A465">
            <w:pPr>
              <w:spacing w:line="46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100%/</w:t>
            </w:r>
          </w:p>
          <w:p w14:paraId="3EB367F3">
            <w:pPr>
              <w:spacing w:line="46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非常满意</w:t>
            </w:r>
          </w:p>
        </w:tc>
        <w:tc>
          <w:tcPr>
            <w:tcW w:w="1835" w:type="dxa"/>
            <w:noWrap w:val="0"/>
            <w:vAlign w:val="center"/>
          </w:tcPr>
          <w:p w14:paraId="56FD0996">
            <w:pP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□95%-100%/</w:t>
            </w:r>
          </w:p>
          <w:p w14:paraId="25C8BA59">
            <w:pP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满意</w:t>
            </w:r>
          </w:p>
        </w:tc>
        <w:tc>
          <w:tcPr>
            <w:tcW w:w="1742" w:type="dxa"/>
            <w:noWrap w:val="0"/>
            <w:vAlign w:val="center"/>
          </w:tcPr>
          <w:p w14:paraId="1FAD6B74">
            <w:pP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90%-95%/</w:t>
            </w:r>
          </w:p>
          <w:p w14:paraId="358FCAE9">
            <w:pP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一般</w:t>
            </w:r>
          </w:p>
        </w:tc>
        <w:tc>
          <w:tcPr>
            <w:tcW w:w="1767" w:type="dxa"/>
            <w:noWrap w:val="0"/>
            <w:vAlign w:val="center"/>
          </w:tcPr>
          <w:p w14:paraId="09E26393">
            <w:pP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□90%及以下/</w:t>
            </w:r>
          </w:p>
          <w:p w14:paraId="298B6B51">
            <w:pP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不满意</w:t>
            </w:r>
          </w:p>
        </w:tc>
      </w:tr>
      <w:tr w14:paraId="6083D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jc w:val="center"/>
        </w:trPr>
        <w:tc>
          <w:tcPr>
            <w:tcW w:w="596" w:type="dxa"/>
            <w:noWrap w:val="0"/>
            <w:vAlign w:val="center"/>
          </w:tcPr>
          <w:p w14:paraId="480A85BE">
            <w:pPr>
              <w:spacing w:line="4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rPr>
              <w:t>2</w:t>
            </w:r>
          </w:p>
        </w:tc>
        <w:tc>
          <w:tcPr>
            <w:tcW w:w="1399" w:type="dxa"/>
            <w:noWrap w:val="0"/>
            <w:vAlign w:val="center"/>
          </w:tcPr>
          <w:p w14:paraId="383686DA">
            <w:pPr>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临时追订/</w:t>
            </w:r>
          </w:p>
          <w:p w14:paraId="5408DE56">
            <w:pPr>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急用教材</w:t>
            </w:r>
          </w:p>
        </w:tc>
        <w:tc>
          <w:tcPr>
            <w:tcW w:w="1523" w:type="dxa"/>
            <w:noWrap w:val="0"/>
            <w:vAlign w:val="center"/>
          </w:tcPr>
          <w:p w14:paraId="215B592C">
            <w:pPr>
              <w:spacing w:line="46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□5天内/</w:t>
            </w:r>
          </w:p>
          <w:p w14:paraId="6C16BDC1">
            <w:pPr>
              <w:spacing w:line="46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非常满意</w:t>
            </w:r>
          </w:p>
        </w:tc>
        <w:tc>
          <w:tcPr>
            <w:tcW w:w="1835" w:type="dxa"/>
            <w:noWrap w:val="0"/>
            <w:vAlign w:val="center"/>
          </w:tcPr>
          <w:p w14:paraId="032EAA2E">
            <w:pP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□10天内/</w:t>
            </w:r>
          </w:p>
          <w:p w14:paraId="501F5B91">
            <w:pP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满意</w:t>
            </w:r>
          </w:p>
        </w:tc>
        <w:tc>
          <w:tcPr>
            <w:tcW w:w="1742" w:type="dxa"/>
            <w:noWrap w:val="0"/>
            <w:vAlign w:val="center"/>
          </w:tcPr>
          <w:p w14:paraId="77D034D7">
            <w:pP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□12天内/</w:t>
            </w:r>
          </w:p>
          <w:p w14:paraId="458B603A">
            <w:pP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一般</w:t>
            </w:r>
          </w:p>
        </w:tc>
        <w:tc>
          <w:tcPr>
            <w:tcW w:w="1767" w:type="dxa"/>
            <w:noWrap w:val="0"/>
            <w:vAlign w:val="center"/>
          </w:tcPr>
          <w:p w14:paraId="0AB23D4D">
            <w:pP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□12天及以上/不满意</w:t>
            </w:r>
          </w:p>
        </w:tc>
      </w:tr>
      <w:tr w14:paraId="1498D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jc w:val="center"/>
        </w:trPr>
        <w:tc>
          <w:tcPr>
            <w:tcW w:w="596" w:type="dxa"/>
            <w:noWrap w:val="0"/>
            <w:vAlign w:val="center"/>
          </w:tcPr>
          <w:p w14:paraId="18CB716B">
            <w:pPr>
              <w:spacing w:line="4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rPr>
              <w:t>3</w:t>
            </w:r>
          </w:p>
        </w:tc>
        <w:tc>
          <w:tcPr>
            <w:tcW w:w="1399" w:type="dxa"/>
            <w:noWrap w:val="0"/>
            <w:vAlign w:val="center"/>
          </w:tcPr>
          <w:p w14:paraId="1EA724AD">
            <w:pPr>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教材版本</w:t>
            </w:r>
          </w:p>
          <w:p w14:paraId="30FD8059">
            <w:pPr>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质量</w:t>
            </w:r>
          </w:p>
        </w:tc>
        <w:tc>
          <w:tcPr>
            <w:tcW w:w="1523" w:type="dxa"/>
            <w:noWrap w:val="0"/>
            <w:vAlign w:val="center"/>
          </w:tcPr>
          <w:p w14:paraId="65D4EB24">
            <w:pPr>
              <w:spacing w:line="46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□无破损无开胶等/非常满意</w:t>
            </w:r>
          </w:p>
          <w:p w14:paraId="0FAF53CB">
            <w:pPr>
              <w:spacing w:line="46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/非常满意</w:t>
            </w:r>
          </w:p>
        </w:tc>
        <w:tc>
          <w:tcPr>
            <w:tcW w:w="1835" w:type="dxa"/>
            <w:noWrap w:val="0"/>
            <w:vAlign w:val="center"/>
          </w:tcPr>
          <w:p w14:paraId="2E1A39DC">
            <w:pP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□有细微破损开胶等/满意</w:t>
            </w:r>
          </w:p>
        </w:tc>
        <w:tc>
          <w:tcPr>
            <w:tcW w:w="1742" w:type="dxa"/>
            <w:noWrap w:val="0"/>
            <w:vAlign w:val="center"/>
          </w:tcPr>
          <w:p w14:paraId="6FAFC6E6">
            <w:pP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□3处及以上破损开胶等/一般</w:t>
            </w:r>
          </w:p>
        </w:tc>
        <w:tc>
          <w:tcPr>
            <w:tcW w:w="1767" w:type="dxa"/>
            <w:noWrap w:val="0"/>
            <w:vAlign w:val="center"/>
          </w:tcPr>
          <w:p w14:paraId="5C149228">
            <w:pP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□严重影响美观、阅读/不满意</w:t>
            </w:r>
          </w:p>
        </w:tc>
      </w:tr>
      <w:tr w14:paraId="25028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jc w:val="center"/>
        </w:trPr>
        <w:tc>
          <w:tcPr>
            <w:tcW w:w="596" w:type="dxa"/>
            <w:noWrap w:val="0"/>
            <w:vAlign w:val="center"/>
          </w:tcPr>
          <w:p w14:paraId="0D1F8871">
            <w:pPr>
              <w:spacing w:line="4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rPr>
              <w:t>4</w:t>
            </w:r>
          </w:p>
        </w:tc>
        <w:tc>
          <w:tcPr>
            <w:tcW w:w="1399" w:type="dxa"/>
            <w:noWrap w:val="0"/>
            <w:vAlign w:val="center"/>
          </w:tcPr>
          <w:p w14:paraId="297A7E99">
            <w:pPr>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教材信息</w:t>
            </w:r>
          </w:p>
          <w:p w14:paraId="2512A891">
            <w:pPr>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沟通</w:t>
            </w:r>
          </w:p>
        </w:tc>
        <w:tc>
          <w:tcPr>
            <w:tcW w:w="1523" w:type="dxa"/>
            <w:noWrap w:val="0"/>
            <w:vAlign w:val="center"/>
          </w:tcPr>
          <w:p w14:paraId="40176B3C">
            <w:pPr>
              <w:spacing w:line="46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□非常满意</w:t>
            </w:r>
          </w:p>
        </w:tc>
        <w:tc>
          <w:tcPr>
            <w:tcW w:w="1835" w:type="dxa"/>
            <w:noWrap w:val="0"/>
            <w:vAlign w:val="center"/>
          </w:tcPr>
          <w:p w14:paraId="06B0BE9C">
            <w:pP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□满意</w:t>
            </w:r>
          </w:p>
        </w:tc>
        <w:tc>
          <w:tcPr>
            <w:tcW w:w="1742" w:type="dxa"/>
            <w:noWrap w:val="0"/>
            <w:vAlign w:val="center"/>
          </w:tcPr>
          <w:p w14:paraId="052A744D">
            <w:pP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□一般</w:t>
            </w:r>
          </w:p>
        </w:tc>
        <w:tc>
          <w:tcPr>
            <w:tcW w:w="1767" w:type="dxa"/>
            <w:noWrap w:val="0"/>
            <w:vAlign w:val="center"/>
          </w:tcPr>
          <w:p w14:paraId="4E9D2F4D">
            <w:pP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□不满意</w:t>
            </w:r>
          </w:p>
        </w:tc>
      </w:tr>
      <w:tr w14:paraId="5C0B3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jc w:val="center"/>
        </w:trPr>
        <w:tc>
          <w:tcPr>
            <w:tcW w:w="596" w:type="dxa"/>
            <w:noWrap w:val="0"/>
            <w:vAlign w:val="center"/>
          </w:tcPr>
          <w:p w14:paraId="7A001A15">
            <w:pPr>
              <w:spacing w:line="4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rPr>
              <w:t>5</w:t>
            </w:r>
          </w:p>
        </w:tc>
        <w:tc>
          <w:tcPr>
            <w:tcW w:w="1399" w:type="dxa"/>
            <w:noWrap w:val="0"/>
            <w:vAlign w:val="center"/>
          </w:tcPr>
          <w:p w14:paraId="370BEC81">
            <w:pPr>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外包装及</w:t>
            </w:r>
          </w:p>
          <w:p w14:paraId="25DEED85">
            <w:pPr>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标签</w:t>
            </w:r>
          </w:p>
        </w:tc>
        <w:tc>
          <w:tcPr>
            <w:tcW w:w="1523" w:type="dxa"/>
            <w:noWrap w:val="0"/>
            <w:vAlign w:val="center"/>
          </w:tcPr>
          <w:p w14:paraId="24B1BBFD">
            <w:pPr>
              <w:spacing w:line="46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□非常满意</w:t>
            </w:r>
          </w:p>
        </w:tc>
        <w:tc>
          <w:tcPr>
            <w:tcW w:w="1835" w:type="dxa"/>
            <w:noWrap w:val="0"/>
            <w:vAlign w:val="center"/>
          </w:tcPr>
          <w:p w14:paraId="1544C92B">
            <w:pP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□满意</w:t>
            </w:r>
          </w:p>
        </w:tc>
        <w:tc>
          <w:tcPr>
            <w:tcW w:w="1742" w:type="dxa"/>
            <w:noWrap w:val="0"/>
            <w:vAlign w:val="center"/>
          </w:tcPr>
          <w:p w14:paraId="55E57CBE">
            <w:pP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□一般</w:t>
            </w:r>
          </w:p>
        </w:tc>
        <w:tc>
          <w:tcPr>
            <w:tcW w:w="1767" w:type="dxa"/>
            <w:noWrap w:val="0"/>
            <w:vAlign w:val="center"/>
          </w:tcPr>
          <w:p w14:paraId="706F2973">
            <w:pP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□不满意</w:t>
            </w:r>
          </w:p>
        </w:tc>
      </w:tr>
      <w:tr w14:paraId="45EED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jc w:val="center"/>
        </w:trPr>
        <w:tc>
          <w:tcPr>
            <w:tcW w:w="596" w:type="dxa"/>
            <w:noWrap w:val="0"/>
            <w:vAlign w:val="center"/>
          </w:tcPr>
          <w:p w14:paraId="422AEEE3">
            <w:pPr>
              <w:spacing w:line="4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rPr>
              <w:t>6</w:t>
            </w:r>
          </w:p>
        </w:tc>
        <w:tc>
          <w:tcPr>
            <w:tcW w:w="1399" w:type="dxa"/>
            <w:noWrap w:val="0"/>
            <w:vAlign w:val="center"/>
          </w:tcPr>
          <w:p w14:paraId="73560FE9">
            <w:pPr>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送货上门及堆放分类</w:t>
            </w:r>
          </w:p>
        </w:tc>
        <w:tc>
          <w:tcPr>
            <w:tcW w:w="1523" w:type="dxa"/>
            <w:noWrap w:val="0"/>
            <w:vAlign w:val="center"/>
          </w:tcPr>
          <w:p w14:paraId="138CA174">
            <w:pPr>
              <w:spacing w:line="46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□非常满意</w:t>
            </w:r>
          </w:p>
        </w:tc>
        <w:tc>
          <w:tcPr>
            <w:tcW w:w="1835" w:type="dxa"/>
            <w:noWrap w:val="0"/>
            <w:vAlign w:val="center"/>
          </w:tcPr>
          <w:p w14:paraId="008E678D">
            <w:pP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□满意</w:t>
            </w:r>
          </w:p>
        </w:tc>
        <w:tc>
          <w:tcPr>
            <w:tcW w:w="1742" w:type="dxa"/>
            <w:noWrap w:val="0"/>
            <w:vAlign w:val="center"/>
          </w:tcPr>
          <w:p w14:paraId="2B3D3007">
            <w:pP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□一般</w:t>
            </w:r>
          </w:p>
        </w:tc>
        <w:tc>
          <w:tcPr>
            <w:tcW w:w="1767" w:type="dxa"/>
            <w:noWrap w:val="0"/>
            <w:vAlign w:val="center"/>
          </w:tcPr>
          <w:p w14:paraId="7E801404">
            <w:pP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□不满意</w:t>
            </w:r>
          </w:p>
        </w:tc>
      </w:tr>
      <w:tr w14:paraId="084CF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jc w:val="center"/>
        </w:trPr>
        <w:tc>
          <w:tcPr>
            <w:tcW w:w="596" w:type="dxa"/>
            <w:noWrap w:val="0"/>
            <w:vAlign w:val="center"/>
          </w:tcPr>
          <w:p w14:paraId="1B32AA6C">
            <w:pPr>
              <w:spacing w:line="4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rPr>
              <w:t>7</w:t>
            </w:r>
          </w:p>
        </w:tc>
        <w:tc>
          <w:tcPr>
            <w:tcW w:w="1399" w:type="dxa"/>
            <w:noWrap w:val="0"/>
            <w:vAlign w:val="center"/>
          </w:tcPr>
          <w:p w14:paraId="1DF0F95F">
            <w:pPr>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对业务人员的服务态度</w:t>
            </w:r>
          </w:p>
        </w:tc>
        <w:tc>
          <w:tcPr>
            <w:tcW w:w="1523" w:type="dxa"/>
            <w:noWrap w:val="0"/>
            <w:vAlign w:val="center"/>
          </w:tcPr>
          <w:p w14:paraId="6DAF33CF">
            <w:pPr>
              <w:spacing w:line="46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□非常满意</w:t>
            </w:r>
          </w:p>
        </w:tc>
        <w:tc>
          <w:tcPr>
            <w:tcW w:w="1835" w:type="dxa"/>
            <w:noWrap w:val="0"/>
            <w:vAlign w:val="center"/>
          </w:tcPr>
          <w:p w14:paraId="799DC503">
            <w:pP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□满意</w:t>
            </w:r>
          </w:p>
        </w:tc>
        <w:tc>
          <w:tcPr>
            <w:tcW w:w="1742" w:type="dxa"/>
            <w:noWrap w:val="0"/>
            <w:vAlign w:val="center"/>
          </w:tcPr>
          <w:p w14:paraId="0F8E8FF7">
            <w:pP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□一般</w:t>
            </w:r>
          </w:p>
        </w:tc>
        <w:tc>
          <w:tcPr>
            <w:tcW w:w="1767" w:type="dxa"/>
            <w:noWrap w:val="0"/>
            <w:vAlign w:val="center"/>
          </w:tcPr>
          <w:p w14:paraId="48DCBCBB">
            <w:pP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□不满意</w:t>
            </w:r>
          </w:p>
        </w:tc>
      </w:tr>
      <w:tr w14:paraId="43D96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exact"/>
          <w:jc w:val="center"/>
        </w:trPr>
        <w:tc>
          <w:tcPr>
            <w:tcW w:w="596" w:type="dxa"/>
            <w:noWrap w:val="0"/>
            <w:vAlign w:val="center"/>
          </w:tcPr>
          <w:p w14:paraId="21E60B49">
            <w:pPr>
              <w:spacing w:line="4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rPr>
              <w:t>8</w:t>
            </w:r>
          </w:p>
        </w:tc>
        <w:tc>
          <w:tcPr>
            <w:tcW w:w="1399" w:type="dxa"/>
            <w:noWrap w:val="0"/>
            <w:vAlign w:val="center"/>
          </w:tcPr>
          <w:p w14:paraId="2FD35B39">
            <w:pPr>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退书及更换</w:t>
            </w:r>
            <w:r>
              <w:rPr>
                <w:rFonts w:hint="eastAsia" w:ascii="宋体" w:hAnsi="宋体" w:eastAsia="宋体" w:cs="宋体"/>
                <w:color w:val="auto"/>
                <w:sz w:val="21"/>
                <w:szCs w:val="21"/>
                <w:highlight w:val="none"/>
                <w:lang w:val="en-US" w:eastAsia="zh-CN"/>
              </w:rPr>
              <w:t>服务</w:t>
            </w:r>
          </w:p>
        </w:tc>
        <w:tc>
          <w:tcPr>
            <w:tcW w:w="1523" w:type="dxa"/>
            <w:noWrap w:val="0"/>
            <w:vAlign w:val="center"/>
          </w:tcPr>
          <w:p w14:paraId="146DAE29">
            <w:pPr>
              <w:spacing w:line="46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□非常满意</w:t>
            </w:r>
          </w:p>
        </w:tc>
        <w:tc>
          <w:tcPr>
            <w:tcW w:w="1835" w:type="dxa"/>
            <w:noWrap w:val="0"/>
            <w:vAlign w:val="center"/>
          </w:tcPr>
          <w:p w14:paraId="7255BB86">
            <w:pP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□满意</w:t>
            </w:r>
          </w:p>
        </w:tc>
        <w:tc>
          <w:tcPr>
            <w:tcW w:w="1742" w:type="dxa"/>
            <w:noWrap w:val="0"/>
            <w:vAlign w:val="center"/>
          </w:tcPr>
          <w:p w14:paraId="478732D9">
            <w:pP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□一般</w:t>
            </w:r>
          </w:p>
        </w:tc>
        <w:tc>
          <w:tcPr>
            <w:tcW w:w="1767" w:type="dxa"/>
            <w:noWrap w:val="0"/>
            <w:vAlign w:val="center"/>
          </w:tcPr>
          <w:p w14:paraId="1100AAA9">
            <w:pP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□不满意</w:t>
            </w:r>
          </w:p>
        </w:tc>
      </w:tr>
      <w:tr w14:paraId="341279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jc w:val="center"/>
        </w:trPr>
        <w:tc>
          <w:tcPr>
            <w:tcW w:w="596" w:type="dxa"/>
            <w:noWrap w:val="0"/>
            <w:vAlign w:val="center"/>
          </w:tcPr>
          <w:p w14:paraId="3EECA3EB">
            <w:pPr>
              <w:spacing w:line="4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rPr>
              <w:t>9</w:t>
            </w:r>
          </w:p>
        </w:tc>
        <w:tc>
          <w:tcPr>
            <w:tcW w:w="1399" w:type="dxa"/>
            <w:noWrap w:val="0"/>
            <w:vAlign w:val="center"/>
          </w:tcPr>
          <w:p w14:paraId="6AAD6210">
            <w:pPr>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配/供教材</w:t>
            </w:r>
          </w:p>
          <w:p w14:paraId="1B9BAE71">
            <w:pPr>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差错率</w:t>
            </w:r>
          </w:p>
        </w:tc>
        <w:tc>
          <w:tcPr>
            <w:tcW w:w="1523" w:type="dxa"/>
            <w:noWrap w:val="0"/>
            <w:vAlign w:val="center"/>
          </w:tcPr>
          <w:p w14:paraId="235FB52B">
            <w:pP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□没错过/</w:t>
            </w:r>
          </w:p>
          <w:p w14:paraId="6B04B661">
            <w:pP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非常满意</w:t>
            </w:r>
          </w:p>
        </w:tc>
        <w:tc>
          <w:tcPr>
            <w:tcW w:w="1835" w:type="dxa"/>
            <w:noWrap w:val="0"/>
            <w:vAlign w:val="center"/>
          </w:tcPr>
          <w:p w14:paraId="776D3A7C">
            <w:pP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□偶尔一</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二次/满意</w:t>
            </w:r>
          </w:p>
        </w:tc>
        <w:tc>
          <w:tcPr>
            <w:tcW w:w="1742" w:type="dxa"/>
            <w:noWrap w:val="0"/>
            <w:vAlign w:val="center"/>
          </w:tcPr>
          <w:p w14:paraId="77A64701">
            <w:pP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□偶尔三、四次/一般</w:t>
            </w:r>
          </w:p>
        </w:tc>
        <w:tc>
          <w:tcPr>
            <w:tcW w:w="1767" w:type="dxa"/>
            <w:noWrap w:val="0"/>
            <w:vAlign w:val="center"/>
          </w:tcPr>
          <w:p w14:paraId="72D11484">
            <w:pP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□五次</w:t>
            </w:r>
            <w:r>
              <w:rPr>
                <w:rFonts w:hint="eastAsia" w:ascii="宋体" w:hAnsi="宋体" w:eastAsia="宋体" w:cs="宋体"/>
                <w:color w:val="auto"/>
                <w:sz w:val="21"/>
                <w:szCs w:val="21"/>
                <w:highlight w:val="none"/>
                <w:lang w:val="en-US"/>
              </w:rPr>
              <w:t>及</w:t>
            </w:r>
            <w:r>
              <w:rPr>
                <w:rFonts w:hint="eastAsia" w:ascii="宋体" w:hAnsi="宋体" w:eastAsia="宋体" w:cs="宋体"/>
                <w:color w:val="auto"/>
                <w:sz w:val="21"/>
                <w:szCs w:val="21"/>
                <w:highlight w:val="none"/>
              </w:rPr>
              <w:t>以上/</w:t>
            </w:r>
          </w:p>
          <w:p w14:paraId="15054169">
            <w:pP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不满意</w:t>
            </w:r>
          </w:p>
        </w:tc>
      </w:tr>
      <w:tr w14:paraId="18BE7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jc w:val="center"/>
        </w:trPr>
        <w:tc>
          <w:tcPr>
            <w:tcW w:w="596" w:type="dxa"/>
            <w:noWrap w:val="0"/>
            <w:vAlign w:val="center"/>
          </w:tcPr>
          <w:p w14:paraId="54361A5B">
            <w:pPr>
              <w:spacing w:line="460" w:lineRule="exact"/>
              <w:jc w:val="center"/>
              <w:rPr>
                <w:rFonts w:hint="eastAsia"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rPr>
              <w:t>10</w:t>
            </w:r>
          </w:p>
        </w:tc>
        <w:tc>
          <w:tcPr>
            <w:tcW w:w="1399" w:type="dxa"/>
            <w:noWrap w:val="0"/>
            <w:vAlign w:val="center"/>
          </w:tcPr>
          <w:p w14:paraId="2A48DF67">
            <w:pPr>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综合评价</w:t>
            </w:r>
          </w:p>
        </w:tc>
        <w:tc>
          <w:tcPr>
            <w:tcW w:w="1523" w:type="dxa"/>
            <w:noWrap w:val="0"/>
            <w:vAlign w:val="center"/>
          </w:tcPr>
          <w:p w14:paraId="4261577E">
            <w:pP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□非常满意</w:t>
            </w:r>
          </w:p>
        </w:tc>
        <w:tc>
          <w:tcPr>
            <w:tcW w:w="1835" w:type="dxa"/>
            <w:noWrap w:val="0"/>
            <w:vAlign w:val="center"/>
          </w:tcPr>
          <w:p w14:paraId="70D94C66">
            <w:pP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□满意</w:t>
            </w:r>
          </w:p>
        </w:tc>
        <w:tc>
          <w:tcPr>
            <w:tcW w:w="1742" w:type="dxa"/>
            <w:noWrap w:val="0"/>
            <w:vAlign w:val="center"/>
          </w:tcPr>
          <w:p w14:paraId="3E167145">
            <w:pP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一般</w:t>
            </w:r>
          </w:p>
        </w:tc>
        <w:tc>
          <w:tcPr>
            <w:tcW w:w="1767" w:type="dxa"/>
            <w:noWrap w:val="0"/>
            <w:vAlign w:val="center"/>
          </w:tcPr>
          <w:p w14:paraId="52A77C39">
            <w:pP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□不满意</w:t>
            </w:r>
          </w:p>
        </w:tc>
      </w:tr>
      <w:tr w14:paraId="6D196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1" w:hRule="exact"/>
          <w:jc w:val="center"/>
        </w:trPr>
        <w:tc>
          <w:tcPr>
            <w:tcW w:w="8862" w:type="dxa"/>
            <w:gridSpan w:val="6"/>
            <w:noWrap w:val="0"/>
            <w:vAlign w:val="top"/>
          </w:tcPr>
          <w:p w14:paraId="1046C1A5">
            <w:pPr>
              <w:spacing w:line="4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用户对教材订购</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配送服务的意见或建议:</w:t>
            </w:r>
          </w:p>
        </w:tc>
      </w:tr>
    </w:tbl>
    <w:p w14:paraId="20A6D417">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67D99C2"/>
    <w:multiLevelType w:val="singleLevel"/>
    <w:tmpl w:val="667D99C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582E56"/>
    <w:rsid w:val="7D582E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21"/>
      <w:szCs w:val="20"/>
      <w:lang w:val="en-US" w:eastAsia="zh-CN" w:bidi="ar-SA"/>
    </w:rPr>
  </w:style>
  <w:style w:type="paragraph" w:styleId="2">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Plain Text"/>
    <w:basedOn w:val="1"/>
    <w:qFormat/>
    <w:uiPriority w:val="99"/>
    <w:rPr>
      <w:rFonts w:ascii="宋体" w:hAnsi="Courier New" w:eastAsia="宋体" w:cs="黑体"/>
      <w:szCs w:val="22"/>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7">
    <w:name w:val="D&amp;L"/>
    <w:basedOn w:val="4"/>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8">
    <w:name w:val="xl31"/>
    <w:basedOn w:val="1"/>
    <w:autoRedefine/>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2025-09-30T01:21:00Z</dcterms:created>
  <dc:creator>森</dc:creator>
  <cp:lastModifiedBy>森</cp:lastModifiedBy>
  <dcterms:modified xsi:type="dcterms:W3CDTF">2025-09-30T01:21:42Z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A802B1DDBDAA46888E9F72425EEB44D2_11</vt:lpwstr>
  </property>
  <property fmtid="{D5CDD505-2E9C-101B-9397-08002B2CF9AE}" pid="4" name="KSOTemplateDocerSaveRecord">
    <vt:lpwstr>eyJoZGlkIjoiOTc3M2Y5NzIzMDFlZjAyY2Q4Njk5ODkyYjFjNzBiNTQiLCJ1c2VySWQiOiI0MzAwMTYzNzkifQ==</vt:lpwstr>
  </property>
</Properties>
</file>