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4807D">
      <w:pPr>
        <w:wordWrap w:val="0"/>
        <w:spacing w:line="360" w:lineRule="auto"/>
        <w:jc w:val="center"/>
        <w:outlineLvl w:val="1"/>
        <w:rPr>
          <w:rFonts w:ascii="华文中宋" w:hAnsi="华文中宋" w:eastAsia="华文中宋" w:cs="Times New Roman"/>
          <w:b/>
          <w:bCs/>
          <w:kern w:val="44"/>
          <w:sz w:val="44"/>
          <w:szCs w:val="44"/>
        </w:rPr>
      </w:pPr>
      <w:r>
        <w:rPr>
          <w:rFonts w:hint="eastAsia" w:ascii="华文中宋" w:hAnsi="华文中宋" w:eastAsia="华文中宋" w:cs="Times New Roman"/>
          <w:b/>
          <w:bCs/>
          <w:kern w:val="44"/>
          <w:sz w:val="44"/>
          <w:szCs w:val="44"/>
        </w:rPr>
        <w:t>第三章  采购需求</w:t>
      </w:r>
    </w:p>
    <w:p w14:paraId="1BD1FB4B">
      <w:pPr>
        <w:wordWrap w:val="0"/>
        <w:spacing w:line="440" w:lineRule="exact"/>
        <w:jc w:val="left"/>
        <w:rPr>
          <w:rFonts w:ascii="宋体" w:hAnsi="宋体" w:eastAsia="宋体"/>
          <w:b/>
          <w:sz w:val="24"/>
        </w:rPr>
      </w:pPr>
      <w:r>
        <w:rPr>
          <w:rFonts w:hint="eastAsia" w:ascii="宋体" w:hAnsi="宋体" w:eastAsia="宋体"/>
          <w:b/>
          <w:sz w:val="24"/>
        </w:rPr>
        <w:t>前注：</w:t>
      </w:r>
    </w:p>
    <w:p w14:paraId="5752587B">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7D7CD9C2">
      <w:pPr>
        <w:wordWrap w:val="0"/>
        <w:spacing w:line="440" w:lineRule="exact"/>
        <w:ind w:firstLine="437"/>
        <w:jc w:val="left"/>
        <w:rPr>
          <w:rFonts w:hint="eastAsia" w:ascii="宋体" w:hAnsi="宋体" w:eastAsia="宋体"/>
          <w:b/>
          <w:bCs/>
          <w:sz w:val="24"/>
        </w:rPr>
      </w:pPr>
      <w:r>
        <w:rPr>
          <w:rFonts w:hint="eastAsia" w:ascii="宋体" w:hAnsi="宋体" w:eastAsia="宋体"/>
          <w:b/>
          <w:bCs/>
          <w:sz w:val="24"/>
        </w:rPr>
        <w:t>一、采购需求前附表</w:t>
      </w:r>
    </w:p>
    <w:tbl>
      <w:tblPr>
        <w:tblStyle w:val="10"/>
        <w:tblW w:w="8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2CB15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004" w:type="dxa"/>
            <w:noWrap w:val="0"/>
            <w:vAlign w:val="center"/>
          </w:tcPr>
          <w:p w14:paraId="55A568E4">
            <w:pPr>
              <w:pStyle w:val="12"/>
            </w:pPr>
            <w:r>
              <w:rPr>
                <w:rFonts w:hint="eastAsia"/>
              </w:rPr>
              <w:t>序号</w:t>
            </w:r>
          </w:p>
        </w:tc>
        <w:tc>
          <w:tcPr>
            <w:tcW w:w="2025" w:type="dxa"/>
            <w:noWrap w:val="0"/>
            <w:vAlign w:val="center"/>
          </w:tcPr>
          <w:p w14:paraId="133C7576">
            <w:pPr>
              <w:pStyle w:val="13"/>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内容</w:t>
            </w:r>
          </w:p>
        </w:tc>
        <w:tc>
          <w:tcPr>
            <w:tcW w:w="5466" w:type="dxa"/>
            <w:noWrap w:val="0"/>
            <w:vAlign w:val="center"/>
          </w:tcPr>
          <w:p w14:paraId="66C08709">
            <w:pPr>
              <w:pStyle w:val="13"/>
              <w:widowControl w:val="0"/>
              <w:wordWrap w:val="0"/>
              <w:spacing w:before="0" w:beforeAutospacing="0" w:after="0" w:afterAutospacing="0"/>
              <w:rPr>
                <w:rFonts w:ascii="宋体" w:hAnsi="宋体" w:eastAsia="宋体"/>
                <w:bCs w:val="0"/>
                <w:sz w:val="24"/>
              </w:rPr>
            </w:pPr>
            <w:r>
              <w:rPr>
                <w:rFonts w:hint="eastAsia" w:ascii="宋体" w:hAnsi="宋体" w:eastAsia="宋体"/>
                <w:bCs w:val="0"/>
                <w:sz w:val="24"/>
              </w:rPr>
              <w:t>说明与要求</w:t>
            </w:r>
          </w:p>
        </w:tc>
      </w:tr>
      <w:tr w14:paraId="2A84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3494561C">
            <w:pPr>
              <w:pStyle w:val="12"/>
            </w:pPr>
            <w:r>
              <w:rPr>
                <w:rFonts w:hint="eastAsia"/>
              </w:rPr>
              <w:t>1</w:t>
            </w:r>
          </w:p>
        </w:tc>
        <w:tc>
          <w:tcPr>
            <w:tcW w:w="2025" w:type="dxa"/>
            <w:noWrap w:val="0"/>
            <w:vAlign w:val="center"/>
          </w:tcPr>
          <w:p w14:paraId="23DED2E2">
            <w:pPr>
              <w:pStyle w:val="13"/>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73DB21D7">
            <w:pPr>
              <w:pStyle w:val="8"/>
              <w:spacing w:line="360" w:lineRule="auto"/>
              <w:rPr>
                <w:rFonts w:cs="宋体"/>
                <w:sz w:val="24"/>
                <w:szCs w:val="24"/>
              </w:rPr>
            </w:pPr>
            <w:r>
              <w:rPr>
                <w:rFonts w:cs="宋体"/>
                <w:sz w:val="24"/>
                <w:szCs w:val="24"/>
              </w:rPr>
              <w:t>1、当</w:t>
            </w:r>
            <w:r>
              <w:rPr>
                <w:rFonts w:cs="宋体"/>
                <w:color w:val="auto"/>
                <w:sz w:val="24"/>
                <w:szCs w:val="24"/>
              </w:rPr>
              <w:t>服务项目累计工程造价金额为600万元（含）以内时，按照完成的审结金额和600万元与15万元的比例支付本季度服务费用；</w:t>
            </w:r>
          </w:p>
          <w:p w14:paraId="1464098A">
            <w:pPr>
              <w:pStyle w:val="8"/>
              <w:spacing w:line="360" w:lineRule="auto"/>
              <w:rPr>
                <w:rFonts w:cs="宋体"/>
                <w:sz w:val="24"/>
                <w:szCs w:val="24"/>
              </w:rPr>
            </w:pPr>
            <w:r>
              <w:rPr>
                <w:rFonts w:cs="宋体"/>
                <w:sz w:val="24"/>
                <w:szCs w:val="24"/>
              </w:rPr>
              <w:t>2、当服务的项目累计工程造价金额在600万元以上时，按照本年度完成的审结金额和供应商中标费率进行结算；</w:t>
            </w:r>
          </w:p>
          <w:p w14:paraId="6D4EBFC0">
            <w:pPr>
              <w:pStyle w:val="8"/>
              <w:spacing w:line="360" w:lineRule="auto"/>
              <w:jc w:val="both"/>
              <w:rPr>
                <w:rFonts w:hint="eastAsia" w:cs="宋体"/>
                <w:sz w:val="24"/>
                <w:szCs w:val="24"/>
              </w:rPr>
            </w:pPr>
            <w:r>
              <w:rPr>
                <w:rFonts w:cs="宋体"/>
                <w:sz w:val="24"/>
                <w:szCs w:val="24"/>
              </w:rPr>
              <w:t>3、每季度由供应商提交支付申请及结算单，经审核开具发票后支付，具体支付程序执行采购人内部具体管理办法。</w:t>
            </w:r>
          </w:p>
        </w:tc>
      </w:tr>
      <w:tr w14:paraId="6B11D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1004" w:type="dxa"/>
            <w:noWrap w:val="0"/>
            <w:vAlign w:val="center"/>
          </w:tcPr>
          <w:p w14:paraId="6C6670B8">
            <w:pPr>
              <w:pStyle w:val="12"/>
            </w:pPr>
            <w:r>
              <w:rPr>
                <w:rFonts w:hint="eastAsia"/>
              </w:rPr>
              <w:t>2</w:t>
            </w:r>
          </w:p>
        </w:tc>
        <w:tc>
          <w:tcPr>
            <w:tcW w:w="2025" w:type="dxa"/>
            <w:noWrap w:val="0"/>
            <w:vAlign w:val="center"/>
          </w:tcPr>
          <w:p w14:paraId="0F72110C">
            <w:pPr>
              <w:pStyle w:val="13"/>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0622FD40">
            <w:pPr>
              <w:pStyle w:val="13"/>
              <w:widowControl w:val="0"/>
              <w:spacing w:before="0" w:beforeAutospacing="0" w:after="0" w:afterAutospacing="0" w:line="360" w:lineRule="auto"/>
              <w:jc w:val="left"/>
              <w:rPr>
                <w:rFonts w:hint="eastAsia" w:ascii="宋体" w:hAnsi="宋体" w:eastAsia="宋体" w:cs="宋体"/>
                <w:b w:val="0"/>
                <w:bCs w:val="0"/>
                <w:kern w:val="2"/>
                <w:sz w:val="24"/>
                <w:szCs w:val="24"/>
              </w:rPr>
            </w:pPr>
            <w:r>
              <w:rPr>
                <w:rFonts w:hint="eastAsia" w:ascii="宋体" w:hAnsi="宋体" w:eastAsia="宋体" w:cs="宋体"/>
                <w:b w:val="0"/>
                <w:bCs w:val="0"/>
                <w:kern w:val="2"/>
                <w:sz w:val="24"/>
                <w:szCs w:val="24"/>
              </w:rPr>
              <w:t>安徽理工大学或采购人指定地点。</w:t>
            </w:r>
          </w:p>
        </w:tc>
      </w:tr>
      <w:tr w14:paraId="18F86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004" w:type="dxa"/>
            <w:noWrap w:val="0"/>
            <w:vAlign w:val="center"/>
          </w:tcPr>
          <w:p w14:paraId="3F2B648E">
            <w:pPr>
              <w:pStyle w:val="12"/>
            </w:pPr>
            <w:r>
              <w:rPr>
                <w:rFonts w:hint="eastAsia"/>
              </w:rPr>
              <w:t>3</w:t>
            </w:r>
          </w:p>
        </w:tc>
        <w:tc>
          <w:tcPr>
            <w:tcW w:w="2025" w:type="dxa"/>
            <w:noWrap w:val="0"/>
            <w:vAlign w:val="center"/>
          </w:tcPr>
          <w:p w14:paraId="191B59A7">
            <w:pPr>
              <w:pStyle w:val="13"/>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52FB5037">
            <w:pPr>
              <w:pStyle w:val="8"/>
              <w:spacing w:line="360" w:lineRule="auto"/>
              <w:jc w:val="both"/>
              <w:rPr>
                <w:rFonts w:hint="eastAsia" w:cs="宋体"/>
                <w:sz w:val="24"/>
                <w:szCs w:val="24"/>
              </w:rPr>
            </w:pPr>
            <w:r>
              <w:rPr>
                <w:rFonts w:hint="eastAsia" w:cs="宋体"/>
                <w:sz w:val="24"/>
                <w:szCs w:val="24"/>
              </w:rPr>
              <w:t>合同签订后1年。</w:t>
            </w:r>
          </w:p>
        </w:tc>
      </w:tr>
      <w:tr w14:paraId="3F64C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004" w:type="dxa"/>
            <w:noWrap w:val="0"/>
            <w:vAlign w:val="center"/>
          </w:tcPr>
          <w:p w14:paraId="447515A3">
            <w:pPr>
              <w:pStyle w:val="12"/>
              <w:rPr>
                <w:rFonts w:hint="eastAsia"/>
              </w:rPr>
            </w:pPr>
            <w:r>
              <w:rPr>
                <w:rFonts w:hint="eastAsia"/>
              </w:rPr>
              <w:t>4</w:t>
            </w:r>
          </w:p>
        </w:tc>
        <w:tc>
          <w:tcPr>
            <w:tcW w:w="2025" w:type="dxa"/>
            <w:noWrap w:val="0"/>
            <w:vAlign w:val="center"/>
          </w:tcPr>
          <w:p w14:paraId="270DE819">
            <w:pPr>
              <w:pStyle w:val="13"/>
              <w:widowControl w:val="0"/>
              <w:wordWrap w:val="0"/>
              <w:spacing w:before="0" w:beforeAutospacing="0" w:after="0" w:afterAutospacing="0" w:line="360" w:lineRule="auto"/>
              <w:rPr>
                <w:rFonts w:hint="eastAsia" w:ascii="宋体" w:hAnsi="宋体" w:eastAsia="宋体"/>
                <w:b w:val="0"/>
                <w:sz w:val="24"/>
              </w:rPr>
            </w:pPr>
            <w:r>
              <w:rPr>
                <w:rFonts w:hint="eastAsia" w:ascii="宋体" w:hAnsi="宋体" w:eastAsia="宋体"/>
                <w:b w:val="0"/>
                <w:sz w:val="24"/>
              </w:rPr>
              <w:t>服务质量</w:t>
            </w:r>
          </w:p>
        </w:tc>
        <w:tc>
          <w:tcPr>
            <w:tcW w:w="5466" w:type="dxa"/>
            <w:noWrap w:val="0"/>
            <w:vAlign w:val="center"/>
          </w:tcPr>
          <w:p w14:paraId="2311A554">
            <w:pPr>
              <w:pStyle w:val="8"/>
              <w:spacing w:line="360" w:lineRule="auto"/>
              <w:jc w:val="both"/>
              <w:rPr>
                <w:rFonts w:hint="eastAsia" w:cs="宋体"/>
                <w:sz w:val="24"/>
                <w:szCs w:val="24"/>
              </w:rPr>
            </w:pPr>
            <w:r>
              <w:rPr>
                <w:rFonts w:hint="eastAsia" w:cs="宋体"/>
                <w:sz w:val="24"/>
                <w:szCs w:val="24"/>
              </w:rPr>
              <w:t>合格</w:t>
            </w:r>
          </w:p>
        </w:tc>
      </w:tr>
    </w:tbl>
    <w:p w14:paraId="45A2AFE7">
      <w:pPr>
        <w:spacing w:line="500" w:lineRule="exact"/>
        <w:rPr>
          <w:rFonts w:hint="eastAsia" w:ascii="宋体" w:hAnsi="宋体" w:eastAsia="宋体" w:cs="宋体"/>
          <w:b/>
          <w:bCs/>
          <w:sz w:val="24"/>
          <w:szCs w:val="24"/>
        </w:rPr>
      </w:pPr>
      <w:bookmarkStart w:id="0" w:name="_Hlk16461016"/>
      <w:r>
        <w:rPr>
          <w:rFonts w:hint="eastAsia" w:ascii="宋体" w:hAnsi="宋体" w:eastAsia="宋体"/>
          <w:b/>
          <w:bCs/>
          <w:sz w:val="24"/>
        </w:rPr>
        <w:t>二、</w:t>
      </w:r>
      <w:bookmarkEnd w:id="0"/>
      <w:r>
        <w:rPr>
          <w:rFonts w:hint="eastAsia" w:ascii="宋体" w:hAnsi="宋体" w:eastAsia="宋体" w:cs="宋体"/>
          <w:b/>
          <w:bCs/>
          <w:sz w:val="24"/>
          <w:szCs w:val="24"/>
        </w:rPr>
        <w:t>项目概况</w:t>
      </w:r>
    </w:p>
    <w:p w14:paraId="332CEAEA">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本次采购1家工程监理供应商，在合同签订一年内，承担学校淮南校本部、合肥两个校区维修项目的工程监理工作（合同期内需驻场）。</w:t>
      </w:r>
    </w:p>
    <w:p w14:paraId="628F616F">
      <w:pPr>
        <w:spacing w:line="500" w:lineRule="exact"/>
        <w:rPr>
          <w:rFonts w:hint="eastAsia" w:ascii="宋体" w:hAnsi="宋体" w:eastAsia="宋体" w:cs="宋体"/>
          <w:b/>
          <w:bCs/>
          <w:sz w:val="24"/>
          <w:szCs w:val="24"/>
        </w:rPr>
      </w:pPr>
      <w:r>
        <w:rPr>
          <w:rFonts w:hint="eastAsia" w:ascii="宋体" w:hAnsi="宋体" w:eastAsia="宋体" w:cs="宋体"/>
          <w:b/>
          <w:bCs/>
          <w:sz w:val="24"/>
          <w:szCs w:val="24"/>
        </w:rPr>
        <w:t>三、</w:t>
      </w:r>
      <w:bookmarkStart w:id="1" w:name="_Hlk54941954"/>
      <w:r>
        <w:rPr>
          <w:rFonts w:hint="eastAsia" w:ascii="宋体" w:hAnsi="宋体" w:eastAsia="宋体" w:cs="宋体"/>
          <w:b/>
          <w:bCs/>
          <w:sz w:val="24"/>
          <w:szCs w:val="24"/>
        </w:rPr>
        <w:t>服务内容及要求</w:t>
      </w:r>
      <w:bookmarkEnd w:id="1"/>
    </w:p>
    <w:p w14:paraId="123727E9">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依据《安徽理工大学维修工程管理办法》程序要求，代表学校依据现行《建设工程监理规范》管理除公共建筑设施以外的所有维修项目，协助管理公共建筑设施部分的维修项目；项目内容包括但不限于以下主要工作：</w:t>
      </w:r>
    </w:p>
    <w:p w14:paraId="27ECEEB4">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ascii="宋体" w:hAnsi="宋体" w:eastAsia="宋体" w:cs="宋体"/>
          <w:color w:val="000000"/>
          <w:sz w:val="24"/>
          <w:szCs w:val="24"/>
        </w:rPr>
        <w:t>1</w:t>
      </w:r>
      <w:r>
        <w:rPr>
          <w:rFonts w:hint="eastAsia" w:ascii="宋体" w:hAnsi="宋体" w:eastAsia="宋体" w:cs="宋体"/>
          <w:color w:val="000000"/>
          <w:sz w:val="24"/>
          <w:szCs w:val="24"/>
        </w:rPr>
        <w:t>）做好项目立项前的各项准备工作，包括（现场勘察、建议方案、工程量确定等）管理工作；</w:t>
      </w:r>
    </w:p>
    <w:p w14:paraId="3D8DD08A">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ascii="宋体" w:hAnsi="宋体" w:eastAsia="宋体" w:cs="宋体"/>
          <w:color w:val="000000"/>
          <w:sz w:val="24"/>
          <w:szCs w:val="24"/>
        </w:rPr>
        <w:t>2</w:t>
      </w:r>
      <w:r>
        <w:rPr>
          <w:rFonts w:hint="eastAsia" w:ascii="宋体" w:hAnsi="宋体" w:eastAsia="宋体" w:cs="宋体"/>
          <w:color w:val="000000"/>
          <w:sz w:val="24"/>
          <w:szCs w:val="24"/>
        </w:rPr>
        <w:t>）负麦监督施工方案的执行，组织关键节点验收(如隐蔽工程)，确保符合设计规范、合同要求及国家标准。审查施工图纸、技术方案，提出优化建议，预防质量隐患；</w:t>
      </w:r>
    </w:p>
    <w:p w14:paraId="268EA582">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ascii="宋体" w:hAnsi="宋体" w:eastAsia="宋体" w:cs="宋体"/>
          <w:color w:val="000000"/>
          <w:sz w:val="24"/>
          <w:szCs w:val="24"/>
        </w:rPr>
        <w:t>3</w:t>
      </w:r>
      <w:r>
        <w:rPr>
          <w:rFonts w:hint="eastAsia" w:ascii="宋体" w:hAnsi="宋体" w:eastAsia="宋体" w:cs="宋体"/>
          <w:color w:val="000000"/>
          <w:sz w:val="24"/>
          <w:szCs w:val="24"/>
        </w:rPr>
        <w:t>）跟踪实际进度，发现偏差时督促施工方调整措施，确保工期目标。定期向建设单位报告工程进度情况；</w:t>
      </w:r>
    </w:p>
    <w:p w14:paraId="7611F714">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ascii="宋体" w:hAnsi="宋体" w:eastAsia="宋体" w:cs="宋体"/>
          <w:color w:val="000000"/>
          <w:sz w:val="24"/>
          <w:szCs w:val="24"/>
        </w:rPr>
        <w:t>4</w:t>
      </w:r>
      <w:r>
        <w:rPr>
          <w:rFonts w:hint="eastAsia" w:ascii="宋体" w:hAnsi="宋体" w:eastAsia="宋体" w:cs="宋体"/>
          <w:color w:val="000000"/>
          <w:sz w:val="24"/>
          <w:szCs w:val="24"/>
        </w:rPr>
        <w:t>）负责审核工程计量，管理变更、签证，防止不合理费用支出；</w:t>
      </w:r>
    </w:p>
    <w:p w14:paraId="7B3ADDD3">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ascii="宋体" w:hAnsi="宋体" w:eastAsia="宋体" w:cs="宋体"/>
          <w:color w:val="000000"/>
          <w:sz w:val="24"/>
          <w:szCs w:val="24"/>
        </w:rPr>
        <w:t>5</w:t>
      </w:r>
      <w:r>
        <w:rPr>
          <w:rFonts w:hint="eastAsia" w:ascii="宋体" w:hAnsi="宋体" w:eastAsia="宋体" w:cs="宋体"/>
          <w:color w:val="000000"/>
          <w:sz w:val="24"/>
          <w:szCs w:val="24"/>
        </w:rPr>
        <w:t>）负责工程各项验收管理工作；</w:t>
      </w:r>
    </w:p>
    <w:p w14:paraId="35B0F0B6">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ascii="宋体" w:hAnsi="宋体" w:eastAsia="宋体" w:cs="宋体"/>
          <w:color w:val="000000"/>
          <w:sz w:val="24"/>
          <w:szCs w:val="24"/>
        </w:rPr>
        <w:t>6</w:t>
      </w:r>
      <w:r>
        <w:rPr>
          <w:rFonts w:hint="eastAsia" w:ascii="宋体" w:hAnsi="宋体" w:eastAsia="宋体" w:cs="宋体"/>
          <w:color w:val="000000"/>
          <w:sz w:val="24"/>
          <w:szCs w:val="24"/>
        </w:rPr>
        <w:t>）负责施工过程中项目施工影像资料的留存；</w:t>
      </w:r>
    </w:p>
    <w:p w14:paraId="010BA40A">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w:t>
      </w:r>
      <w:r>
        <w:rPr>
          <w:rFonts w:ascii="宋体" w:hAnsi="宋体" w:eastAsia="宋体" w:cs="宋体"/>
          <w:color w:val="000000"/>
          <w:sz w:val="24"/>
          <w:szCs w:val="24"/>
        </w:rPr>
        <w:t>7</w:t>
      </w:r>
      <w:r>
        <w:rPr>
          <w:rFonts w:hint="eastAsia" w:ascii="宋体" w:hAnsi="宋体" w:eastAsia="宋体" w:cs="宋体"/>
          <w:color w:val="000000"/>
          <w:sz w:val="24"/>
          <w:szCs w:val="24"/>
        </w:rPr>
        <w:t>）监督施工现场安全措施的落实，组织安全检查，防范安全事故，对重大危险源提出管控建议。</w:t>
      </w:r>
    </w:p>
    <w:p w14:paraId="67C4E48F">
      <w:pPr>
        <w:spacing w:line="500" w:lineRule="exact"/>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3、人员配备（不少于）</w:t>
      </w:r>
    </w:p>
    <w:tbl>
      <w:tblPr>
        <w:tblStyle w:val="10"/>
        <w:tblW w:w="7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2"/>
        <w:gridCol w:w="2324"/>
        <w:gridCol w:w="1008"/>
        <w:gridCol w:w="2334"/>
      </w:tblGrid>
      <w:tr w14:paraId="3C750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2" w:type="dxa"/>
            <w:noWrap w:val="0"/>
            <w:vAlign w:val="center"/>
          </w:tcPr>
          <w:p w14:paraId="2FA266D3">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岗位</w:t>
            </w:r>
          </w:p>
        </w:tc>
        <w:tc>
          <w:tcPr>
            <w:tcW w:w="2324" w:type="dxa"/>
            <w:noWrap w:val="0"/>
            <w:vAlign w:val="center"/>
          </w:tcPr>
          <w:p w14:paraId="5600112F">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专业</w:t>
            </w:r>
          </w:p>
        </w:tc>
        <w:tc>
          <w:tcPr>
            <w:tcW w:w="1008" w:type="dxa"/>
            <w:noWrap w:val="0"/>
            <w:vAlign w:val="center"/>
          </w:tcPr>
          <w:p w14:paraId="4EC4DB65">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人数</w:t>
            </w:r>
          </w:p>
        </w:tc>
        <w:tc>
          <w:tcPr>
            <w:tcW w:w="2334" w:type="dxa"/>
            <w:noWrap w:val="0"/>
            <w:vAlign w:val="center"/>
          </w:tcPr>
          <w:p w14:paraId="4ECCC474">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备注</w:t>
            </w:r>
          </w:p>
        </w:tc>
      </w:tr>
      <w:tr w14:paraId="4A4AE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2332" w:type="dxa"/>
            <w:noWrap w:val="0"/>
            <w:vAlign w:val="center"/>
          </w:tcPr>
          <w:p w14:paraId="476B9A31">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总监理工程师</w:t>
            </w:r>
          </w:p>
        </w:tc>
        <w:tc>
          <w:tcPr>
            <w:tcW w:w="2324" w:type="dxa"/>
            <w:noWrap w:val="0"/>
            <w:vAlign w:val="center"/>
          </w:tcPr>
          <w:p w14:paraId="39AF5B3C">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房屋建筑工程或市政工程</w:t>
            </w:r>
          </w:p>
        </w:tc>
        <w:tc>
          <w:tcPr>
            <w:tcW w:w="1008" w:type="dxa"/>
            <w:noWrap w:val="0"/>
            <w:vAlign w:val="center"/>
          </w:tcPr>
          <w:p w14:paraId="54005D54">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1</w:t>
            </w:r>
          </w:p>
        </w:tc>
        <w:tc>
          <w:tcPr>
            <w:tcW w:w="2334" w:type="dxa"/>
            <w:noWrap w:val="0"/>
            <w:vAlign w:val="center"/>
          </w:tcPr>
          <w:p w14:paraId="223CBA03">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w:t>
            </w:r>
          </w:p>
        </w:tc>
      </w:tr>
      <w:tr w14:paraId="0282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32" w:type="dxa"/>
            <w:noWrap w:val="0"/>
            <w:vAlign w:val="center"/>
          </w:tcPr>
          <w:p w14:paraId="521806FB">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专业监理工程师</w:t>
            </w:r>
          </w:p>
        </w:tc>
        <w:tc>
          <w:tcPr>
            <w:tcW w:w="2324" w:type="dxa"/>
            <w:noWrap w:val="0"/>
            <w:vAlign w:val="center"/>
          </w:tcPr>
          <w:p w14:paraId="386C532D">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房屋建筑工程或安装工程或市政工程</w:t>
            </w:r>
          </w:p>
        </w:tc>
        <w:tc>
          <w:tcPr>
            <w:tcW w:w="1008" w:type="dxa"/>
            <w:noWrap w:val="0"/>
            <w:vAlign w:val="center"/>
          </w:tcPr>
          <w:p w14:paraId="2DB06E65">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1</w:t>
            </w:r>
          </w:p>
        </w:tc>
        <w:tc>
          <w:tcPr>
            <w:tcW w:w="2334" w:type="dxa"/>
            <w:noWrap w:val="0"/>
            <w:vAlign w:val="center"/>
          </w:tcPr>
          <w:p w14:paraId="5F503658">
            <w:pPr>
              <w:spacing w:line="360" w:lineRule="auto"/>
              <w:jc w:val="center"/>
              <w:rPr>
                <w:rFonts w:hint="eastAsia" w:ascii="宋体" w:hAnsi="宋体" w:eastAsia="宋体" w:cs="宋体"/>
                <w:spacing w:val="-2"/>
                <w:sz w:val="24"/>
              </w:rPr>
            </w:pPr>
            <w:r>
              <w:rPr>
                <w:rFonts w:hint="eastAsia" w:ascii="宋体" w:hAnsi="宋体" w:eastAsia="宋体" w:cs="宋体"/>
                <w:spacing w:val="-2"/>
                <w:sz w:val="24"/>
              </w:rPr>
              <w:t>/</w:t>
            </w:r>
          </w:p>
        </w:tc>
      </w:tr>
    </w:tbl>
    <w:p w14:paraId="75AC23C5">
      <w:pPr>
        <w:spacing w:line="500" w:lineRule="exact"/>
        <w:rPr>
          <w:rFonts w:hint="eastAsia" w:ascii="宋体" w:hAnsi="宋体" w:eastAsia="宋体"/>
          <w:b/>
          <w:sz w:val="24"/>
        </w:rPr>
      </w:pPr>
      <w:r>
        <w:rPr>
          <w:rFonts w:hint="eastAsia" w:ascii="宋体" w:hAnsi="宋体" w:eastAsia="宋体" w:cs="宋体"/>
          <w:b/>
          <w:bCs/>
          <w:sz w:val="24"/>
          <w:szCs w:val="24"/>
        </w:rPr>
        <w:t>四、</w:t>
      </w:r>
      <w:r>
        <w:rPr>
          <w:rFonts w:hint="eastAsia" w:ascii="宋体" w:hAnsi="宋体" w:eastAsia="宋体"/>
          <w:b/>
          <w:sz w:val="24"/>
        </w:rPr>
        <w:t>报价要求</w:t>
      </w:r>
    </w:p>
    <w:p w14:paraId="54838B87">
      <w:pPr>
        <w:spacing w:line="360" w:lineRule="auto"/>
        <w:ind w:firstLine="435"/>
        <w:jc w:val="left"/>
        <w:rPr>
          <w:rFonts w:hint="eastAsia" w:ascii="宋体" w:hAnsi="宋体" w:eastAsia="宋体"/>
          <w:b/>
          <w:bCs/>
          <w:sz w:val="24"/>
        </w:rPr>
      </w:pPr>
      <w:r>
        <w:rPr>
          <w:rFonts w:hint="eastAsia" w:ascii="宋体" w:hAnsi="宋体" w:eastAsia="宋体"/>
          <w:sz w:val="24"/>
          <w:lang w:val="en-US" w:eastAsia="zh-CN"/>
        </w:rPr>
        <w:t>本项目定价采购，供应商报固定价格：</w:t>
      </w:r>
      <w:r>
        <w:rPr>
          <w:rFonts w:hint="eastAsia" w:ascii="宋体" w:hAnsi="宋体" w:eastAsia="宋体"/>
          <w:b/>
          <w:bCs/>
          <w:sz w:val="24"/>
        </w:rPr>
        <w:t>工程造价600万元（含）以内</w:t>
      </w:r>
      <w:bookmarkStart w:id="2" w:name="OLE_LINK3"/>
      <w:bookmarkStart w:id="3" w:name="OLE_LINK4"/>
      <w:r>
        <w:rPr>
          <w:rFonts w:hint="eastAsia" w:ascii="宋体" w:hAnsi="宋体" w:eastAsia="宋体"/>
          <w:b/>
          <w:bCs/>
          <w:sz w:val="24"/>
        </w:rPr>
        <w:t>监理服务费</w:t>
      </w:r>
      <w:bookmarkEnd w:id="2"/>
      <w:bookmarkEnd w:id="3"/>
      <w:r>
        <w:rPr>
          <w:rFonts w:hint="eastAsia" w:ascii="宋体" w:hAnsi="宋体" w:eastAsia="宋体"/>
          <w:b/>
          <w:bCs/>
          <w:sz w:val="24"/>
        </w:rPr>
        <w:t>为固定价</w:t>
      </w:r>
      <w:r>
        <w:rPr>
          <w:rFonts w:ascii="宋体" w:hAnsi="宋体" w:eastAsia="宋体"/>
          <w:b/>
          <w:bCs/>
          <w:sz w:val="24"/>
        </w:rPr>
        <w:t>15</w:t>
      </w:r>
      <w:r>
        <w:rPr>
          <w:rFonts w:hint="eastAsia" w:ascii="宋体" w:hAnsi="宋体" w:eastAsia="宋体"/>
          <w:b/>
          <w:bCs/>
          <w:sz w:val="24"/>
        </w:rPr>
        <w:t>万元；超过600万元部分监理服务费不超过工程造价的费率2.64%计算监理服务费。</w:t>
      </w:r>
    </w:p>
    <w:p w14:paraId="0B51C61D">
      <w:pPr>
        <w:spacing w:line="360" w:lineRule="auto"/>
        <w:ind w:firstLine="435"/>
        <w:jc w:val="left"/>
        <w:rPr>
          <w:rFonts w:hint="default" w:ascii="宋体" w:hAnsi="宋体" w:eastAsia="宋体"/>
          <w:color w:val="FF0000"/>
          <w:sz w:val="24"/>
          <w:lang w:val="en-US" w:eastAsia="zh-CN"/>
        </w:rPr>
      </w:pPr>
      <w:r>
        <w:rPr>
          <w:rFonts w:hint="eastAsia" w:ascii="宋体" w:hAnsi="宋体" w:eastAsia="宋体"/>
          <w:b/>
          <w:bCs/>
          <w:color w:val="FF0000"/>
          <w:sz w:val="24"/>
          <w:lang w:val="en-US" w:eastAsia="zh-CN"/>
        </w:rPr>
        <w:t>供应商在安招采系统开标一览表中报价只需填写</w:t>
      </w:r>
      <w:r>
        <w:rPr>
          <w:rFonts w:hint="eastAsia" w:ascii="宋体" w:hAnsi="宋体" w:eastAsia="宋体"/>
          <w:b/>
          <w:bCs/>
          <w:color w:val="FF0000"/>
          <w:sz w:val="24"/>
        </w:rPr>
        <w:t>固定价</w:t>
      </w:r>
      <w:r>
        <w:rPr>
          <w:rFonts w:ascii="宋体" w:hAnsi="宋体" w:eastAsia="宋体"/>
          <w:b/>
          <w:bCs/>
          <w:color w:val="FF0000"/>
          <w:sz w:val="24"/>
        </w:rPr>
        <w:t>15</w:t>
      </w:r>
      <w:r>
        <w:rPr>
          <w:rFonts w:hint="eastAsia" w:ascii="宋体" w:hAnsi="宋体" w:eastAsia="宋体"/>
          <w:b/>
          <w:bCs/>
          <w:color w:val="FF0000"/>
          <w:sz w:val="24"/>
        </w:rPr>
        <w:t>万元</w:t>
      </w:r>
      <w:r>
        <w:rPr>
          <w:rFonts w:hint="eastAsia" w:ascii="宋体" w:hAnsi="宋体" w:eastAsia="宋体"/>
          <w:b/>
          <w:bCs/>
          <w:color w:val="FF0000"/>
          <w:sz w:val="24"/>
          <w:lang w:eastAsia="zh-CN"/>
        </w:rPr>
        <w:t>，</w:t>
      </w:r>
      <w:r>
        <w:rPr>
          <w:rFonts w:hint="eastAsia" w:ascii="宋体" w:hAnsi="宋体" w:eastAsia="宋体"/>
          <w:b/>
          <w:bCs/>
          <w:color w:val="FF0000"/>
          <w:sz w:val="24"/>
          <w:lang w:val="en-US" w:eastAsia="zh-CN"/>
        </w:rPr>
        <w:t>无需填写费率。本项目报价以供应商响应文件报价表中的报价为准。</w:t>
      </w:r>
    </w:p>
    <w:p w14:paraId="363C4F6F">
      <w:pPr>
        <w:numPr>
          <w:ilvl w:val="0"/>
          <w:numId w:val="1"/>
        </w:numPr>
        <w:spacing w:line="500" w:lineRule="exact"/>
        <w:rPr>
          <w:rFonts w:hint="eastAsia" w:ascii="宋体" w:hAnsi="宋体" w:eastAsia="宋体"/>
          <w:b/>
          <w:sz w:val="24"/>
        </w:rPr>
      </w:pPr>
      <w:r>
        <w:rPr>
          <w:rFonts w:hint="eastAsia" w:ascii="宋体" w:hAnsi="宋体" w:eastAsia="宋体"/>
          <w:b/>
          <w:sz w:val="24"/>
        </w:rPr>
        <w:t>其它要求</w:t>
      </w:r>
    </w:p>
    <w:p w14:paraId="179EBC44">
      <w:pPr>
        <w:spacing w:line="360" w:lineRule="auto"/>
        <w:ind w:firstLine="435"/>
        <w:jc w:val="left"/>
        <w:rPr>
          <w:rFonts w:ascii="宋体" w:hAnsi="宋体" w:eastAsia="宋体"/>
          <w:color w:val="auto"/>
          <w:sz w:val="24"/>
        </w:rPr>
      </w:pPr>
      <w:r>
        <w:rPr>
          <w:rFonts w:hint="eastAsia" w:ascii="宋体" w:hAnsi="宋体" w:eastAsia="宋体"/>
          <w:color w:val="auto"/>
          <w:sz w:val="24"/>
        </w:rPr>
        <w:t>1.具备相应监理技术装备及监理技术。</w:t>
      </w:r>
    </w:p>
    <w:p w14:paraId="329C1BE9">
      <w:pPr>
        <w:spacing w:line="360" w:lineRule="auto"/>
        <w:ind w:firstLine="435"/>
        <w:jc w:val="left"/>
        <w:rPr>
          <w:rFonts w:ascii="宋体" w:hAnsi="宋体" w:eastAsia="宋体"/>
          <w:color w:val="auto"/>
          <w:sz w:val="24"/>
        </w:rPr>
      </w:pPr>
      <w:r>
        <w:rPr>
          <w:rFonts w:hint="eastAsia" w:ascii="宋体" w:hAnsi="宋体" w:eastAsia="宋体"/>
          <w:color w:val="auto"/>
          <w:sz w:val="24"/>
        </w:rPr>
        <w:t xml:space="preserve">2.各供应商必须按本项目的特点，认真阅读磋商文件内容，按照磋商文件要求编写响应文件及工程监理大纲，其内容必须详尽。 </w:t>
      </w:r>
    </w:p>
    <w:p w14:paraId="13F1BF67">
      <w:pPr>
        <w:spacing w:line="360" w:lineRule="auto"/>
        <w:ind w:firstLine="435"/>
        <w:jc w:val="left"/>
        <w:rPr>
          <w:rFonts w:ascii="宋体" w:hAnsi="宋体" w:eastAsia="宋体"/>
          <w:color w:val="auto"/>
          <w:sz w:val="24"/>
        </w:rPr>
      </w:pPr>
      <w:r>
        <w:rPr>
          <w:rFonts w:hint="eastAsia" w:ascii="宋体" w:hAnsi="宋体" w:eastAsia="宋体"/>
          <w:color w:val="auto"/>
          <w:sz w:val="24"/>
        </w:rPr>
        <w:t xml:space="preserve">3.供应商须具备保证施工质量的监理管理体系。 </w:t>
      </w:r>
    </w:p>
    <w:p w14:paraId="65221267">
      <w:pPr>
        <w:spacing w:line="360" w:lineRule="auto"/>
        <w:ind w:firstLine="435"/>
        <w:jc w:val="left"/>
        <w:rPr>
          <w:rFonts w:ascii="宋体" w:hAnsi="宋体" w:eastAsia="宋体"/>
          <w:color w:val="auto"/>
          <w:sz w:val="24"/>
        </w:rPr>
      </w:pPr>
      <w:r>
        <w:rPr>
          <w:rFonts w:hint="eastAsia" w:ascii="宋体" w:hAnsi="宋体" w:eastAsia="宋体"/>
          <w:color w:val="auto"/>
          <w:sz w:val="24"/>
        </w:rPr>
        <w:t xml:space="preserve">4.承担本项目监理的监理单位须进驻现场，总监理工程师必须常驻现场，每月不少于 </w:t>
      </w:r>
      <w:r>
        <w:rPr>
          <w:rFonts w:ascii="宋体" w:hAnsi="宋体" w:eastAsia="宋体"/>
          <w:color w:val="auto"/>
          <w:sz w:val="24"/>
        </w:rPr>
        <w:t>7</w:t>
      </w:r>
      <w:r>
        <w:rPr>
          <w:rFonts w:hint="eastAsia" w:ascii="宋体" w:hAnsi="宋体" w:eastAsia="宋体"/>
          <w:color w:val="auto"/>
          <w:sz w:val="24"/>
        </w:rPr>
        <w:t>天；其他监理人员施工期间必须在现场，监理人员施工期间出勤率为 100%。 业主单位将对项目监理部考勤情况进行不定期抽查。经抽查连续两次考勤不合格的，业主有权进行处罚，直至清退出场</w:t>
      </w:r>
      <w:r>
        <w:rPr>
          <w:rFonts w:ascii="宋体" w:hAnsi="宋体" w:eastAsia="宋体"/>
          <w:color w:val="auto"/>
          <w:sz w:val="24"/>
        </w:rPr>
        <w:t>,并记入不良行为记录</w:t>
      </w:r>
    </w:p>
    <w:p w14:paraId="0D245F77">
      <w:pPr>
        <w:spacing w:line="360" w:lineRule="auto"/>
        <w:ind w:firstLine="435"/>
        <w:jc w:val="left"/>
        <w:rPr>
          <w:rFonts w:ascii="宋体" w:hAnsi="宋体" w:eastAsia="宋体"/>
          <w:color w:val="auto"/>
          <w:sz w:val="24"/>
        </w:rPr>
      </w:pPr>
      <w:r>
        <w:rPr>
          <w:rFonts w:hint="eastAsia" w:ascii="宋体" w:hAnsi="宋体" w:eastAsia="宋体"/>
          <w:color w:val="auto"/>
          <w:sz w:val="24"/>
        </w:rPr>
        <w:t xml:space="preserve">5.供应商应认真对每个项目的现场进行踏勘，对项目的地理位置、施工现场的一切情况和影响施工的因素以及困难条件进行周密的察勘和研究，作出自己的判断结论和估价，报价时要充分考虑上述因素。成交后签订监理合同时和实施监理过程中，供应商不得以不完全了解现场情况为由，提出任何形式的增加监理服务收费用的要求。 </w:t>
      </w:r>
    </w:p>
    <w:p w14:paraId="19302A90">
      <w:pPr>
        <w:spacing w:line="360" w:lineRule="auto"/>
        <w:ind w:firstLine="435"/>
        <w:jc w:val="left"/>
        <w:rPr>
          <w:rFonts w:ascii="宋体" w:hAnsi="宋体" w:eastAsia="宋体"/>
          <w:color w:val="auto"/>
          <w:sz w:val="24"/>
        </w:rPr>
      </w:pPr>
      <w:r>
        <w:rPr>
          <w:rFonts w:hint="eastAsia" w:ascii="宋体" w:hAnsi="宋体" w:eastAsia="宋体"/>
          <w:color w:val="auto"/>
          <w:sz w:val="24"/>
        </w:rPr>
        <w:t xml:space="preserve">6.供应商的驻地、仪器、设备与服务设施、交通、通讯等符合业务的要求: 供应商自行负责驻地建设，应为监理人员提供通讯、交通、食宿、仪器、设备等设施条件，其费用包含在响应报价中。 </w:t>
      </w:r>
    </w:p>
    <w:p w14:paraId="653C38AD">
      <w:pPr>
        <w:spacing w:line="360" w:lineRule="auto"/>
        <w:ind w:firstLine="435"/>
        <w:jc w:val="left"/>
        <w:rPr>
          <w:rFonts w:ascii="宋体" w:hAnsi="宋体" w:eastAsia="宋体"/>
          <w:color w:val="auto"/>
          <w:sz w:val="24"/>
        </w:rPr>
      </w:pPr>
      <w:r>
        <w:rPr>
          <w:rFonts w:ascii="宋体" w:hAnsi="宋体" w:eastAsia="宋体"/>
          <w:color w:val="auto"/>
          <w:sz w:val="24"/>
        </w:rPr>
        <w:t>7</w:t>
      </w:r>
      <w:r>
        <w:rPr>
          <w:rFonts w:hint="eastAsia" w:ascii="宋体" w:hAnsi="宋体" w:eastAsia="宋体"/>
          <w:color w:val="auto"/>
          <w:sz w:val="24"/>
        </w:rPr>
        <w:t xml:space="preserve">.在项目实施过程中，成交供应商必须按磋商文件规定配备专业人员，承诺配备的所有人员均应及时到位，未经采购人同意，成交供应商不得擅自更换或者减少上述人员。根据现场施工情况，保证监理人员每天到场数量，采购人有权根据监理现场人员到位情况，要求其增加专业人员，监理单位必须服从，否则，视同成交供应商违约，采购人有权中止合同履行。监理公司不得擅自更换总监理工程师，如确要更换，应提前 10 日书面报告采购人，更换的总监理工程师的资格、阅历及经验等不得低于更换前的总监理工程师，且经业主方面试合格并经审批同意后方可办理更换。 </w:t>
      </w:r>
    </w:p>
    <w:p w14:paraId="0B092138">
      <w:pPr>
        <w:spacing w:line="360" w:lineRule="auto"/>
        <w:ind w:firstLine="435"/>
        <w:jc w:val="left"/>
        <w:rPr>
          <w:rFonts w:ascii="宋体" w:hAnsi="宋体" w:eastAsia="宋体"/>
          <w:color w:val="auto"/>
          <w:sz w:val="24"/>
        </w:rPr>
      </w:pPr>
      <w:r>
        <w:rPr>
          <w:rFonts w:ascii="宋体" w:hAnsi="宋体" w:eastAsia="宋体"/>
          <w:color w:val="auto"/>
          <w:sz w:val="24"/>
        </w:rPr>
        <w:t>8</w:t>
      </w:r>
      <w:r>
        <w:rPr>
          <w:rFonts w:hint="eastAsia" w:ascii="宋体" w:hAnsi="宋体" w:eastAsia="宋体"/>
          <w:color w:val="auto"/>
          <w:sz w:val="24"/>
        </w:rPr>
        <w:t xml:space="preserve">.成交供应商应按照磋商文件人员资格要求配备监理人员，所配备监理人员需在合同签订前报业主单位审核同意，所配监理人员施工过程中不予变更，确需变更，应提前 10 日书面报告采购人，更换监理人员的资格、阅历及经验等不得低于磋商文件要求的监理人员资格、阅历及经验，且经业主方面试合格并经审批同意后方可办理更换。 </w:t>
      </w:r>
    </w:p>
    <w:p w14:paraId="25E52FB0">
      <w:pPr>
        <w:spacing w:line="360" w:lineRule="auto"/>
        <w:ind w:firstLine="435"/>
        <w:jc w:val="left"/>
        <w:rPr>
          <w:rFonts w:ascii="宋体" w:hAnsi="宋体" w:eastAsia="宋体"/>
          <w:color w:val="auto"/>
          <w:sz w:val="24"/>
        </w:rPr>
      </w:pPr>
      <w:r>
        <w:rPr>
          <w:rFonts w:ascii="宋体" w:hAnsi="宋体" w:eastAsia="宋体"/>
          <w:color w:val="auto"/>
          <w:sz w:val="24"/>
        </w:rPr>
        <w:t>9</w:t>
      </w:r>
      <w:r>
        <w:rPr>
          <w:rFonts w:hint="eastAsia" w:ascii="宋体" w:hAnsi="宋体" w:eastAsia="宋体"/>
          <w:color w:val="auto"/>
          <w:sz w:val="24"/>
        </w:rPr>
        <w:t xml:space="preserve">.成交供应商应严格按照规范和监理大纲进行控制，对现场发生的设计变更及经济签证进行审核，提交计算书及审核成果并建立台账。过程中出现签证变更审核不严、未按规定流程及时间办理或高估冒算的，由此造成的相关单位损失由监理人承担。监理单位应无条件配合业主做好项目变更上会论证工作。 </w:t>
      </w:r>
    </w:p>
    <w:p w14:paraId="6001AB2D">
      <w:pPr>
        <w:spacing w:line="360" w:lineRule="auto"/>
        <w:ind w:firstLine="435"/>
        <w:jc w:val="left"/>
        <w:rPr>
          <w:rFonts w:ascii="宋体" w:hAnsi="宋体" w:eastAsia="宋体"/>
          <w:color w:val="auto"/>
          <w:sz w:val="24"/>
        </w:rPr>
      </w:pPr>
      <w:r>
        <w:rPr>
          <w:rFonts w:hint="eastAsia" w:ascii="宋体" w:hAnsi="宋体" w:eastAsia="宋体"/>
          <w:color w:val="auto"/>
          <w:sz w:val="24"/>
        </w:rPr>
        <w:t>1</w:t>
      </w:r>
      <w:r>
        <w:rPr>
          <w:rFonts w:ascii="宋体" w:hAnsi="宋体" w:eastAsia="宋体"/>
          <w:color w:val="auto"/>
          <w:sz w:val="24"/>
        </w:rPr>
        <w:t>0</w:t>
      </w:r>
      <w:r>
        <w:rPr>
          <w:rFonts w:hint="eastAsia" w:ascii="宋体" w:hAnsi="宋体" w:eastAsia="宋体"/>
          <w:color w:val="auto"/>
          <w:sz w:val="24"/>
        </w:rPr>
        <w:t>.监理人员需对承包单位农民工工资支付过程进行全面监督，因监理人员 监管不力，造成农民工投诉上访，影响恶劣的，严格按照《保障农民工工资支付条例》（国令第 724 号）追责。</w:t>
      </w:r>
    </w:p>
    <w:p w14:paraId="20BBE025">
      <w:pPr>
        <w:spacing w:line="360" w:lineRule="auto"/>
        <w:ind w:firstLine="435"/>
        <w:jc w:val="left"/>
        <w:rPr>
          <w:rFonts w:ascii="宋体" w:hAnsi="宋体" w:eastAsia="宋体"/>
          <w:color w:val="FF0000"/>
          <w:sz w:val="24"/>
        </w:rPr>
      </w:pPr>
      <w:r>
        <w:rPr>
          <w:rFonts w:hint="eastAsia" w:ascii="宋体" w:hAnsi="宋体" w:eastAsia="宋体"/>
          <w:color w:val="auto"/>
          <w:sz w:val="24"/>
        </w:rPr>
        <w:t>1</w:t>
      </w:r>
      <w:r>
        <w:rPr>
          <w:rFonts w:ascii="宋体" w:hAnsi="宋体" w:eastAsia="宋体"/>
          <w:color w:val="auto"/>
          <w:sz w:val="24"/>
        </w:rPr>
        <w:t>1.</w:t>
      </w:r>
      <w:r>
        <w:rPr>
          <w:rFonts w:hint="eastAsia" w:ascii="宋体" w:hAnsi="宋体" w:eastAsia="宋体"/>
          <w:color w:val="auto"/>
          <w:sz w:val="24"/>
        </w:rPr>
        <w:t>执行</w:t>
      </w:r>
      <w:r>
        <w:rPr>
          <w:rFonts w:ascii="宋体" w:hAnsi="宋体" w:eastAsia="宋体"/>
          <w:color w:val="auto"/>
          <w:sz w:val="24"/>
        </w:rPr>
        <w:t>现行的法律法规规范标准。</w:t>
      </w:r>
    </w:p>
    <w:p w14:paraId="539B6EDF">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宋体">
    <w:panose1 w:val="02010600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08208F"/>
    <w:multiLevelType w:val="singleLevel"/>
    <w:tmpl w:val="8708208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757211"/>
    <w:rsid w:val="537572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unhideWhenUsed/>
    <w:qFormat/>
    <w:uiPriority w:val="99"/>
    <w:pPr>
      <w:ind w:left="420" w:firstLine="420" w:firstLineChars="200"/>
    </w:pPr>
    <w:rPr>
      <w:rFonts w:ascii="Times New Roman" w:cs="Times New Roman"/>
    </w:rPr>
  </w:style>
  <w:style w:type="paragraph" w:styleId="3">
    <w:name w:val="Body Text Indent"/>
    <w:basedOn w:val="1"/>
    <w:next w:val="4"/>
    <w:unhideWhenUsed/>
    <w:qFormat/>
    <w:uiPriority w:val="99"/>
    <w:pPr>
      <w:ind w:firstLine="645"/>
    </w:pPr>
    <w:rPr>
      <w:rFonts w:ascii="楷体_GB2312" w:eastAsia="楷体_GB2312"/>
      <w:sz w:val="32"/>
    </w:rPr>
  </w:style>
  <w:style w:type="paragraph" w:styleId="4">
    <w:name w:val="envelope return"/>
    <w:basedOn w:val="1"/>
    <w:qFormat/>
    <w:uiPriority w:val="99"/>
    <w:pPr>
      <w:snapToGrid w:val="0"/>
    </w:pPr>
    <w:rPr>
      <w:rFonts w:ascii="Arial" w:hAnsi="Arial" w:cs="Arial"/>
    </w:rPr>
  </w:style>
  <w:style w:type="paragraph" w:styleId="5">
    <w:name w:val="Body Text First Indent"/>
    <w:basedOn w:val="6"/>
    <w:next w:val="1"/>
    <w:unhideWhenUsed/>
    <w:qFormat/>
    <w:uiPriority w:val="99"/>
    <w:pPr>
      <w:ind w:firstLine="420" w:firstLineChars="100"/>
    </w:pPr>
  </w:style>
  <w:style w:type="paragraph" w:styleId="6">
    <w:name w:val="Body Text"/>
    <w:basedOn w:val="1"/>
    <w:next w:val="7"/>
    <w:qFormat/>
    <w:uiPriority w:val="0"/>
    <w:pPr>
      <w:spacing w:after="120"/>
    </w:pPr>
    <w:rPr>
      <w:rFonts w:ascii="@微软简标宋" w:hAnsi="@微软简标宋" w:eastAsia="@微软简标宋" w:cs="@微软简标宋"/>
      <w:szCs w:val="24"/>
      <w:lang w:val="zh-CN"/>
    </w:rPr>
  </w:style>
  <w:style w:type="paragraph" w:styleId="7">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8">
    <w:name w:val="annotation text"/>
    <w:basedOn w:val="1"/>
    <w:unhideWhenUsed/>
    <w:qFormat/>
    <w:uiPriority w:val="99"/>
    <w:pPr>
      <w:jc w:val="left"/>
    </w:pPr>
    <w:rPr>
      <w:rFonts w:ascii="宋体" w:hAnsi="宋体" w:eastAsia="宋体"/>
    </w:rPr>
  </w:style>
  <w:style w:type="paragraph" w:styleId="9">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12">
    <w:name w:val="D&amp;L"/>
    <w:basedOn w:val="9"/>
    <w:qFormat/>
    <w:uiPriority w:val="0"/>
    <w:pPr>
      <w:pBdr>
        <w:bottom w:val="none" w:color="auto" w:sz="0" w:space="0"/>
      </w:pBdr>
      <w:wordWrap w:val="0"/>
      <w:snapToGrid/>
      <w:spacing w:line="360" w:lineRule="auto"/>
    </w:pPr>
    <w:rPr>
      <w:rFonts w:ascii="宋体" w:hAnsi="宋体" w:eastAsia="宋体"/>
      <w:bCs/>
      <w:sz w:val="24"/>
      <w:szCs w:val="20"/>
    </w:rPr>
  </w:style>
  <w:style w:type="paragraph" w:customStyle="1" w:styleId="13">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2025-09-29T08:05:00Z</dcterms:created>
  <dc:creator>森</dc:creator>
  <cp:lastModifiedBy>森</cp:lastModifiedBy>
  <dcterms:modified xsi:type="dcterms:W3CDTF">2025-09-29T08:05:47Z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9DF7406149C042D9864EBDC9984DC05B_11</vt:lpwstr>
  </property>
  <property fmtid="{D5CDD505-2E9C-101B-9397-08002B2CF9AE}" pid="4" name="KSOTemplateDocerSaveRecord">
    <vt:lpwstr>eyJoZGlkIjoiOTc3M2Y5NzIzMDFlZjAyY2Q4Njk5ODkyYjFjNzBiNTQiLCJ1c2VySWQiOiI0MzAwMTYzNzkifQ==</vt:lpwstr>
  </property>
</Properties>
</file>