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EE0D89">
      <w:pPr>
        <w:spacing w:line="360" w:lineRule="auto"/>
        <w:jc w:val="center"/>
        <w:outlineLvl w:val="0"/>
        <w:rPr>
          <w:rFonts w:hint="eastAsia" w:ascii="宋体" w:hAnsi="宋体" w:eastAsia="宋体" w:cs="宋体"/>
          <w:b/>
          <w:sz w:val="32"/>
          <w:szCs w:val="21"/>
          <w:lang w:val="en-US" w:eastAsia="zh-CN"/>
        </w:rPr>
      </w:pPr>
      <w:r>
        <w:rPr>
          <w:rFonts w:hint="eastAsia" w:ascii="宋体" w:hAnsi="宋体" w:eastAsia="宋体" w:cs="宋体"/>
          <w:b/>
          <w:sz w:val="32"/>
          <w:szCs w:val="21"/>
          <w:lang w:val="en-US" w:eastAsia="zh-CN"/>
        </w:rPr>
        <w:t>货物类政府采购项目采购需求表</w:t>
      </w:r>
    </w:p>
    <w:p w14:paraId="4859B43E">
      <w:pPr>
        <w:pStyle w:val="2"/>
        <w:jc w:val="left"/>
        <w:rPr>
          <w:rFonts w:hint="eastAsia" w:ascii="宋体" w:hAnsi="宋体" w:eastAsia="宋体" w:cs="宋体"/>
          <w:b/>
          <w:bCs w:val="0"/>
          <w:sz w:val="28"/>
          <w:szCs w:val="28"/>
          <w:lang w:val="en-US" w:eastAsia="zh-CN"/>
        </w:rPr>
      </w:pPr>
      <w:r>
        <w:rPr>
          <w:rFonts w:hint="eastAsia" w:ascii="宋体" w:hAnsi="宋体" w:eastAsia="宋体" w:cs="宋体"/>
          <w:b/>
          <w:bCs w:val="0"/>
          <w:sz w:val="28"/>
          <w:szCs w:val="28"/>
          <w:lang w:val="en-US" w:eastAsia="zh-CN"/>
        </w:rPr>
        <w:t>一、需求概况</w:t>
      </w:r>
    </w:p>
    <w:tbl>
      <w:tblPr>
        <w:tblStyle w:val="14"/>
        <w:tblW w:w="546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04"/>
        <w:gridCol w:w="7116"/>
      </w:tblGrid>
      <w:tr w14:paraId="5ACD2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182" w:type="pct"/>
            <w:noWrap w:val="0"/>
            <w:vAlign w:val="center"/>
          </w:tcPr>
          <w:p w14:paraId="4D20C2B5">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项目名称</w:t>
            </w:r>
          </w:p>
        </w:tc>
        <w:tc>
          <w:tcPr>
            <w:tcW w:w="3817" w:type="pct"/>
            <w:noWrap w:val="0"/>
            <w:vAlign w:val="center"/>
          </w:tcPr>
          <w:p w14:paraId="0A0767ED">
            <w:pPr>
              <w:keepNext w:val="0"/>
              <w:keepLines w:val="0"/>
              <w:pageBreakBefore w:val="0"/>
              <w:widowControl w:val="0"/>
              <w:kinsoku/>
              <w:wordWrap w:val="0"/>
              <w:overflowPunct/>
              <w:topLinePunct w:val="0"/>
              <w:autoSpaceDE w:val="0"/>
              <w:autoSpaceDN w:val="0"/>
              <w:bidi w:val="0"/>
              <w:adjustRightInd/>
              <w:snapToGrid/>
              <w:spacing w:line="360" w:lineRule="auto"/>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阜阳师范大学2025年稳态瞬态近红外二区光谱测试系统（进口设备）采购</w:t>
            </w:r>
          </w:p>
        </w:tc>
      </w:tr>
      <w:tr w14:paraId="084C9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182" w:type="pct"/>
            <w:noWrap w:val="0"/>
            <w:vAlign w:val="center"/>
          </w:tcPr>
          <w:p w14:paraId="5476652F">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项目预算</w:t>
            </w:r>
          </w:p>
        </w:tc>
        <w:tc>
          <w:tcPr>
            <w:tcW w:w="3817" w:type="pct"/>
            <w:noWrap w:val="0"/>
            <w:vAlign w:val="center"/>
          </w:tcPr>
          <w:p w14:paraId="5D374DBB">
            <w:pPr>
              <w:keepNext w:val="0"/>
              <w:keepLines w:val="0"/>
              <w:pageBreakBefore w:val="0"/>
              <w:widowControl w:val="0"/>
              <w:kinsoku/>
              <w:wordWrap w:val="0"/>
              <w:overflowPunct/>
              <w:topLinePunct w:val="0"/>
              <w:autoSpaceDE/>
              <w:autoSpaceDN/>
              <w:bidi w:val="0"/>
              <w:adjustRightInd/>
              <w:snapToGrid/>
              <w:spacing w:line="360" w:lineRule="auto"/>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2100000元</w:t>
            </w:r>
          </w:p>
        </w:tc>
      </w:tr>
      <w:tr w14:paraId="723A5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182" w:type="pct"/>
            <w:noWrap w:val="0"/>
            <w:vAlign w:val="center"/>
          </w:tcPr>
          <w:p w14:paraId="36DE62BD">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项目概况</w:t>
            </w:r>
          </w:p>
        </w:tc>
        <w:tc>
          <w:tcPr>
            <w:tcW w:w="3817" w:type="pct"/>
            <w:noWrap w:val="0"/>
            <w:vAlign w:val="center"/>
          </w:tcPr>
          <w:p w14:paraId="6EBFE768">
            <w:pPr>
              <w:keepNext w:val="0"/>
              <w:keepLines w:val="0"/>
              <w:pageBreakBefore w:val="0"/>
              <w:widowControl w:val="0"/>
              <w:kinsoku/>
              <w:wordWrap w:val="0"/>
              <w:overflowPunct/>
              <w:topLinePunct w:val="0"/>
              <w:autoSpaceDE w:val="0"/>
              <w:bidi w:val="0"/>
              <w:adjustRightInd/>
              <w:snapToGrid/>
              <w:spacing w:line="360" w:lineRule="auto"/>
              <w:jc w:val="left"/>
              <w:textAlignment w:val="auto"/>
              <w:rPr>
                <w:rFonts w:hint="eastAsia" w:ascii="宋体" w:hAnsi="宋体" w:eastAsia="宋体" w:cs="宋体"/>
                <w:sz w:val="24"/>
                <w:szCs w:val="24"/>
                <w:highlight w:val="none"/>
                <w:u w:val="single"/>
                <w:lang w:val="en-US" w:eastAsia="zh-CN"/>
              </w:rPr>
            </w:pPr>
            <w:r>
              <w:rPr>
                <w:rFonts w:hint="eastAsia" w:ascii="宋体" w:hAnsi="宋体" w:eastAsia="宋体" w:cs="宋体"/>
                <w:sz w:val="24"/>
                <w:szCs w:val="24"/>
                <w:highlight w:val="none"/>
                <w:u w:val="none"/>
                <w:lang w:val="en-US" w:eastAsia="zh-CN"/>
              </w:rPr>
              <w:t>阜阳师范大学稳态瞬态近红外二区光谱测试系统采购，具体详见招标文件。</w:t>
            </w:r>
          </w:p>
        </w:tc>
      </w:tr>
      <w:tr w14:paraId="45F0E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82" w:type="pct"/>
            <w:noWrap w:val="0"/>
            <w:vAlign w:val="center"/>
          </w:tcPr>
          <w:p w14:paraId="09EBF1DB">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采购方式</w:t>
            </w:r>
          </w:p>
        </w:tc>
        <w:tc>
          <w:tcPr>
            <w:tcW w:w="3817" w:type="pct"/>
            <w:noWrap w:val="0"/>
            <w:vAlign w:val="center"/>
          </w:tcPr>
          <w:p w14:paraId="5EE2507B">
            <w:pPr>
              <w:keepNext w:val="0"/>
              <w:keepLines w:val="0"/>
              <w:pageBreakBefore w:val="0"/>
              <w:widowControl w:val="0"/>
              <w:kinsoku/>
              <w:wordWrap w:val="0"/>
              <w:overflowPunct/>
              <w:topLinePunct w:val="0"/>
              <w:autoSpaceDE w:val="0"/>
              <w:autoSpaceDN w:val="0"/>
              <w:bidi w:val="0"/>
              <w:adjustRightInd/>
              <w:snapToGrid/>
              <w:spacing w:line="360" w:lineRule="auto"/>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公开招标</w:t>
            </w:r>
          </w:p>
        </w:tc>
      </w:tr>
      <w:tr w14:paraId="5CC3D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jc w:val="center"/>
        </w:trPr>
        <w:tc>
          <w:tcPr>
            <w:tcW w:w="1182" w:type="pct"/>
            <w:noWrap w:val="0"/>
            <w:vAlign w:val="center"/>
          </w:tcPr>
          <w:p w14:paraId="7233641B">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本项目是否接受联合体投标</w:t>
            </w:r>
          </w:p>
        </w:tc>
        <w:tc>
          <w:tcPr>
            <w:tcW w:w="3817" w:type="pct"/>
            <w:noWrap w:val="0"/>
            <w:vAlign w:val="center"/>
          </w:tcPr>
          <w:p w14:paraId="462B232B">
            <w:pPr>
              <w:keepNext w:val="0"/>
              <w:keepLines w:val="0"/>
              <w:pageBreakBefore w:val="0"/>
              <w:widowControl w:val="0"/>
              <w:kinsoku/>
              <w:wordWrap w:val="0"/>
              <w:overflowPunct/>
              <w:topLinePunct w:val="0"/>
              <w:autoSpaceDE w:val="0"/>
              <w:autoSpaceDN w:val="0"/>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否</w:t>
            </w:r>
          </w:p>
        </w:tc>
      </w:tr>
      <w:tr w14:paraId="551B9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9" w:hRule="atLeast"/>
          <w:jc w:val="center"/>
        </w:trPr>
        <w:tc>
          <w:tcPr>
            <w:tcW w:w="1182" w:type="pct"/>
            <w:noWrap w:val="0"/>
            <w:vAlign w:val="center"/>
          </w:tcPr>
          <w:p w14:paraId="1184F1FC">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投标人资格要求</w:t>
            </w:r>
          </w:p>
        </w:tc>
        <w:tc>
          <w:tcPr>
            <w:tcW w:w="3817" w:type="pct"/>
            <w:noWrap w:val="0"/>
            <w:vAlign w:val="center"/>
          </w:tcPr>
          <w:p w14:paraId="49F80D56">
            <w:pPr>
              <w:spacing w:line="44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1.满足《中华人民共和国政府采购法》第二十二条规定；</w:t>
            </w:r>
          </w:p>
          <w:p w14:paraId="2B0038A5">
            <w:pPr>
              <w:spacing w:line="44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2.落实政府采购政策需满足的资格要求：无</w:t>
            </w:r>
          </w:p>
          <w:p w14:paraId="68F9228C">
            <w:pPr>
              <w:spacing w:line="44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本项目符合财政部、工业和信息化部制定的《政府采购促进中小企业发展管理办法》第六条第二款第三项之规定，为非专门面向中小企业采购项目。</w:t>
            </w:r>
          </w:p>
          <w:p w14:paraId="6186E4B3">
            <w:pPr>
              <w:spacing w:line="44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具体原因如下：按照本办法规定预留采购份额无法确保充分供应、充分竞争，可能影响政府采购目标实现。如对此项内容有疑问，可通过书面方式进行质疑。</w:t>
            </w:r>
          </w:p>
          <w:p w14:paraId="4D70A541">
            <w:pPr>
              <w:spacing w:line="440" w:lineRule="exact"/>
              <w:ind w:firstLine="480" w:firstLineChars="200"/>
              <w:jc w:val="left"/>
              <w:rPr>
                <w:rFonts w:hint="eastAsia" w:ascii="宋体" w:hAnsi="宋体" w:eastAsia="宋体" w:cs="宋体"/>
                <w:sz w:val="24"/>
                <w:szCs w:val="24"/>
              </w:rPr>
            </w:pPr>
            <w:r>
              <w:rPr>
                <w:rFonts w:hint="eastAsia" w:ascii="宋体" w:hAnsi="宋体" w:eastAsia="宋体" w:cs="宋体"/>
                <w:sz w:val="24"/>
                <w:szCs w:val="24"/>
              </w:rPr>
              <w:t>3.本项目的特定资格要求：</w:t>
            </w:r>
          </w:p>
          <w:p w14:paraId="5A487F80">
            <w:pPr>
              <w:spacing w:line="440" w:lineRule="exact"/>
              <w:ind w:firstLine="480" w:firstLineChars="200"/>
              <w:jc w:val="left"/>
              <w:rPr>
                <w:rFonts w:hint="eastAsia" w:ascii="宋体" w:hAnsi="宋体" w:eastAsia="宋体" w:cs="宋体"/>
                <w:sz w:val="24"/>
                <w:szCs w:val="24"/>
                <w:u w:val="single"/>
              </w:rPr>
            </w:pPr>
            <w:r>
              <w:rPr>
                <w:rFonts w:hint="eastAsia" w:ascii="宋体" w:hAnsi="宋体" w:eastAsia="宋体" w:cs="宋体"/>
                <w:sz w:val="24"/>
                <w:szCs w:val="24"/>
              </w:rPr>
              <w:t>（1）无</w:t>
            </w:r>
          </w:p>
          <w:p w14:paraId="6DA18EDB">
            <w:pPr>
              <w:spacing w:line="440" w:lineRule="exact"/>
              <w:ind w:firstLine="480" w:firstLineChars="200"/>
              <w:jc w:val="left"/>
              <w:rPr>
                <w:rFonts w:hint="eastAsia" w:ascii="宋体" w:hAnsi="宋体" w:eastAsia="宋体" w:cs="宋体"/>
                <w:bCs/>
                <w:sz w:val="24"/>
                <w:szCs w:val="24"/>
              </w:rPr>
            </w:pPr>
            <w:r>
              <w:rPr>
                <w:rFonts w:hint="eastAsia" w:ascii="宋体" w:hAnsi="宋体" w:eastAsia="宋体" w:cs="宋体"/>
                <w:bCs/>
                <w:sz w:val="24"/>
                <w:szCs w:val="24"/>
              </w:rPr>
              <w:t>（2）投标人不得存在以下不良信用记录情形之一：</w:t>
            </w:r>
          </w:p>
          <w:p w14:paraId="4ED78469">
            <w:pPr>
              <w:spacing w:line="440" w:lineRule="exact"/>
              <w:ind w:firstLine="480" w:firstLineChars="200"/>
              <w:jc w:val="left"/>
              <w:rPr>
                <w:rFonts w:hint="eastAsia" w:ascii="宋体" w:hAnsi="宋体" w:eastAsia="宋体" w:cs="宋体"/>
                <w:bCs/>
                <w:sz w:val="24"/>
                <w:szCs w:val="24"/>
              </w:rPr>
            </w:pPr>
            <w:r>
              <w:rPr>
                <w:rFonts w:hint="eastAsia" w:ascii="宋体" w:hAnsi="宋体" w:eastAsia="宋体" w:cs="宋体"/>
                <w:bCs/>
                <w:sz w:val="24"/>
                <w:szCs w:val="24"/>
              </w:rPr>
              <w:t>①投标人被人民法院列入失信被执行人名单的；</w:t>
            </w:r>
          </w:p>
          <w:p w14:paraId="5639FE1F">
            <w:pPr>
              <w:spacing w:line="440" w:lineRule="exact"/>
              <w:ind w:firstLine="480" w:firstLineChars="200"/>
              <w:jc w:val="left"/>
              <w:rPr>
                <w:rFonts w:hint="eastAsia" w:ascii="宋体" w:hAnsi="宋体" w:eastAsia="宋体" w:cs="宋体"/>
                <w:bCs/>
                <w:sz w:val="24"/>
                <w:szCs w:val="24"/>
              </w:rPr>
            </w:pPr>
            <w:r>
              <w:rPr>
                <w:rFonts w:hint="eastAsia" w:ascii="宋体" w:hAnsi="宋体" w:eastAsia="宋体" w:cs="宋体"/>
                <w:bCs/>
                <w:sz w:val="24"/>
                <w:szCs w:val="24"/>
              </w:rPr>
              <w:t>②投标人被税务部门列入重大税收违法案件当事人名单的；</w:t>
            </w:r>
          </w:p>
          <w:p w14:paraId="078451C7">
            <w:pPr>
              <w:spacing w:line="440" w:lineRule="exact"/>
              <w:ind w:firstLine="480" w:firstLineChars="200"/>
              <w:jc w:val="left"/>
              <w:rPr>
                <w:rFonts w:hint="eastAsia" w:ascii="宋体" w:hAnsi="宋体" w:eastAsia="宋体" w:cs="宋体"/>
                <w:bCs/>
                <w:sz w:val="24"/>
                <w:szCs w:val="24"/>
              </w:rPr>
            </w:pPr>
            <w:r>
              <w:rPr>
                <w:rFonts w:hint="eastAsia" w:ascii="宋体" w:hAnsi="宋体" w:eastAsia="宋体" w:cs="宋体"/>
                <w:bCs/>
                <w:sz w:val="24"/>
                <w:szCs w:val="24"/>
              </w:rPr>
              <w:t>③投标人被政府采购监管部门列入政府采购严重违法失信行为记录名单的；</w:t>
            </w:r>
          </w:p>
          <w:p w14:paraId="0725EE9C">
            <w:pPr>
              <w:keepNext w:val="0"/>
              <w:keepLines w:val="0"/>
              <w:pageBreakBefore w:val="0"/>
              <w:widowControl w:val="0"/>
              <w:kinsoku/>
              <w:wordWrap w:val="0"/>
              <w:overflowPunct/>
              <w:topLinePunct w:val="0"/>
              <w:autoSpaceDE w:val="0"/>
              <w:autoSpaceDN w:val="0"/>
              <w:bidi w:val="0"/>
              <w:adjustRightInd/>
              <w:snapToGrid/>
              <w:spacing w:line="360" w:lineRule="auto"/>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bCs/>
                <w:sz w:val="24"/>
                <w:szCs w:val="24"/>
              </w:rPr>
              <w:t>④被工商行政管理部门列入企业经营异常名录的。</w:t>
            </w:r>
          </w:p>
        </w:tc>
      </w:tr>
      <w:tr w14:paraId="0DDEA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182" w:type="pct"/>
            <w:noWrap w:val="0"/>
            <w:vAlign w:val="center"/>
          </w:tcPr>
          <w:p w14:paraId="3FAF6F4C">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付款方式</w:t>
            </w:r>
          </w:p>
        </w:tc>
        <w:tc>
          <w:tcPr>
            <w:tcW w:w="3817" w:type="pct"/>
            <w:shd w:val="clear" w:color="auto" w:fill="auto"/>
            <w:noWrap w:val="0"/>
            <w:vAlign w:val="center"/>
          </w:tcPr>
          <w:p w14:paraId="2FCFB4C5">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auto"/>
              <w:rPr>
                <w:rFonts w:hint="eastAsia" w:ascii="宋体" w:hAnsi="宋体" w:eastAsia="宋体" w:cs="宋体"/>
                <w:b w:val="0"/>
                <w:kern w:val="2"/>
                <w:sz w:val="24"/>
                <w:szCs w:val="24"/>
                <w:u w:val="single"/>
                <w:lang w:val="en-US" w:eastAsia="zh-CN" w:bidi="ar-SA"/>
              </w:rPr>
            </w:pPr>
            <w:bookmarkStart w:id="33" w:name="_GoBack"/>
            <w:r>
              <w:rPr>
                <w:rFonts w:hint="eastAsia" w:ascii="宋体" w:hAnsi="宋体" w:eastAsia="宋体" w:cs="宋体"/>
                <w:b w:val="0"/>
                <w:kern w:val="2"/>
                <w:sz w:val="24"/>
                <w:szCs w:val="24"/>
                <w:u w:val="none"/>
                <w:lang w:val="en-US" w:eastAsia="zh-CN" w:bidi="ar-SA"/>
              </w:rPr>
              <w:t>验收合格，收到合规增值税发票及免税资料（进口产品）后一次性付款。</w:t>
            </w:r>
            <w:bookmarkEnd w:id="33"/>
          </w:p>
        </w:tc>
      </w:tr>
      <w:tr w14:paraId="1A19F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182" w:type="pct"/>
            <w:noWrap w:val="0"/>
            <w:vAlign w:val="center"/>
          </w:tcPr>
          <w:p w14:paraId="3B89FF57">
            <w:pPr>
              <w:pStyle w:val="21"/>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left="0" w:leftChars="0" w:firstLine="0" w:firstLineChars="0"/>
              <w:textAlignment w:val="auto"/>
              <w:rPr>
                <w:rFonts w:hint="eastAsia" w:ascii="宋体" w:hAnsi="宋体" w:eastAsia="宋体" w:cs="宋体"/>
                <w:b/>
                <w:sz w:val="24"/>
                <w:szCs w:val="24"/>
                <w:highlight w:val="none"/>
              </w:rPr>
            </w:pPr>
            <w:r>
              <w:rPr>
                <w:rFonts w:hint="eastAsia" w:ascii="宋体" w:hAnsi="宋体" w:eastAsia="宋体" w:cs="宋体"/>
                <w:b/>
                <w:bCs w:val="0"/>
                <w:sz w:val="24"/>
                <w:szCs w:val="24"/>
              </w:rPr>
              <w:t>供货及安装地点</w:t>
            </w:r>
          </w:p>
        </w:tc>
        <w:tc>
          <w:tcPr>
            <w:tcW w:w="3817" w:type="pct"/>
            <w:noWrap w:val="0"/>
            <w:vAlign w:val="center"/>
          </w:tcPr>
          <w:p w14:paraId="31CAC028">
            <w:pPr>
              <w:pStyle w:val="21"/>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left="0" w:leftChars="0" w:firstLine="0" w:firstLineChars="0"/>
              <w:jc w:val="both"/>
              <w:textAlignment w:val="auto"/>
              <w:rPr>
                <w:rFonts w:hint="eastAsia" w:ascii="宋体" w:hAnsi="宋体" w:eastAsia="宋体" w:cs="宋体"/>
                <w:sz w:val="24"/>
                <w:szCs w:val="24"/>
                <w:highlight w:val="none"/>
              </w:rPr>
            </w:pPr>
            <w:r>
              <w:rPr>
                <w:rFonts w:hint="eastAsia" w:ascii="宋体" w:hAnsi="宋体" w:eastAsia="宋体" w:cs="宋体"/>
                <w:b w:val="0"/>
                <w:bCs w:val="0"/>
                <w:sz w:val="24"/>
                <w:szCs w:val="24"/>
                <w:highlight w:val="none"/>
              </w:rPr>
              <w:t>阜阳师范大学化学与材料工程学院，采购人指定地点。</w:t>
            </w:r>
          </w:p>
        </w:tc>
      </w:tr>
      <w:tr w14:paraId="1DCB6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182" w:type="pct"/>
            <w:noWrap w:val="0"/>
            <w:vAlign w:val="center"/>
          </w:tcPr>
          <w:p w14:paraId="4DF371C4">
            <w:pPr>
              <w:pStyle w:val="21"/>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left="0" w:leftChars="0" w:firstLine="0" w:firstLineChars="0"/>
              <w:textAlignment w:val="auto"/>
              <w:rPr>
                <w:rFonts w:hint="eastAsia" w:ascii="宋体" w:hAnsi="宋体" w:eastAsia="宋体" w:cs="宋体"/>
                <w:b/>
                <w:sz w:val="24"/>
                <w:szCs w:val="24"/>
                <w:highlight w:val="none"/>
              </w:rPr>
            </w:pPr>
            <w:r>
              <w:rPr>
                <w:rFonts w:hint="eastAsia" w:ascii="宋体" w:hAnsi="宋体" w:eastAsia="宋体" w:cs="宋体"/>
                <w:b/>
                <w:bCs w:val="0"/>
                <w:sz w:val="24"/>
                <w:szCs w:val="24"/>
              </w:rPr>
              <w:t>供货及安装期限</w:t>
            </w:r>
          </w:p>
        </w:tc>
        <w:tc>
          <w:tcPr>
            <w:tcW w:w="3817" w:type="pct"/>
            <w:noWrap w:val="0"/>
            <w:vAlign w:val="center"/>
          </w:tcPr>
          <w:p w14:paraId="3C009790">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zh-CN"/>
              </w:rPr>
              <w:t>合同签订后180个工作日内完成安装、调试、培训。</w:t>
            </w:r>
          </w:p>
        </w:tc>
      </w:tr>
      <w:tr w14:paraId="2EA3C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182" w:type="pct"/>
            <w:noWrap w:val="0"/>
            <w:vAlign w:val="center"/>
          </w:tcPr>
          <w:p w14:paraId="2D35287D">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是否专门面向中小企业采购</w:t>
            </w:r>
          </w:p>
        </w:tc>
        <w:tc>
          <w:tcPr>
            <w:tcW w:w="3817" w:type="pct"/>
            <w:noWrap w:val="0"/>
            <w:vAlign w:val="center"/>
          </w:tcPr>
          <w:p w14:paraId="64C1543E">
            <w:pPr>
              <w:keepNext w:val="0"/>
              <w:keepLines w:val="0"/>
              <w:pageBreakBefore w:val="0"/>
              <w:widowControl w:val="0"/>
              <w:kinsoku/>
              <w:wordWrap w:val="0"/>
              <w:overflowPunct/>
              <w:topLinePunct w:val="0"/>
              <w:bidi w:val="0"/>
              <w:adjustRightInd/>
              <w:snapToGrid/>
              <w:spacing w:line="360" w:lineRule="auto"/>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否</w:t>
            </w:r>
          </w:p>
        </w:tc>
      </w:tr>
      <w:tr w14:paraId="78545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182" w:type="pct"/>
            <w:noWrap w:val="0"/>
            <w:vAlign w:val="center"/>
          </w:tcPr>
          <w:p w14:paraId="213A76EB">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预留中小企业份额占比</w:t>
            </w:r>
          </w:p>
        </w:tc>
        <w:tc>
          <w:tcPr>
            <w:tcW w:w="3817" w:type="pct"/>
            <w:noWrap w:val="0"/>
            <w:vAlign w:val="center"/>
          </w:tcPr>
          <w:p w14:paraId="4D0EAD46">
            <w:pPr>
              <w:keepNext w:val="0"/>
              <w:keepLines w:val="0"/>
              <w:pageBreakBefore w:val="0"/>
              <w:widowControl w:val="0"/>
              <w:kinsoku/>
              <w:wordWrap w:val="0"/>
              <w:overflowPunct/>
              <w:topLinePunct w:val="0"/>
              <w:bidi w:val="0"/>
              <w:adjustRightInd/>
              <w:snapToGrid/>
              <w:spacing w:line="36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rPr>
              <w:t>/</w:t>
            </w:r>
          </w:p>
        </w:tc>
      </w:tr>
      <w:tr w14:paraId="33859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182" w:type="pct"/>
            <w:noWrap w:val="0"/>
            <w:vAlign w:val="center"/>
          </w:tcPr>
          <w:p w14:paraId="7F20E166">
            <w:pPr>
              <w:pStyle w:val="21"/>
              <w:keepNext w:val="0"/>
              <w:keepLines w:val="0"/>
              <w:pageBreakBefore w:val="0"/>
              <w:widowControl w:val="0"/>
              <w:kinsoku/>
              <w:wordWrap w:val="0"/>
              <w:overflowPunct/>
              <w:topLinePunct w:val="0"/>
              <w:bidi w:val="0"/>
              <w:adjustRightInd/>
              <w:snapToGrid/>
              <w:spacing w:before="0" w:beforeAutospacing="0" w:after="0" w:afterAutospacing="0" w:line="360" w:lineRule="auto"/>
              <w:textAlignment w:val="auto"/>
              <w:rPr>
                <w:rFonts w:hint="eastAsia" w:ascii="宋体" w:hAnsi="宋体" w:eastAsia="宋体" w:cs="宋体"/>
                <w:b/>
                <w:sz w:val="24"/>
                <w:szCs w:val="24"/>
                <w:highlight w:val="none"/>
              </w:rPr>
            </w:pPr>
            <w:r>
              <w:rPr>
                <w:rFonts w:hint="eastAsia" w:ascii="宋体" w:hAnsi="宋体" w:eastAsia="宋体" w:cs="宋体"/>
                <w:b w:val="0"/>
                <w:sz w:val="24"/>
                <w:szCs w:val="24"/>
                <w:highlight w:val="none"/>
              </w:rPr>
              <w:t>本项目采购标的名称及所属行业</w:t>
            </w:r>
          </w:p>
        </w:tc>
        <w:tc>
          <w:tcPr>
            <w:tcW w:w="3817" w:type="pct"/>
            <w:noWrap w:val="0"/>
            <w:vAlign w:val="center"/>
          </w:tcPr>
          <w:p w14:paraId="0D7EDE22">
            <w:pPr>
              <w:pStyle w:val="7"/>
              <w:keepNext w:val="0"/>
              <w:keepLines w:val="0"/>
              <w:pageBreakBefore w:val="0"/>
              <w:widowControl w:val="0"/>
              <w:kinsoku/>
              <w:wordWrap w:val="0"/>
              <w:overflowPunct/>
              <w:topLinePunct w:val="0"/>
              <w:bidi w:val="0"/>
              <w:adjustRightInd/>
              <w:snapToGrid/>
              <w:spacing w:after="0" w:line="360" w:lineRule="auto"/>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工业</w:t>
            </w:r>
          </w:p>
        </w:tc>
      </w:tr>
      <w:tr w14:paraId="6416B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82" w:type="pct"/>
            <w:noWrap w:val="0"/>
            <w:vAlign w:val="center"/>
          </w:tcPr>
          <w:p w14:paraId="45B904C0">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拟采用的评标办法</w:t>
            </w:r>
          </w:p>
        </w:tc>
        <w:tc>
          <w:tcPr>
            <w:tcW w:w="3817" w:type="pct"/>
            <w:noWrap w:val="0"/>
            <w:vAlign w:val="center"/>
          </w:tcPr>
          <w:p w14:paraId="292B9283">
            <w:pPr>
              <w:keepNext w:val="0"/>
              <w:keepLines w:val="0"/>
              <w:pageBreakBefore w:val="0"/>
              <w:widowControl w:val="0"/>
              <w:kinsoku/>
              <w:wordWrap w:val="0"/>
              <w:overflowPunct/>
              <w:topLinePunct w:val="0"/>
              <w:autoSpaceDE w:val="0"/>
              <w:autoSpaceDN w:val="0"/>
              <w:bidi w:val="0"/>
              <w:adjustRightInd/>
              <w:snapToGrid/>
              <w:spacing w:line="360" w:lineRule="auto"/>
              <w:jc w:val="left"/>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综合评分法</w:t>
            </w:r>
            <w:r>
              <w:rPr>
                <w:rFonts w:hint="eastAsia" w:ascii="宋体" w:hAnsi="宋体" w:eastAsia="宋体" w:cs="宋体"/>
                <w:color w:val="FF0000"/>
                <w:sz w:val="24"/>
                <w:szCs w:val="24"/>
              </w:rPr>
              <w:t>（分值设置：技术分</w:t>
            </w:r>
            <w:r>
              <w:rPr>
                <w:rFonts w:hint="eastAsia" w:ascii="宋体" w:hAnsi="宋体" w:eastAsia="宋体" w:cs="宋体"/>
                <w:color w:val="FF0000"/>
                <w:sz w:val="24"/>
                <w:szCs w:val="24"/>
                <w:u w:val="single"/>
                <w:lang w:val="en-US" w:eastAsia="zh-CN"/>
              </w:rPr>
              <w:t>70</w:t>
            </w:r>
            <w:r>
              <w:rPr>
                <w:rFonts w:hint="eastAsia" w:ascii="宋体" w:hAnsi="宋体" w:eastAsia="宋体" w:cs="宋体"/>
                <w:color w:val="FF0000"/>
                <w:sz w:val="24"/>
                <w:szCs w:val="24"/>
              </w:rPr>
              <w:t>分，价格分</w:t>
            </w:r>
            <w:r>
              <w:rPr>
                <w:rFonts w:hint="eastAsia" w:ascii="宋体" w:hAnsi="宋体" w:eastAsia="宋体" w:cs="宋体"/>
                <w:color w:val="FF0000"/>
                <w:sz w:val="24"/>
                <w:szCs w:val="24"/>
                <w:u w:val="single"/>
                <w:lang w:val="en-US" w:eastAsia="zh-CN"/>
              </w:rPr>
              <w:t>30</w:t>
            </w:r>
            <w:r>
              <w:rPr>
                <w:rFonts w:hint="eastAsia" w:ascii="宋体" w:hAnsi="宋体" w:eastAsia="宋体" w:cs="宋体"/>
                <w:color w:val="FF0000"/>
                <w:sz w:val="24"/>
                <w:szCs w:val="24"/>
              </w:rPr>
              <w:t>分）</w:t>
            </w:r>
          </w:p>
        </w:tc>
      </w:tr>
      <w:tr w14:paraId="00655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182" w:type="pct"/>
            <w:noWrap w:val="0"/>
            <w:vAlign w:val="center"/>
          </w:tcPr>
          <w:p w14:paraId="37C00188">
            <w:pPr>
              <w:keepNext w:val="0"/>
              <w:keepLines w:val="0"/>
              <w:pageBreakBefore w:val="0"/>
              <w:widowControl w:val="0"/>
              <w:kinsoku/>
              <w:wordWrap w:val="0"/>
              <w:overflowPunct/>
              <w:topLinePunct w:val="0"/>
              <w:bidi w:val="0"/>
              <w:adjustRightInd/>
              <w:snapToGrid/>
              <w:spacing w:line="360" w:lineRule="auto"/>
              <w:jc w:val="center"/>
              <w:textAlignment w:val="auto"/>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lang w:eastAsia="zh-CN"/>
              </w:rPr>
              <w:t>标前公示截止时间</w:t>
            </w:r>
          </w:p>
        </w:tc>
        <w:tc>
          <w:tcPr>
            <w:tcW w:w="3817" w:type="pct"/>
            <w:noWrap w:val="0"/>
            <w:vAlign w:val="center"/>
          </w:tcPr>
          <w:p w14:paraId="6D0311FF">
            <w:pPr>
              <w:keepNext w:val="0"/>
              <w:keepLines w:val="0"/>
              <w:pageBreakBefore w:val="0"/>
              <w:widowControl w:val="0"/>
              <w:kinsoku/>
              <w:wordWrap w:val="0"/>
              <w:overflowPunct/>
              <w:topLinePunct w:val="0"/>
              <w:autoSpaceDE w:val="0"/>
              <w:autoSpaceDN w:val="0"/>
              <w:bidi w:val="0"/>
              <w:adjustRightInd/>
              <w:snapToGrid/>
              <w:spacing w:line="360" w:lineRule="auto"/>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b/>
                <w:bCs/>
                <w:color w:val="auto"/>
                <w:sz w:val="24"/>
                <w:szCs w:val="24"/>
                <w:lang w:val="en-US" w:eastAsia="zh-CN"/>
              </w:rPr>
              <w:t>2025</w:t>
            </w:r>
            <w:r>
              <w:rPr>
                <w:rFonts w:hint="eastAsia" w:ascii="宋体" w:hAnsi="宋体" w:eastAsia="宋体" w:cs="宋体"/>
                <w:b/>
                <w:bCs/>
                <w:color w:val="auto"/>
                <w:sz w:val="24"/>
                <w:szCs w:val="24"/>
                <w:lang w:eastAsia="zh-CN"/>
              </w:rPr>
              <w:t>年</w:t>
            </w:r>
            <w:r>
              <w:rPr>
                <w:rFonts w:hint="eastAsia" w:ascii="宋体" w:hAnsi="宋体" w:eastAsia="宋体" w:cs="宋体"/>
                <w:b/>
                <w:bCs/>
                <w:color w:val="auto"/>
                <w:sz w:val="24"/>
                <w:szCs w:val="24"/>
                <w:lang w:val="en-US" w:eastAsia="zh-CN"/>
              </w:rPr>
              <w:t>9</w:t>
            </w:r>
            <w:r>
              <w:rPr>
                <w:rFonts w:hint="eastAsia" w:ascii="宋体" w:hAnsi="宋体" w:eastAsia="宋体" w:cs="宋体"/>
                <w:b/>
                <w:bCs/>
                <w:color w:val="auto"/>
                <w:sz w:val="24"/>
                <w:szCs w:val="24"/>
                <w:lang w:eastAsia="zh-CN"/>
              </w:rPr>
              <w:t>月</w:t>
            </w:r>
            <w:r>
              <w:rPr>
                <w:rFonts w:hint="eastAsia" w:ascii="宋体" w:hAnsi="宋体" w:eastAsia="宋体" w:cs="宋体"/>
                <w:b/>
                <w:bCs/>
                <w:color w:val="auto"/>
                <w:sz w:val="24"/>
                <w:szCs w:val="24"/>
                <w:lang w:val="en-US" w:eastAsia="zh-CN"/>
              </w:rPr>
              <w:t>16</w:t>
            </w:r>
            <w:r>
              <w:rPr>
                <w:rFonts w:hint="eastAsia" w:ascii="宋体" w:hAnsi="宋体" w:eastAsia="宋体" w:cs="宋体"/>
                <w:b/>
                <w:bCs/>
                <w:color w:val="auto"/>
                <w:sz w:val="24"/>
                <w:szCs w:val="24"/>
                <w:lang w:eastAsia="zh-CN"/>
              </w:rPr>
              <w:t>日</w:t>
            </w:r>
            <w:r>
              <w:rPr>
                <w:rFonts w:hint="eastAsia" w:ascii="宋体" w:hAnsi="宋体" w:eastAsia="宋体" w:cs="宋体"/>
                <w:b/>
                <w:bCs/>
                <w:color w:val="auto"/>
                <w:sz w:val="24"/>
                <w:szCs w:val="24"/>
                <w:lang w:val="en-US" w:eastAsia="zh-CN"/>
              </w:rPr>
              <w:t>17:30</w:t>
            </w:r>
            <w:r>
              <w:rPr>
                <w:rFonts w:hint="eastAsia" w:ascii="宋体" w:hAnsi="宋体" w:eastAsia="宋体" w:cs="宋体"/>
                <w:b/>
                <w:bCs/>
                <w:color w:val="auto"/>
                <w:sz w:val="24"/>
                <w:szCs w:val="24"/>
                <w:lang w:eastAsia="zh-CN"/>
              </w:rPr>
              <w:t>前（超过规定时间的视同放弃）</w:t>
            </w:r>
          </w:p>
        </w:tc>
      </w:tr>
    </w:tbl>
    <w:p w14:paraId="2A414DAA">
      <w:pPr>
        <w:rPr>
          <w:rFonts w:hint="eastAsia" w:ascii="宋体" w:hAnsi="宋体" w:eastAsia="宋体" w:cs="宋体"/>
          <w:b/>
          <w:sz w:val="24"/>
          <w:szCs w:val="28"/>
        </w:rPr>
      </w:pPr>
      <w:r>
        <w:rPr>
          <w:rFonts w:hint="eastAsia" w:ascii="宋体" w:hAnsi="宋体" w:eastAsia="宋体" w:cs="宋体"/>
          <w:b/>
          <w:sz w:val="24"/>
          <w:szCs w:val="28"/>
        </w:rPr>
        <w:br w:type="page"/>
      </w:r>
    </w:p>
    <w:p w14:paraId="5CF7F245">
      <w:pPr>
        <w:pStyle w:val="2"/>
        <w:jc w:val="left"/>
        <w:rPr>
          <w:rFonts w:hint="eastAsia" w:ascii="宋体" w:hAnsi="宋体" w:eastAsia="宋体" w:cs="宋体"/>
          <w:b/>
          <w:bCs w:val="0"/>
          <w:sz w:val="28"/>
          <w:szCs w:val="28"/>
        </w:rPr>
      </w:pPr>
      <w:bookmarkStart w:id="0" w:name="_Toc2039865327"/>
      <w:bookmarkStart w:id="1" w:name="_Toc1919576966"/>
      <w:bookmarkStart w:id="2" w:name="_Toc1695149163"/>
      <w:bookmarkStart w:id="3" w:name="_Toc1127235811"/>
      <w:bookmarkStart w:id="4" w:name="_Toc615063013"/>
      <w:bookmarkStart w:id="5" w:name="_Toc1932310260"/>
      <w:bookmarkStart w:id="6" w:name="_Toc998780686"/>
      <w:bookmarkStart w:id="7" w:name="_Toc1408663617_WPSOffice_Level1"/>
      <w:bookmarkStart w:id="8" w:name="_Toc1698162705"/>
      <w:r>
        <w:rPr>
          <w:rFonts w:hint="eastAsia" w:ascii="宋体" w:hAnsi="宋体" w:eastAsia="宋体" w:cs="宋体"/>
          <w:b/>
          <w:bCs w:val="0"/>
          <w:sz w:val="28"/>
          <w:szCs w:val="28"/>
          <w:lang w:eastAsia="zh-CN"/>
        </w:rPr>
        <w:t>二、</w:t>
      </w:r>
      <w:r>
        <w:rPr>
          <w:rFonts w:hint="eastAsia" w:ascii="宋体" w:hAnsi="宋体" w:eastAsia="宋体" w:cs="宋体"/>
          <w:b/>
          <w:bCs w:val="0"/>
          <w:sz w:val="28"/>
          <w:szCs w:val="28"/>
        </w:rPr>
        <w:t>采购需求</w:t>
      </w:r>
      <w:bookmarkEnd w:id="0"/>
      <w:bookmarkEnd w:id="1"/>
      <w:bookmarkEnd w:id="2"/>
      <w:bookmarkEnd w:id="3"/>
      <w:bookmarkEnd w:id="4"/>
      <w:bookmarkEnd w:id="5"/>
      <w:bookmarkEnd w:id="6"/>
      <w:bookmarkEnd w:id="7"/>
      <w:bookmarkEnd w:id="8"/>
    </w:p>
    <w:p w14:paraId="5DD085DB">
      <w:pPr>
        <w:spacing w:line="360" w:lineRule="auto"/>
        <w:rPr>
          <w:rFonts w:hint="eastAsia" w:ascii="宋体" w:hAnsi="宋体" w:eastAsia="宋体" w:cs="宋体"/>
          <w:b/>
          <w:sz w:val="24"/>
        </w:rPr>
      </w:pPr>
      <w:r>
        <w:rPr>
          <w:rFonts w:hint="eastAsia" w:ascii="宋体" w:hAnsi="宋体" w:eastAsia="宋体" w:cs="宋体"/>
          <w:b/>
          <w:sz w:val="24"/>
        </w:rPr>
        <w:t>前注：</w:t>
      </w:r>
    </w:p>
    <w:p w14:paraId="7DFD10F9">
      <w:pPr>
        <w:spacing w:line="360" w:lineRule="auto"/>
        <w:ind w:firstLine="435"/>
        <w:rPr>
          <w:rFonts w:hint="eastAsia" w:ascii="宋体" w:hAnsi="宋体" w:eastAsia="宋体" w:cs="宋体"/>
          <w:sz w:val="24"/>
          <w:szCs w:val="18"/>
        </w:rPr>
      </w:pPr>
      <w:r>
        <w:rPr>
          <w:rFonts w:hint="eastAsia" w:ascii="宋体" w:hAnsi="宋体" w:eastAsia="宋体" w:cs="宋体"/>
          <w:sz w:val="24"/>
        </w:rPr>
        <w:t>1.</w:t>
      </w:r>
      <w:r>
        <w:rPr>
          <w:rFonts w:hint="eastAsia" w:ascii="宋体" w:hAnsi="宋体" w:eastAsia="宋体" w:cs="宋体"/>
          <w:sz w:val="24"/>
          <w:szCs w:val="18"/>
        </w:rPr>
        <w:t>根据《关于规范政府采购进口产品有关工作的通知》及政府采购管理部门的相关规定，下列采购需求中标注进口产品的货物（科研仪器设备）均已履行相关论证手续，经核准采购进口产品，但不限制满足招标文件要求的国内产品参与竞争。未标注进口产品的货物均为拒绝采购进口产品。</w:t>
      </w:r>
    </w:p>
    <w:p w14:paraId="5840C034">
      <w:pPr>
        <w:spacing w:line="360" w:lineRule="auto"/>
        <w:ind w:firstLine="435"/>
        <w:rPr>
          <w:rFonts w:hint="eastAsia" w:ascii="宋体" w:hAnsi="宋体" w:eastAsia="宋体" w:cs="宋体"/>
          <w:sz w:val="24"/>
          <w:szCs w:val="18"/>
        </w:rPr>
      </w:pPr>
      <w:r>
        <w:rPr>
          <w:rFonts w:hint="eastAsia" w:ascii="宋体" w:hAnsi="宋体" w:eastAsia="宋体" w:cs="宋体"/>
          <w:sz w:val="24"/>
          <w:szCs w:val="18"/>
        </w:rPr>
        <w:t>2.下列采购需求中：如属于《节能产品政府采购品目清单》中政府强制采购的节能产品，则投标人所投产品须具有市场监管总局公布的《参与实施政府采购节能产品认证机构目录》中的认证机构出具的、处于有效期内的节能产品认证证书。</w:t>
      </w:r>
    </w:p>
    <w:p w14:paraId="266DC6B6">
      <w:pPr>
        <w:spacing w:line="360" w:lineRule="auto"/>
        <w:ind w:firstLine="480" w:firstLineChars="200"/>
        <w:jc w:val="left"/>
        <w:rPr>
          <w:rFonts w:hint="eastAsia" w:ascii="宋体" w:hAnsi="宋体" w:eastAsia="宋体" w:cs="宋体"/>
          <w:sz w:val="24"/>
          <w:szCs w:val="18"/>
        </w:rPr>
      </w:pPr>
      <w:r>
        <w:rPr>
          <w:rFonts w:hint="eastAsia" w:ascii="宋体" w:hAnsi="宋体" w:eastAsia="宋体" w:cs="宋体"/>
          <w:sz w:val="24"/>
          <w:szCs w:val="18"/>
        </w:rPr>
        <w:t>3.下列采购需求中：标注▲的产品（核心产品），投标人在投标文件《主要中标标的承诺函》中填写名称、品牌、规格、型号、数量、单价等信息。</w:t>
      </w:r>
    </w:p>
    <w:p w14:paraId="1F4DBFE2">
      <w:pPr>
        <w:bidi w:val="0"/>
        <w:ind w:firstLine="482" w:firstLineChars="200"/>
        <w:rPr>
          <w:rFonts w:hint="eastAsia" w:ascii="宋体" w:hAnsi="宋体" w:eastAsia="宋体" w:cs="宋体"/>
          <w:b/>
          <w:bCs/>
          <w:sz w:val="24"/>
          <w:szCs w:val="24"/>
        </w:rPr>
      </w:pPr>
      <w:bookmarkStart w:id="9" w:name="_Toc1452677390"/>
      <w:bookmarkStart w:id="10" w:name="_Toc1899401549"/>
      <w:bookmarkStart w:id="11" w:name="_Toc1064185329"/>
      <w:bookmarkStart w:id="12" w:name="_Toc2025078090"/>
      <w:bookmarkStart w:id="13" w:name="_Toc337877615"/>
      <w:bookmarkStart w:id="14" w:name="_Toc382548620"/>
      <w:bookmarkStart w:id="15" w:name="_Toc1437377518_WPSOffice_Level2"/>
      <w:bookmarkStart w:id="16" w:name="_Toc292361325"/>
      <w:r>
        <w:rPr>
          <w:rFonts w:hint="eastAsia" w:ascii="宋体" w:hAnsi="宋体" w:eastAsia="宋体" w:cs="宋体"/>
          <w:b/>
          <w:bCs/>
          <w:sz w:val="24"/>
          <w:szCs w:val="24"/>
        </w:rPr>
        <w:t>一、采购需求前附表</w:t>
      </w:r>
      <w:bookmarkEnd w:id="9"/>
      <w:bookmarkEnd w:id="10"/>
      <w:bookmarkEnd w:id="11"/>
      <w:bookmarkEnd w:id="12"/>
      <w:bookmarkEnd w:id="13"/>
      <w:bookmarkEnd w:id="14"/>
      <w:bookmarkEnd w:id="15"/>
      <w:bookmarkEnd w:id="16"/>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6"/>
        <w:gridCol w:w="2030"/>
        <w:gridCol w:w="5486"/>
      </w:tblGrid>
      <w:tr w14:paraId="72356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noWrap w:val="0"/>
            <w:vAlign w:val="center"/>
          </w:tcPr>
          <w:p w14:paraId="7AA0FD19">
            <w:pPr>
              <w:pStyle w:val="20"/>
              <w:pBdr>
                <w:bottom w:val="none" w:color="auto" w:sz="0" w:space="0"/>
              </w:pBdr>
              <w:tabs>
                <w:tab w:val="clear" w:pos="4153"/>
                <w:tab w:val="clear" w:pos="8306"/>
              </w:tabs>
              <w:adjustRightInd/>
              <w:spacing w:line="440" w:lineRule="exact"/>
              <w:textAlignment w:val="auto"/>
              <w:rPr>
                <w:rFonts w:hint="eastAsia" w:ascii="宋体" w:hAnsi="宋体" w:eastAsia="宋体" w:cs="宋体"/>
                <w:b/>
                <w:kern w:val="2"/>
              </w:rPr>
            </w:pPr>
            <w:r>
              <w:rPr>
                <w:rFonts w:hint="eastAsia" w:ascii="宋体" w:hAnsi="宋体" w:eastAsia="宋体" w:cs="宋体"/>
                <w:b/>
                <w:kern w:val="2"/>
              </w:rPr>
              <w:t>序号</w:t>
            </w:r>
          </w:p>
        </w:tc>
        <w:tc>
          <w:tcPr>
            <w:tcW w:w="1191" w:type="pct"/>
            <w:noWrap w:val="0"/>
            <w:vAlign w:val="center"/>
          </w:tcPr>
          <w:p w14:paraId="71E924EA">
            <w:pPr>
              <w:pStyle w:val="21"/>
              <w:widowControl w:val="0"/>
              <w:spacing w:before="0" w:beforeAutospacing="0" w:after="0" w:afterAutospacing="0" w:line="440" w:lineRule="exact"/>
              <w:rPr>
                <w:rFonts w:hint="eastAsia" w:ascii="宋体" w:hAnsi="宋体" w:eastAsia="宋体" w:cs="宋体"/>
                <w:bCs w:val="0"/>
                <w:sz w:val="24"/>
              </w:rPr>
            </w:pPr>
            <w:r>
              <w:rPr>
                <w:rFonts w:hint="eastAsia" w:ascii="宋体" w:hAnsi="宋体" w:eastAsia="宋体" w:cs="宋体"/>
                <w:bCs w:val="0"/>
                <w:sz w:val="24"/>
              </w:rPr>
              <w:t>条款名称</w:t>
            </w:r>
          </w:p>
        </w:tc>
        <w:tc>
          <w:tcPr>
            <w:tcW w:w="3218" w:type="pct"/>
            <w:noWrap w:val="0"/>
            <w:vAlign w:val="center"/>
          </w:tcPr>
          <w:p w14:paraId="75CA6669">
            <w:pPr>
              <w:pStyle w:val="21"/>
              <w:widowControl w:val="0"/>
              <w:spacing w:before="0" w:beforeAutospacing="0" w:after="0" w:afterAutospacing="0" w:line="440" w:lineRule="exact"/>
              <w:rPr>
                <w:rFonts w:hint="eastAsia" w:ascii="宋体" w:hAnsi="宋体" w:eastAsia="宋体" w:cs="宋体"/>
                <w:bCs w:val="0"/>
                <w:sz w:val="24"/>
              </w:rPr>
            </w:pPr>
            <w:r>
              <w:rPr>
                <w:rFonts w:hint="eastAsia" w:ascii="宋体" w:hAnsi="宋体" w:eastAsia="宋体" w:cs="宋体"/>
                <w:bCs w:val="0"/>
                <w:sz w:val="24"/>
              </w:rPr>
              <w:t>内容、说明与要求</w:t>
            </w:r>
          </w:p>
        </w:tc>
      </w:tr>
      <w:tr w14:paraId="678A5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noWrap w:val="0"/>
            <w:vAlign w:val="center"/>
          </w:tcPr>
          <w:p w14:paraId="147366A8">
            <w:pPr>
              <w:pStyle w:val="20"/>
              <w:pBdr>
                <w:bottom w:val="none" w:color="auto" w:sz="0" w:space="0"/>
              </w:pBdr>
              <w:tabs>
                <w:tab w:val="clear" w:pos="4153"/>
                <w:tab w:val="clear" w:pos="8306"/>
              </w:tabs>
              <w:adjustRightInd/>
              <w:spacing w:line="440" w:lineRule="exact"/>
              <w:textAlignment w:val="auto"/>
              <w:rPr>
                <w:rFonts w:hint="eastAsia" w:ascii="宋体" w:hAnsi="宋体" w:eastAsia="宋体" w:cs="宋体"/>
                <w:bCs/>
                <w:kern w:val="2"/>
              </w:rPr>
            </w:pPr>
            <w:r>
              <w:rPr>
                <w:rFonts w:hint="eastAsia" w:ascii="宋体" w:hAnsi="宋体" w:eastAsia="宋体" w:cs="宋体"/>
                <w:bCs/>
                <w:kern w:val="2"/>
              </w:rPr>
              <w:t>1</w:t>
            </w:r>
          </w:p>
        </w:tc>
        <w:tc>
          <w:tcPr>
            <w:tcW w:w="1191" w:type="pct"/>
            <w:noWrap w:val="0"/>
            <w:vAlign w:val="center"/>
          </w:tcPr>
          <w:p w14:paraId="08A4CB16">
            <w:pPr>
              <w:pStyle w:val="21"/>
              <w:widowControl w:val="0"/>
              <w:spacing w:before="0" w:beforeAutospacing="0" w:after="0" w:afterAutospacing="0" w:line="440" w:lineRule="exact"/>
              <w:rPr>
                <w:rFonts w:hint="eastAsia" w:ascii="宋体" w:hAnsi="宋体" w:eastAsia="宋体" w:cs="宋体"/>
                <w:b w:val="0"/>
                <w:sz w:val="24"/>
              </w:rPr>
            </w:pPr>
            <w:r>
              <w:rPr>
                <w:rFonts w:hint="eastAsia" w:ascii="宋体" w:hAnsi="宋体" w:eastAsia="宋体" w:cs="宋体"/>
                <w:b w:val="0"/>
                <w:sz w:val="24"/>
              </w:rPr>
              <w:t>付款方式</w:t>
            </w:r>
          </w:p>
        </w:tc>
        <w:tc>
          <w:tcPr>
            <w:tcW w:w="3218" w:type="pct"/>
            <w:noWrap w:val="0"/>
            <w:vAlign w:val="center"/>
          </w:tcPr>
          <w:p w14:paraId="20EE520C">
            <w:pPr>
              <w:autoSpaceDE w:val="0"/>
              <w:autoSpaceDN w:val="0"/>
              <w:spacing w:line="440" w:lineRule="exact"/>
              <w:jc w:val="left"/>
              <w:rPr>
                <w:rFonts w:hint="eastAsia" w:ascii="宋体" w:hAnsi="宋体" w:eastAsia="宋体" w:cs="宋体"/>
                <w:color w:val="C00000"/>
                <w:sz w:val="24"/>
                <w:szCs w:val="24"/>
              </w:rPr>
            </w:pPr>
            <w:r>
              <w:rPr>
                <w:rFonts w:hint="eastAsia" w:ascii="宋体" w:hAnsi="宋体" w:eastAsia="宋体" w:cs="宋体"/>
                <w:iCs/>
                <w:snapToGrid w:val="0"/>
                <w:kern w:val="0"/>
                <w:sz w:val="24"/>
                <w:szCs w:val="24"/>
                <w:lang w:val="zh-CN"/>
              </w:rPr>
              <w:t>验收合格，收到合规增值税发票及免税资料（进口产品）后一次性付款。</w:t>
            </w:r>
          </w:p>
        </w:tc>
      </w:tr>
      <w:tr w14:paraId="133E9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noWrap w:val="0"/>
            <w:vAlign w:val="center"/>
          </w:tcPr>
          <w:p w14:paraId="3A6FFBE4">
            <w:pPr>
              <w:pStyle w:val="20"/>
              <w:pBdr>
                <w:bottom w:val="none" w:color="auto" w:sz="0" w:space="0"/>
              </w:pBdr>
              <w:tabs>
                <w:tab w:val="clear" w:pos="4153"/>
                <w:tab w:val="clear" w:pos="8306"/>
              </w:tabs>
              <w:adjustRightInd/>
              <w:spacing w:line="440" w:lineRule="exact"/>
              <w:textAlignment w:val="auto"/>
              <w:rPr>
                <w:rFonts w:hint="eastAsia" w:ascii="宋体" w:hAnsi="宋体" w:eastAsia="宋体" w:cs="宋体"/>
                <w:bCs/>
                <w:kern w:val="2"/>
              </w:rPr>
            </w:pPr>
            <w:r>
              <w:rPr>
                <w:rFonts w:hint="eastAsia" w:ascii="宋体" w:hAnsi="宋体" w:eastAsia="宋体" w:cs="宋体"/>
                <w:bCs/>
                <w:kern w:val="2"/>
              </w:rPr>
              <w:t>2</w:t>
            </w:r>
          </w:p>
        </w:tc>
        <w:tc>
          <w:tcPr>
            <w:tcW w:w="1191" w:type="pct"/>
            <w:noWrap w:val="0"/>
            <w:vAlign w:val="center"/>
          </w:tcPr>
          <w:p w14:paraId="1AF262D6">
            <w:pPr>
              <w:pStyle w:val="21"/>
              <w:widowControl w:val="0"/>
              <w:spacing w:before="0" w:beforeAutospacing="0" w:after="0" w:afterAutospacing="0" w:line="440" w:lineRule="exact"/>
              <w:rPr>
                <w:rFonts w:hint="eastAsia" w:ascii="宋体" w:hAnsi="宋体" w:eastAsia="宋体" w:cs="宋体"/>
                <w:b w:val="0"/>
                <w:sz w:val="24"/>
              </w:rPr>
            </w:pPr>
            <w:r>
              <w:rPr>
                <w:rFonts w:hint="eastAsia" w:ascii="宋体" w:hAnsi="宋体" w:eastAsia="宋体" w:cs="宋体"/>
                <w:b w:val="0"/>
                <w:sz w:val="24"/>
              </w:rPr>
              <w:t>供货及安装地点</w:t>
            </w:r>
          </w:p>
        </w:tc>
        <w:tc>
          <w:tcPr>
            <w:tcW w:w="3218" w:type="pct"/>
            <w:noWrap w:val="0"/>
            <w:vAlign w:val="center"/>
          </w:tcPr>
          <w:p w14:paraId="3680846B">
            <w:pPr>
              <w:pStyle w:val="21"/>
              <w:widowControl w:val="0"/>
              <w:spacing w:before="0" w:beforeAutospacing="0" w:after="0" w:afterAutospacing="0" w:line="440" w:lineRule="exact"/>
              <w:jc w:val="left"/>
              <w:rPr>
                <w:rFonts w:hint="eastAsia" w:ascii="宋体" w:hAnsi="宋体" w:eastAsia="宋体" w:cs="宋体"/>
                <w:b w:val="0"/>
                <w:sz w:val="24"/>
              </w:rPr>
            </w:pPr>
            <w:r>
              <w:rPr>
                <w:rFonts w:hint="eastAsia" w:ascii="宋体" w:hAnsi="宋体" w:eastAsia="宋体" w:cs="宋体"/>
                <w:b w:val="0"/>
                <w:sz w:val="24"/>
              </w:rPr>
              <w:t xml:space="preserve">阜阳师范大学化学与材料工程学院，采购人指定地点。              </w:t>
            </w:r>
          </w:p>
        </w:tc>
      </w:tr>
      <w:tr w14:paraId="65CA7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noWrap w:val="0"/>
            <w:vAlign w:val="center"/>
          </w:tcPr>
          <w:p w14:paraId="04FF7EE2">
            <w:pPr>
              <w:pStyle w:val="20"/>
              <w:pBdr>
                <w:bottom w:val="none" w:color="auto" w:sz="0" w:space="0"/>
              </w:pBdr>
              <w:tabs>
                <w:tab w:val="clear" w:pos="4153"/>
                <w:tab w:val="clear" w:pos="8306"/>
              </w:tabs>
              <w:adjustRightInd/>
              <w:spacing w:line="440" w:lineRule="exact"/>
              <w:textAlignment w:val="auto"/>
              <w:rPr>
                <w:rFonts w:hint="eastAsia" w:ascii="宋体" w:hAnsi="宋体" w:eastAsia="宋体" w:cs="宋体"/>
                <w:bCs/>
                <w:kern w:val="2"/>
              </w:rPr>
            </w:pPr>
            <w:r>
              <w:rPr>
                <w:rFonts w:hint="eastAsia" w:ascii="宋体" w:hAnsi="宋体" w:eastAsia="宋体" w:cs="宋体"/>
                <w:bCs/>
                <w:kern w:val="2"/>
              </w:rPr>
              <w:t>3</w:t>
            </w:r>
          </w:p>
        </w:tc>
        <w:tc>
          <w:tcPr>
            <w:tcW w:w="1191" w:type="pct"/>
            <w:noWrap w:val="0"/>
            <w:vAlign w:val="center"/>
          </w:tcPr>
          <w:p w14:paraId="69944C39">
            <w:pPr>
              <w:pStyle w:val="21"/>
              <w:widowControl w:val="0"/>
              <w:spacing w:before="0" w:beforeAutospacing="0" w:after="0" w:afterAutospacing="0" w:line="440" w:lineRule="exact"/>
              <w:rPr>
                <w:rFonts w:hint="eastAsia" w:ascii="宋体" w:hAnsi="宋体" w:eastAsia="宋体" w:cs="宋体"/>
                <w:b w:val="0"/>
                <w:sz w:val="24"/>
              </w:rPr>
            </w:pPr>
            <w:r>
              <w:rPr>
                <w:rFonts w:hint="eastAsia" w:ascii="宋体" w:hAnsi="宋体" w:eastAsia="宋体" w:cs="宋体"/>
                <w:b w:val="0"/>
                <w:sz w:val="24"/>
              </w:rPr>
              <w:t>供货及安装期限</w:t>
            </w:r>
          </w:p>
        </w:tc>
        <w:tc>
          <w:tcPr>
            <w:tcW w:w="3218" w:type="pct"/>
            <w:noWrap w:val="0"/>
            <w:vAlign w:val="center"/>
          </w:tcPr>
          <w:p w14:paraId="4CC93624">
            <w:pPr>
              <w:autoSpaceDE w:val="0"/>
              <w:autoSpaceDN w:val="0"/>
              <w:spacing w:line="440" w:lineRule="exact"/>
              <w:jc w:val="left"/>
              <w:rPr>
                <w:rFonts w:hint="eastAsia" w:ascii="宋体" w:hAnsi="宋体" w:eastAsia="宋体" w:cs="宋体"/>
                <w:b/>
                <w:sz w:val="24"/>
              </w:rPr>
            </w:pPr>
            <w:r>
              <w:rPr>
                <w:rFonts w:hint="eastAsia" w:ascii="宋体" w:hAnsi="宋体" w:eastAsia="宋体" w:cs="宋体"/>
                <w:snapToGrid w:val="0"/>
                <w:kern w:val="0"/>
                <w:sz w:val="24"/>
                <w:szCs w:val="24"/>
                <w:lang w:val="zh-CN"/>
              </w:rPr>
              <w:t>合同签订后180个工作日内完成安装、调试、培训。</w:t>
            </w:r>
          </w:p>
        </w:tc>
      </w:tr>
      <w:tr w14:paraId="0D523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noWrap w:val="0"/>
            <w:vAlign w:val="center"/>
          </w:tcPr>
          <w:p w14:paraId="1C466D86">
            <w:pPr>
              <w:pStyle w:val="20"/>
              <w:pBdr>
                <w:bottom w:val="none" w:color="auto" w:sz="0" w:space="0"/>
              </w:pBdr>
              <w:tabs>
                <w:tab w:val="clear" w:pos="4153"/>
                <w:tab w:val="clear" w:pos="8306"/>
              </w:tabs>
              <w:adjustRightInd/>
              <w:spacing w:line="440" w:lineRule="exact"/>
              <w:textAlignment w:val="auto"/>
              <w:rPr>
                <w:rFonts w:hint="eastAsia" w:ascii="宋体" w:hAnsi="宋体" w:eastAsia="宋体" w:cs="宋体"/>
                <w:bCs/>
                <w:kern w:val="2"/>
              </w:rPr>
            </w:pPr>
            <w:r>
              <w:rPr>
                <w:rFonts w:hint="eastAsia" w:ascii="宋体" w:hAnsi="宋体" w:eastAsia="宋体" w:cs="宋体"/>
                <w:bCs/>
                <w:kern w:val="2"/>
              </w:rPr>
              <w:t>4</w:t>
            </w:r>
          </w:p>
        </w:tc>
        <w:tc>
          <w:tcPr>
            <w:tcW w:w="1191" w:type="pct"/>
            <w:noWrap w:val="0"/>
            <w:vAlign w:val="center"/>
          </w:tcPr>
          <w:p w14:paraId="2D90A810">
            <w:pPr>
              <w:pStyle w:val="21"/>
              <w:widowControl w:val="0"/>
              <w:spacing w:before="0" w:beforeAutospacing="0" w:after="0" w:afterAutospacing="0" w:line="440" w:lineRule="exact"/>
              <w:rPr>
                <w:rFonts w:hint="eastAsia" w:ascii="宋体" w:hAnsi="宋体" w:eastAsia="宋体" w:cs="宋体"/>
                <w:b w:val="0"/>
                <w:sz w:val="24"/>
              </w:rPr>
            </w:pPr>
            <w:r>
              <w:rPr>
                <w:rFonts w:hint="eastAsia" w:ascii="宋体" w:hAnsi="宋体" w:eastAsia="宋体" w:cs="宋体"/>
                <w:b w:val="0"/>
                <w:sz w:val="24"/>
              </w:rPr>
              <w:t>质保期</w:t>
            </w:r>
          </w:p>
        </w:tc>
        <w:tc>
          <w:tcPr>
            <w:tcW w:w="3218" w:type="pct"/>
            <w:noWrap w:val="0"/>
            <w:vAlign w:val="top"/>
          </w:tcPr>
          <w:p w14:paraId="7A052CB2">
            <w:pPr>
              <w:widowControl/>
              <w:autoSpaceDE w:val="0"/>
              <w:autoSpaceDN w:val="0"/>
              <w:spacing w:line="440" w:lineRule="exact"/>
              <w:jc w:val="left"/>
              <w:rPr>
                <w:rFonts w:hint="eastAsia" w:ascii="宋体" w:hAnsi="宋体" w:eastAsia="宋体" w:cs="宋体"/>
                <w:b/>
                <w:sz w:val="24"/>
              </w:rPr>
            </w:pPr>
            <w:r>
              <w:rPr>
                <w:rFonts w:hint="eastAsia" w:ascii="宋体" w:hAnsi="宋体" w:eastAsia="宋体" w:cs="宋体"/>
                <w:iCs/>
                <w:snapToGrid w:val="0"/>
                <w:kern w:val="0"/>
                <w:sz w:val="24"/>
                <w:szCs w:val="24"/>
                <w:lang w:val="zh-CN"/>
              </w:rPr>
              <w:t>主机及配件质保一年，耗材类质保3个月。设备使用生命周期终身维护；软件免费升级；耗材、维修零配件不得高于本次投标价；5*24小时服务响应；无法通过远程解决的问题，在用户提出要求后，工程师48小时内上门；</w:t>
            </w:r>
          </w:p>
        </w:tc>
      </w:tr>
      <w:tr w14:paraId="0F294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noWrap w:val="0"/>
            <w:vAlign w:val="center"/>
          </w:tcPr>
          <w:p w14:paraId="309DFC2A">
            <w:pPr>
              <w:pStyle w:val="20"/>
              <w:pBdr>
                <w:bottom w:val="none" w:color="auto" w:sz="0" w:space="0"/>
              </w:pBdr>
              <w:tabs>
                <w:tab w:val="clear" w:pos="4153"/>
                <w:tab w:val="clear" w:pos="8306"/>
              </w:tabs>
              <w:adjustRightInd/>
              <w:spacing w:line="440" w:lineRule="exact"/>
              <w:textAlignment w:val="auto"/>
              <w:rPr>
                <w:rFonts w:hint="eastAsia" w:ascii="宋体" w:hAnsi="宋体" w:eastAsia="宋体" w:cs="宋体"/>
                <w:bCs/>
                <w:kern w:val="2"/>
              </w:rPr>
            </w:pPr>
            <w:bookmarkStart w:id="17" w:name="_Toc1715351726"/>
            <w:bookmarkStart w:id="18" w:name="_Toc1693477008"/>
            <w:bookmarkStart w:id="19" w:name="_Toc717369146"/>
            <w:bookmarkStart w:id="20" w:name="_Toc302804901"/>
            <w:bookmarkStart w:id="21" w:name="_Toc369119811"/>
            <w:bookmarkStart w:id="22" w:name="_Toc58935147"/>
            <w:bookmarkStart w:id="23" w:name="_Toc1191965283_WPSOffice_Level2"/>
            <w:bookmarkStart w:id="24" w:name="_Toc626387511"/>
            <w:r>
              <w:rPr>
                <w:rFonts w:hint="eastAsia" w:ascii="宋体" w:hAnsi="宋体" w:eastAsia="宋体" w:cs="宋体"/>
                <w:bCs/>
                <w:kern w:val="2"/>
              </w:rPr>
              <w:t>5</w:t>
            </w:r>
          </w:p>
        </w:tc>
        <w:tc>
          <w:tcPr>
            <w:tcW w:w="1191" w:type="pct"/>
            <w:noWrap w:val="0"/>
            <w:vAlign w:val="center"/>
          </w:tcPr>
          <w:p w14:paraId="6AB5F49C">
            <w:pPr>
              <w:widowControl/>
              <w:autoSpaceDE w:val="0"/>
              <w:autoSpaceDN w:val="0"/>
              <w:spacing w:line="440" w:lineRule="exact"/>
              <w:jc w:val="center"/>
              <w:rPr>
                <w:rFonts w:hint="eastAsia" w:ascii="宋体" w:hAnsi="宋体" w:eastAsia="宋体" w:cs="宋体"/>
                <w:snapToGrid w:val="0"/>
                <w:kern w:val="0"/>
                <w:sz w:val="24"/>
                <w:szCs w:val="24"/>
                <w:lang w:val="zh-CN"/>
              </w:rPr>
            </w:pPr>
            <w:r>
              <w:rPr>
                <w:rFonts w:hint="eastAsia" w:ascii="宋体" w:hAnsi="宋体" w:eastAsia="宋体" w:cs="宋体"/>
                <w:snapToGrid w:val="0"/>
                <w:kern w:val="0"/>
                <w:sz w:val="24"/>
                <w:szCs w:val="24"/>
                <w:lang w:val="zh-CN"/>
              </w:rPr>
              <w:t>培训要求</w:t>
            </w:r>
          </w:p>
        </w:tc>
        <w:tc>
          <w:tcPr>
            <w:tcW w:w="3218" w:type="pct"/>
            <w:noWrap w:val="0"/>
            <w:vAlign w:val="top"/>
          </w:tcPr>
          <w:p w14:paraId="3DF7BC11">
            <w:pPr>
              <w:widowControl/>
              <w:autoSpaceDE w:val="0"/>
              <w:autoSpaceDN w:val="0"/>
              <w:spacing w:line="440" w:lineRule="exact"/>
              <w:jc w:val="left"/>
              <w:rPr>
                <w:rFonts w:hint="eastAsia" w:ascii="宋体" w:hAnsi="宋体" w:eastAsia="宋体" w:cs="宋体"/>
                <w:sz w:val="24"/>
                <w:szCs w:val="24"/>
              </w:rPr>
            </w:pPr>
            <w:r>
              <w:rPr>
                <w:rFonts w:hint="eastAsia" w:ascii="宋体" w:hAnsi="宋体" w:eastAsia="宋体" w:cs="宋体"/>
                <w:snapToGrid w:val="0"/>
                <w:kern w:val="0"/>
                <w:sz w:val="24"/>
                <w:szCs w:val="24"/>
                <w:lang w:val="zh-CN"/>
              </w:rPr>
              <w:t>设备仪器首次安装完成后，提供培训，培训人次≥2人；合同完成后，在3年内提供原厂培训≥6人次。</w:t>
            </w:r>
          </w:p>
        </w:tc>
      </w:tr>
    </w:tbl>
    <w:p w14:paraId="1DB06E95">
      <w:pPr>
        <w:bidi w:val="0"/>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二、货物需求</w:t>
      </w:r>
      <w:bookmarkEnd w:id="17"/>
      <w:bookmarkEnd w:id="18"/>
      <w:bookmarkEnd w:id="19"/>
      <w:bookmarkEnd w:id="20"/>
      <w:bookmarkEnd w:id="21"/>
      <w:bookmarkEnd w:id="22"/>
      <w:bookmarkEnd w:id="23"/>
      <w:bookmarkEnd w:id="24"/>
    </w:p>
    <w:p w14:paraId="7B722CC5">
      <w:pPr>
        <w:pStyle w:val="13"/>
        <w:spacing w:line="360" w:lineRule="auto"/>
        <w:ind w:left="0" w:firstLine="482"/>
        <w:rPr>
          <w:rFonts w:hint="eastAsia" w:ascii="宋体" w:hAnsi="宋体" w:eastAsia="宋体" w:cs="宋体"/>
          <w:b/>
          <w:bCs/>
          <w:sz w:val="24"/>
          <w:szCs w:val="24"/>
        </w:rPr>
      </w:pPr>
      <w:r>
        <w:rPr>
          <w:rFonts w:hint="eastAsia" w:ascii="宋体" w:hAnsi="宋体" w:eastAsia="宋体" w:cs="宋体"/>
          <w:b/>
          <w:bCs/>
          <w:sz w:val="24"/>
          <w:szCs w:val="24"/>
        </w:rPr>
        <w:t>（一）货物需求说明</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0"/>
        <w:gridCol w:w="1568"/>
        <w:gridCol w:w="5061"/>
      </w:tblGrid>
      <w:tr w14:paraId="2CA48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09" w:type="pct"/>
            <w:noWrap w:val="0"/>
            <w:vAlign w:val="center"/>
          </w:tcPr>
          <w:p w14:paraId="49FE9E38">
            <w:pPr>
              <w:pStyle w:val="13"/>
              <w:spacing w:line="440" w:lineRule="exact"/>
              <w:ind w:left="0" w:firstLine="0" w:firstLineChars="0"/>
              <w:jc w:val="center"/>
              <w:rPr>
                <w:rFonts w:hint="eastAsia" w:ascii="宋体" w:hAnsi="宋体" w:eastAsia="宋体" w:cs="宋体"/>
                <w:sz w:val="24"/>
                <w:szCs w:val="24"/>
              </w:rPr>
            </w:pPr>
            <w:r>
              <w:rPr>
                <w:rFonts w:hint="eastAsia" w:ascii="宋体" w:hAnsi="宋体" w:eastAsia="宋体" w:cs="宋体"/>
                <w:sz w:val="24"/>
                <w:szCs w:val="24"/>
              </w:rPr>
              <w:t>需求内容类别</w:t>
            </w:r>
          </w:p>
        </w:tc>
        <w:tc>
          <w:tcPr>
            <w:tcW w:w="920" w:type="pct"/>
            <w:noWrap w:val="0"/>
            <w:vAlign w:val="center"/>
          </w:tcPr>
          <w:p w14:paraId="714C4446">
            <w:pPr>
              <w:pStyle w:val="13"/>
              <w:spacing w:line="440" w:lineRule="exact"/>
              <w:ind w:left="0" w:firstLine="0" w:firstLineChars="0"/>
              <w:jc w:val="center"/>
              <w:rPr>
                <w:rFonts w:hint="eastAsia" w:ascii="宋体" w:hAnsi="宋体" w:eastAsia="宋体" w:cs="宋体"/>
                <w:sz w:val="24"/>
                <w:szCs w:val="24"/>
              </w:rPr>
            </w:pPr>
            <w:r>
              <w:rPr>
                <w:rFonts w:hint="eastAsia" w:ascii="宋体" w:hAnsi="宋体" w:eastAsia="宋体" w:cs="宋体"/>
                <w:sz w:val="24"/>
                <w:szCs w:val="24"/>
              </w:rPr>
              <w:t>标识符号</w:t>
            </w:r>
          </w:p>
        </w:tc>
        <w:tc>
          <w:tcPr>
            <w:tcW w:w="2969" w:type="pct"/>
            <w:noWrap w:val="0"/>
            <w:vAlign w:val="center"/>
          </w:tcPr>
          <w:p w14:paraId="6F45F1D5">
            <w:pPr>
              <w:pStyle w:val="13"/>
              <w:spacing w:line="440" w:lineRule="exact"/>
              <w:ind w:left="0" w:firstLine="480"/>
              <w:jc w:val="center"/>
              <w:rPr>
                <w:rFonts w:hint="eastAsia" w:ascii="宋体" w:hAnsi="宋体" w:eastAsia="宋体" w:cs="宋体"/>
                <w:sz w:val="24"/>
                <w:szCs w:val="24"/>
              </w:rPr>
            </w:pPr>
            <w:r>
              <w:rPr>
                <w:rFonts w:hint="eastAsia" w:ascii="宋体" w:hAnsi="宋体" w:eastAsia="宋体" w:cs="宋体"/>
                <w:sz w:val="24"/>
                <w:szCs w:val="24"/>
              </w:rPr>
              <w:t>投标要求</w:t>
            </w:r>
          </w:p>
        </w:tc>
      </w:tr>
      <w:tr w14:paraId="00C0F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9" w:type="pct"/>
            <w:noWrap w:val="0"/>
            <w:vAlign w:val="center"/>
          </w:tcPr>
          <w:p w14:paraId="184087BC">
            <w:pPr>
              <w:pStyle w:val="13"/>
              <w:spacing w:line="440" w:lineRule="exact"/>
              <w:ind w:left="0" w:firstLine="0" w:firstLineChars="0"/>
              <w:jc w:val="center"/>
              <w:rPr>
                <w:rFonts w:hint="eastAsia" w:ascii="宋体" w:hAnsi="宋体" w:eastAsia="宋体" w:cs="宋体"/>
                <w:sz w:val="24"/>
                <w:szCs w:val="24"/>
              </w:rPr>
            </w:pPr>
            <w:r>
              <w:rPr>
                <w:rFonts w:hint="eastAsia" w:ascii="宋体" w:hAnsi="宋体" w:eastAsia="宋体" w:cs="宋体"/>
                <w:sz w:val="24"/>
                <w:szCs w:val="24"/>
              </w:rPr>
              <w:t>实质性响应项</w:t>
            </w:r>
          </w:p>
        </w:tc>
        <w:tc>
          <w:tcPr>
            <w:tcW w:w="920" w:type="pct"/>
            <w:noWrap w:val="0"/>
            <w:vAlign w:val="center"/>
          </w:tcPr>
          <w:p w14:paraId="7A7206FD">
            <w:pPr>
              <w:pStyle w:val="13"/>
              <w:spacing w:line="440" w:lineRule="exact"/>
              <w:ind w:left="0" w:firstLine="0" w:firstLineChars="0"/>
              <w:jc w:val="center"/>
              <w:rPr>
                <w:rFonts w:hint="eastAsia" w:ascii="宋体" w:hAnsi="宋体" w:eastAsia="宋体" w:cs="宋体"/>
                <w:sz w:val="24"/>
                <w:szCs w:val="24"/>
              </w:rPr>
            </w:pPr>
            <w:r>
              <w:rPr>
                <w:rFonts w:hint="eastAsia" w:ascii="宋体" w:hAnsi="宋体" w:eastAsia="宋体" w:cs="宋体"/>
                <w:sz w:val="24"/>
                <w:szCs w:val="24"/>
              </w:rPr>
              <w:t>★</w:t>
            </w:r>
          </w:p>
        </w:tc>
        <w:tc>
          <w:tcPr>
            <w:tcW w:w="2969" w:type="pct"/>
            <w:noWrap w:val="0"/>
            <w:vAlign w:val="center"/>
          </w:tcPr>
          <w:p w14:paraId="1AAFB0C7">
            <w:pPr>
              <w:pStyle w:val="21"/>
              <w:widowControl w:val="0"/>
              <w:spacing w:before="0" w:beforeAutospacing="0" w:after="0" w:afterAutospacing="0" w:line="440" w:lineRule="exact"/>
              <w:jc w:val="left"/>
              <w:rPr>
                <w:rFonts w:hint="eastAsia" w:ascii="宋体" w:hAnsi="宋体" w:eastAsia="宋体" w:cs="宋体"/>
                <w:b w:val="0"/>
                <w:bCs w:val="0"/>
                <w:sz w:val="24"/>
                <w:szCs w:val="24"/>
              </w:rPr>
            </w:pPr>
            <w:r>
              <w:rPr>
                <w:rFonts w:hint="eastAsia" w:ascii="宋体" w:hAnsi="宋体" w:eastAsia="宋体" w:cs="宋体"/>
                <w:b w:val="0"/>
                <w:bCs w:val="0"/>
                <w:sz w:val="24"/>
                <w:szCs w:val="24"/>
              </w:rPr>
              <w:t>有一项不满足或者负偏离，将导致</w:t>
            </w:r>
            <w:r>
              <w:rPr>
                <w:rFonts w:hint="eastAsia" w:ascii="宋体" w:hAnsi="宋体" w:eastAsia="宋体" w:cs="宋体"/>
                <w:sz w:val="24"/>
                <w:szCs w:val="24"/>
              </w:rPr>
              <w:t>投标无效</w:t>
            </w:r>
            <w:r>
              <w:rPr>
                <w:rFonts w:hint="eastAsia" w:ascii="宋体" w:hAnsi="宋体" w:eastAsia="宋体" w:cs="宋体"/>
                <w:b w:val="0"/>
                <w:bCs w:val="0"/>
                <w:sz w:val="24"/>
                <w:szCs w:val="24"/>
              </w:rPr>
              <w:t>。</w:t>
            </w:r>
          </w:p>
        </w:tc>
      </w:tr>
      <w:tr w14:paraId="03718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9" w:type="pct"/>
            <w:noWrap w:val="0"/>
            <w:vAlign w:val="center"/>
          </w:tcPr>
          <w:p w14:paraId="67FDF509">
            <w:pPr>
              <w:pStyle w:val="13"/>
              <w:spacing w:line="440" w:lineRule="exact"/>
              <w:ind w:left="0" w:firstLine="0" w:firstLineChars="0"/>
              <w:jc w:val="center"/>
              <w:rPr>
                <w:rFonts w:hint="eastAsia" w:ascii="宋体" w:hAnsi="宋体" w:eastAsia="宋体" w:cs="宋体"/>
                <w:sz w:val="24"/>
                <w:szCs w:val="24"/>
              </w:rPr>
            </w:pPr>
            <w:r>
              <w:rPr>
                <w:rFonts w:hint="eastAsia" w:ascii="宋体" w:hAnsi="宋体" w:eastAsia="宋体" w:cs="宋体"/>
                <w:sz w:val="24"/>
                <w:szCs w:val="24"/>
              </w:rPr>
              <w:t>重要指标项</w:t>
            </w:r>
          </w:p>
        </w:tc>
        <w:tc>
          <w:tcPr>
            <w:tcW w:w="920" w:type="pct"/>
            <w:noWrap w:val="0"/>
            <w:vAlign w:val="center"/>
          </w:tcPr>
          <w:p w14:paraId="5BB155EA">
            <w:pPr>
              <w:pStyle w:val="13"/>
              <w:spacing w:line="440" w:lineRule="exact"/>
              <w:ind w:left="0" w:firstLine="0" w:firstLineChars="0"/>
              <w:jc w:val="center"/>
              <w:rPr>
                <w:rFonts w:hint="eastAsia" w:ascii="宋体" w:hAnsi="宋体" w:eastAsia="宋体" w:cs="宋体"/>
                <w:sz w:val="24"/>
                <w:szCs w:val="24"/>
              </w:rPr>
            </w:pPr>
            <w:r>
              <w:rPr>
                <w:rFonts w:hint="eastAsia" w:ascii="宋体" w:hAnsi="宋体" w:eastAsia="宋体" w:cs="宋体"/>
                <w:sz w:val="24"/>
                <w:szCs w:val="24"/>
              </w:rPr>
              <w:t>●</w:t>
            </w:r>
          </w:p>
        </w:tc>
        <w:tc>
          <w:tcPr>
            <w:tcW w:w="2969" w:type="pct"/>
            <w:noWrap w:val="0"/>
            <w:vAlign w:val="center"/>
          </w:tcPr>
          <w:p w14:paraId="6BB6EBBE">
            <w:pPr>
              <w:pStyle w:val="21"/>
              <w:widowControl w:val="0"/>
              <w:spacing w:before="0" w:beforeAutospacing="0" w:after="0" w:afterAutospacing="0" w:line="440" w:lineRule="exact"/>
              <w:jc w:val="left"/>
              <w:rPr>
                <w:rFonts w:hint="eastAsia" w:ascii="宋体" w:hAnsi="宋体" w:eastAsia="宋体" w:cs="宋体"/>
                <w:b w:val="0"/>
                <w:bCs w:val="0"/>
                <w:sz w:val="24"/>
                <w:szCs w:val="24"/>
              </w:rPr>
            </w:pPr>
            <w:r>
              <w:rPr>
                <w:rFonts w:hint="eastAsia" w:ascii="宋体" w:hAnsi="宋体" w:eastAsia="宋体" w:cs="宋体"/>
                <w:b w:val="0"/>
                <w:bCs w:val="0"/>
                <w:sz w:val="24"/>
                <w:szCs w:val="24"/>
              </w:rPr>
              <w:t>作为评分项，详见“第四章评标方法和标准”中评分细则。</w:t>
            </w:r>
          </w:p>
        </w:tc>
      </w:tr>
      <w:tr w14:paraId="049FA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9" w:type="pct"/>
            <w:noWrap w:val="0"/>
            <w:vAlign w:val="center"/>
          </w:tcPr>
          <w:p w14:paraId="7FD2FA77">
            <w:pPr>
              <w:pStyle w:val="13"/>
              <w:spacing w:line="440" w:lineRule="exact"/>
              <w:ind w:left="0" w:firstLine="0" w:firstLineChars="0"/>
              <w:jc w:val="center"/>
              <w:rPr>
                <w:rFonts w:hint="eastAsia" w:ascii="宋体" w:hAnsi="宋体" w:eastAsia="宋体" w:cs="宋体"/>
                <w:sz w:val="24"/>
                <w:szCs w:val="24"/>
              </w:rPr>
            </w:pPr>
            <w:r>
              <w:rPr>
                <w:rFonts w:hint="eastAsia" w:ascii="宋体" w:hAnsi="宋体" w:eastAsia="宋体" w:cs="宋体"/>
                <w:sz w:val="24"/>
                <w:szCs w:val="24"/>
              </w:rPr>
              <w:t>其他要求</w:t>
            </w:r>
          </w:p>
        </w:tc>
        <w:tc>
          <w:tcPr>
            <w:tcW w:w="920" w:type="pct"/>
            <w:noWrap w:val="0"/>
            <w:vAlign w:val="center"/>
          </w:tcPr>
          <w:p w14:paraId="21A23EE4">
            <w:pPr>
              <w:pStyle w:val="13"/>
              <w:spacing w:line="440" w:lineRule="exact"/>
              <w:ind w:left="0" w:firstLine="0" w:firstLineChars="0"/>
              <w:jc w:val="center"/>
              <w:rPr>
                <w:rFonts w:hint="eastAsia" w:ascii="宋体" w:hAnsi="宋体" w:eastAsia="宋体" w:cs="宋体"/>
                <w:sz w:val="24"/>
                <w:szCs w:val="24"/>
              </w:rPr>
            </w:pPr>
            <w:r>
              <w:rPr>
                <w:rFonts w:hint="eastAsia" w:ascii="宋体" w:hAnsi="宋体" w:eastAsia="宋体" w:cs="宋体"/>
                <w:sz w:val="24"/>
                <w:szCs w:val="24"/>
              </w:rPr>
              <w:t>无</w:t>
            </w:r>
          </w:p>
        </w:tc>
        <w:tc>
          <w:tcPr>
            <w:tcW w:w="2969" w:type="pct"/>
            <w:noWrap w:val="0"/>
            <w:vAlign w:val="center"/>
          </w:tcPr>
          <w:p w14:paraId="5DE9DFED">
            <w:pPr>
              <w:pStyle w:val="21"/>
              <w:widowControl w:val="0"/>
              <w:spacing w:before="0" w:beforeAutospacing="0" w:after="0" w:afterAutospacing="0" w:line="440" w:lineRule="exact"/>
              <w:jc w:val="left"/>
              <w:rPr>
                <w:rFonts w:hint="eastAsia" w:ascii="宋体" w:hAnsi="宋体" w:eastAsia="宋体" w:cs="宋体"/>
                <w:b w:val="0"/>
                <w:bCs w:val="0"/>
                <w:sz w:val="24"/>
                <w:szCs w:val="24"/>
              </w:rPr>
            </w:pPr>
            <w:r>
              <w:rPr>
                <w:rFonts w:hint="eastAsia" w:ascii="宋体" w:hAnsi="宋体" w:eastAsia="宋体" w:cs="宋体"/>
                <w:b w:val="0"/>
                <w:bCs w:val="0"/>
                <w:sz w:val="24"/>
                <w:szCs w:val="24"/>
              </w:rPr>
              <w:t>作为基础指标，五项以上（不含五项）不满足或未响应，将导致</w:t>
            </w:r>
            <w:r>
              <w:rPr>
                <w:rFonts w:hint="eastAsia" w:ascii="宋体" w:hAnsi="宋体" w:eastAsia="宋体" w:cs="宋体"/>
                <w:sz w:val="24"/>
                <w:szCs w:val="24"/>
              </w:rPr>
              <w:t>投标无效</w:t>
            </w:r>
            <w:r>
              <w:rPr>
                <w:rFonts w:hint="eastAsia" w:ascii="宋体" w:hAnsi="宋体" w:eastAsia="宋体" w:cs="宋体"/>
                <w:b w:val="0"/>
                <w:bCs w:val="0"/>
                <w:sz w:val="24"/>
                <w:szCs w:val="24"/>
              </w:rPr>
              <w:t>。</w:t>
            </w:r>
          </w:p>
        </w:tc>
      </w:tr>
    </w:tbl>
    <w:p w14:paraId="0B101D37">
      <w:pPr>
        <w:pStyle w:val="13"/>
        <w:spacing w:line="360" w:lineRule="auto"/>
        <w:ind w:left="0" w:firstLine="482"/>
        <w:rPr>
          <w:rFonts w:hint="eastAsia" w:ascii="宋体" w:hAnsi="宋体" w:eastAsia="宋体" w:cs="宋体"/>
          <w:b/>
          <w:bCs/>
          <w:sz w:val="24"/>
          <w:szCs w:val="24"/>
        </w:rPr>
      </w:pPr>
    </w:p>
    <w:p w14:paraId="2ED9CFF3">
      <w:pPr>
        <w:pStyle w:val="13"/>
        <w:spacing w:line="360" w:lineRule="auto"/>
        <w:ind w:left="0" w:firstLine="482"/>
        <w:rPr>
          <w:rFonts w:hint="eastAsia" w:ascii="宋体" w:hAnsi="宋体" w:eastAsia="宋体" w:cs="宋体"/>
          <w:b/>
          <w:bCs/>
          <w:sz w:val="24"/>
          <w:szCs w:val="24"/>
        </w:rPr>
      </w:pPr>
      <w:r>
        <w:rPr>
          <w:rFonts w:hint="eastAsia" w:ascii="宋体" w:hAnsi="宋体" w:eastAsia="宋体" w:cs="宋体"/>
          <w:b/>
          <w:bCs/>
          <w:sz w:val="24"/>
          <w:szCs w:val="24"/>
        </w:rPr>
        <w:t>（二）货物需求清单</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1"/>
        <w:gridCol w:w="893"/>
        <w:gridCol w:w="4232"/>
        <w:gridCol w:w="542"/>
        <w:gridCol w:w="476"/>
        <w:gridCol w:w="692"/>
        <w:gridCol w:w="1123"/>
      </w:tblGrid>
      <w:tr w14:paraId="2CB7E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329" w:type="pct"/>
            <w:noWrap w:val="0"/>
            <w:vAlign w:val="center"/>
          </w:tcPr>
          <w:p w14:paraId="028DFA96">
            <w:pPr>
              <w:jc w:val="center"/>
              <w:rPr>
                <w:rFonts w:hint="eastAsia" w:ascii="宋体" w:hAnsi="宋体" w:eastAsia="宋体" w:cs="宋体"/>
                <w:b/>
                <w:bCs/>
                <w:sz w:val="24"/>
                <w:szCs w:val="24"/>
              </w:rPr>
            </w:pPr>
            <w:r>
              <w:rPr>
                <w:rFonts w:hint="eastAsia" w:ascii="宋体" w:hAnsi="宋体" w:eastAsia="宋体" w:cs="宋体"/>
                <w:b/>
                <w:bCs/>
                <w:sz w:val="24"/>
                <w:szCs w:val="18"/>
              </w:rPr>
              <w:t>序号</w:t>
            </w:r>
          </w:p>
        </w:tc>
        <w:tc>
          <w:tcPr>
            <w:tcW w:w="524" w:type="pct"/>
            <w:noWrap w:val="0"/>
            <w:vAlign w:val="center"/>
          </w:tcPr>
          <w:p w14:paraId="6F113CFC">
            <w:pPr>
              <w:jc w:val="center"/>
              <w:rPr>
                <w:rFonts w:hint="eastAsia" w:ascii="宋体" w:hAnsi="宋体" w:eastAsia="宋体" w:cs="宋体"/>
                <w:b/>
                <w:bCs/>
                <w:sz w:val="24"/>
                <w:szCs w:val="24"/>
              </w:rPr>
            </w:pPr>
            <w:r>
              <w:rPr>
                <w:rFonts w:hint="eastAsia" w:ascii="宋体" w:hAnsi="宋体" w:eastAsia="宋体" w:cs="宋体"/>
                <w:b/>
                <w:bCs/>
                <w:sz w:val="24"/>
                <w:szCs w:val="18"/>
              </w:rPr>
              <w:t>货物名称</w:t>
            </w:r>
          </w:p>
        </w:tc>
        <w:tc>
          <w:tcPr>
            <w:tcW w:w="2483" w:type="pct"/>
            <w:noWrap w:val="0"/>
            <w:vAlign w:val="center"/>
          </w:tcPr>
          <w:p w14:paraId="7D5874BB">
            <w:pPr>
              <w:jc w:val="center"/>
              <w:rPr>
                <w:rFonts w:hint="eastAsia" w:ascii="宋体" w:hAnsi="宋体" w:eastAsia="宋体" w:cs="宋体"/>
                <w:b/>
                <w:bCs/>
                <w:sz w:val="24"/>
                <w:szCs w:val="24"/>
              </w:rPr>
            </w:pPr>
            <w:r>
              <w:rPr>
                <w:rFonts w:hint="eastAsia" w:ascii="宋体" w:hAnsi="宋体" w:eastAsia="宋体" w:cs="宋体"/>
                <w:b/>
                <w:bCs/>
                <w:sz w:val="24"/>
                <w:szCs w:val="18"/>
              </w:rPr>
              <w:t>技术参数及要求</w:t>
            </w:r>
          </w:p>
        </w:tc>
        <w:tc>
          <w:tcPr>
            <w:tcW w:w="318" w:type="pct"/>
            <w:noWrap w:val="0"/>
            <w:vAlign w:val="center"/>
          </w:tcPr>
          <w:p w14:paraId="39677D22">
            <w:pPr>
              <w:jc w:val="center"/>
              <w:rPr>
                <w:rFonts w:hint="eastAsia" w:ascii="宋体" w:hAnsi="宋体" w:eastAsia="宋体" w:cs="宋体"/>
                <w:b/>
                <w:bCs/>
                <w:sz w:val="24"/>
                <w:szCs w:val="24"/>
              </w:rPr>
            </w:pPr>
            <w:r>
              <w:rPr>
                <w:rFonts w:hint="eastAsia" w:ascii="宋体" w:hAnsi="宋体" w:eastAsia="宋体" w:cs="宋体"/>
                <w:b/>
                <w:bCs/>
                <w:sz w:val="24"/>
                <w:szCs w:val="18"/>
              </w:rPr>
              <w:t>数量</w:t>
            </w:r>
          </w:p>
        </w:tc>
        <w:tc>
          <w:tcPr>
            <w:tcW w:w="279" w:type="pct"/>
            <w:noWrap w:val="0"/>
            <w:vAlign w:val="center"/>
          </w:tcPr>
          <w:p w14:paraId="796263BB">
            <w:pPr>
              <w:jc w:val="center"/>
              <w:rPr>
                <w:rFonts w:hint="eastAsia" w:ascii="宋体" w:hAnsi="宋体" w:eastAsia="宋体" w:cs="宋体"/>
                <w:b/>
                <w:bCs/>
                <w:sz w:val="24"/>
                <w:szCs w:val="18"/>
              </w:rPr>
            </w:pPr>
            <w:r>
              <w:rPr>
                <w:rFonts w:hint="eastAsia" w:ascii="宋体" w:hAnsi="宋体" w:eastAsia="宋体" w:cs="宋体"/>
                <w:b/>
                <w:bCs/>
                <w:sz w:val="24"/>
                <w:szCs w:val="18"/>
              </w:rPr>
              <w:t>单位</w:t>
            </w:r>
          </w:p>
        </w:tc>
        <w:tc>
          <w:tcPr>
            <w:tcW w:w="406" w:type="pct"/>
            <w:noWrap w:val="0"/>
            <w:vAlign w:val="center"/>
          </w:tcPr>
          <w:p w14:paraId="75ABA11B">
            <w:pPr>
              <w:jc w:val="center"/>
              <w:rPr>
                <w:rFonts w:hint="eastAsia" w:ascii="宋体" w:hAnsi="宋体" w:eastAsia="宋体" w:cs="宋体"/>
                <w:b/>
                <w:bCs/>
                <w:sz w:val="24"/>
                <w:szCs w:val="24"/>
              </w:rPr>
            </w:pPr>
            <w:r>
              <w:rPr>
                <w:rFonts w:hint="eastAsia" w:ascii="宋体" w:hAnsi="宋体" w:eastAsia="宋体" w:cs="宋体"/>
                <w:b/>
                <w:bCs/>
                <w:sz w:val="24"/>
                <w:szCs w:val="18"/>
              </w:rPr>
              <w:t>所属行业</w:t>
            </w:r>
          </w:p>
        </w:tc>
        <w:tc>
          <w:tcPr>
            <w:tcW w:w="659" w:type="pct"/>
            <w:noWrap w:val="0"/>
            <w:vAlign w:val="center"/>
          </w:tcPr>
          <w:p w14:paraId="25C270EB">
            <w:pPr>
              <w:jc w:val="center"/>
              <w:rPr>
                <w:rFonts w:hint="eastAsia" w:ascii="宋体" w:hAnsi="宋体" w:eastAsia="宋体" w:cs="宋体"/>
                <w:b/>
                <w:bCs/>
                <w:sz w:val="24"/>
                <w:szCs w:val="24"/>
              </w:rPr>
            </w:pPr>
            <w:r>
              <w:rPr>
                <w:rFonts w:hint="eastAsia" w:ascii="宋体" w:hAnsi="宋体" w:eastAsia="宋体" w:cs="宋体"/>
                <w:b/>
                <w:bCs/>
                <w:sz w:val="24"/>
                <w:szCs w:val="18"/>
              </w:rPr>
              <w:t>备注（进口或强制节能）</w:t>
            </w:r>
          </w:p>
        </w:tc>
      </w:tr>
      <w:tr w14:paraId="595B0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329" w:type="pct"/>
            <w:noWrap w:val="0"/>
            <w:vAlign w:val="center"/>
          </w:tcPr>
          <w:p w14:paraId="105503C5">
            <w:pPr>
              <w:jc w:val="center"/>
              <w:rPr>
                <w:rFonts w:hint="eastAsia" w:ascii="宋体" w:hAnsi="宋体" w:eastAsia="宋体" w:cs="宋体"/>
                <w:szCs w:val="21"/>
              </w:rPr>
            </w:pPr>
            <w:r>
              <w:rPr>
                <w:rFonts w:hint="eastAsia" w:ascii="宋体" w:hAnsi="宋体" w:eastAsia="宋体" w:cs="宋体"/>
                <w:szCs w:val="21"/>
              </w:rPr>
              <w:t>1</w:t>
            </w:r>
          </w:p>
        </w:tc>
        <w:tc>
          <w:tcPr>
            <w:tcW w:w="524" w:type="pct"/>
            <w:noWrap w:val="0"/>
            <w:vAlign w:val="center"/>
          </w:tcPr>
          <w:p w14:paraId="2D33B81E">
            <w:pPr>
              <w:autoSpaceDE w:val="0"/>
              <w:autoSpaceDN w:val="0"/>
              <w:adjustRightInd w:val="0"/>
              <w:jc w:val="center"/>
              <w:rPr>
                <w:rFonts w:hint="eastAsia" w:ascii="宋体" w:hAnsi="宋体" w:eastAsia="宋体" w:cs="宋体"/>
                <w:bCs/>
                <w:szCs w:val="21"/>
              </w:rPr>
            </w:pPr>
            <w:r>
              <w:rPr>
                <w:rFonts w:hint="eastAsia" w:ascii="宋体" w:hAnsi="宋体" w:eastAsia="宋体" w:cs="宋体"/>
                <w:szCs w:val="21"/>
              </w:rPr>
              <w:t>▲稳态瞬态近红外二区光谱测试系统</w:t>
            </w:r>
          </w:p>
        </w:tc>
        <w:tc>
          <w:tcPr>
            <w:tcW w:w="2483" w:type="pct"/>
            <w:noWrap w:val="0"/>
            <w:vAlign w:val="center"/>
          </w:tcPr>
          <w:p w14:paraId="14C5D384">
            <w:pPr>
              <w:pStyle w:val="26"/>
              <w:tabs>
                <w:tab w:val="left" w:pos="851"/>
              </w:tabs>
              <w:ind w:left="0"/>
              <w:jc w:val="left"/>
              <w:rPr>
                <w:rFonts w:hint="eastAsia" w:ascii="宋体" w:hAnsi="宋体" w:eastAsia="宋体" w:cs="宋体"/>
                <w:szCs w:val="21"/>
              </w:rPr>
            </w:pPr>
            <w:r>
              <w:rPr>
                <w:rFonts w:hint="eastAsia" w:ascii="宋体" w:hAnsi="宋体" w:eastAsia="宋体" w:cs="宋体"/>
                <w:szCs w:val="21"/>
              </w:rPr>
              <w:t>1.光学系统结构：L型；</w:t>
            </w:r>
          </w:p>
          <w:p w14:paraId="73A06211">
            <w:pPr>
              <w:pStyle w:val="26"/>
              <w:tabs>
                <w:tab w:val="left" w:pos="851"/>
              </w:tabs>
              <w:ind w:left="0"/>
              <w:jc w:val="left"/>
              <w:rPr>
                <w:rFonts w:hint="eastAsia" w:ascii="宋体" w:hAnsi="宋体" w:eastAsia="宋体" w:cs="宋体"/>
                <w:b/>
                <w:bCs/>
                <w:szCs w:val="21"/>
              </w:rPr>
            </w:pPr>
            <w:r>
              <w:rPr>
                <w:rFonts w:hint="eastAsia" w:ascii="宋体" w:hAnsi="宋体" w:eastAsia="宋体" w:cs="宋体"/>
                <w:b/>
                <w:bCs/>
                <w:szCs w:val="21"/>
              </w:rPr>
              <w:t>★2.光谱范围：230-1700nm；（投标文件中提供检测报告、官网截图、彩页、照片等任意一种或多种形式均可）</w:t>
            </w:r>
          </w:p>
          <w:p w14:paraId="35167B70">
            <w:pPr>
              <w:pStyle w:val="26"/>
              <w:tabs>
                <w:tab w:val="left" w:pos="851"/>
              </w:tabs>
              <w:ind w:left="0"/>
              <w:jc w:val="left"/>
              <w:rPr>
                <w:rFonts w:hint="eastAsia" w:ascii="宋体" w:hAnsi="宋体" w:eastAsia="宋体" w:cs="宋体"/>
                <w:szCs w:val="21"/>
                <w:lang w:val="en-GB"/>
              </w:rPr>
            </w:pPr>
            <w:r>
              <w:rPr>
                <w:rFonts w:hint="eastAsia" w:ascii="宋体" w:hAnsi="宋体" w:eastAsia="宋体" w:cs="宋体"/>
                <w:szCs w:val="21"/>
              </w:rPr>
              <w:t>3.光源</w:t>
            </w:r>
            <w:r>
              <w:rPr>
                <w:rFonts w:hint="eastAsia" w:ascii="宋体" w:hAnsi="宋体" w:eastAsia="宋体" w:cs="宋体"/>
                <w:szCs w:val="21"/>
                <w:lang w:val="en-GB"/>
              </w:rPr>
              <w:t>：</w:t>
            </w:r>
          </w:p>
          <w:p w14:paraId="7F98792E">
            <w:pPr>
              <w:pStyle w:val="26"/>
              <w:tabs>
                <w:tab w:val="left" w:pos="851"/>
              </w:tabs>
              <w:ind w:left="0"/>
              <w:jc w:val="left"/>
              <w:rPr>
                <w:rFonts w:hint="eastAsia" w:ascii="宋体" w:hAnsi="宋体" w:eastAsia="宋体" w:cs="宋体"/>
                <w:szCs w:val="21"/>
                <w:lang w:val="en-GB"/>
              </w:rPr>
            </w:pPr>
            <w:r>
              <w:rPr>
                <w:rFonts w:hint="eastAsia" w:ascii="宋体" w:hAnsi="宋体" w:eastAsia="宋体" w:cs="宋体"/>
                <w:b/>
                <w:szCs w:val="21"/>
              </w:rPr>
              <w:t xml:space="preserve">●3.1  </w:t>
            </w:r>
            <w:r>
              <w:rPr>
                <w:rFonts w:hint="eastAsia" w:ascii="宋体" w:hAnsi="宋体" w:eastAsia="宋体" w:cs="宋体"/>
                <w:b/>
                <w:szCs w:val="21"/>
                <w:lang w:val="en-GB"/>
              </w:rPr>
              <w:t>450W除臭氧氙灯（集成式电源），可以显示功率、电压、电流和使用时间；（</w:t>
            </w:r>
            <w:r>
              <w:rPr>
                <w:rFonts w:hint="eastAsia" w:ascii="宋体" w:hAnsi="宋体" w:eastAsia="宋体" w:cs="宋体"/>
                <w:b/>
                <w:bCs/>
                <w:szCs w:val="21"/>
              </w:rPr>
              <w:t>投标文件中</w:t>
            </w:r>
            <w:r>
              <w:rPr>
                <w:rFonts w:hint="eastAsia" w:ascii="宋体" w:hAnsi="宋体" w:eastAsia="宋体" w:cs="宋体"/>
                <w:b/>
                <w:szCs w:val="21"/>
                <w:lang w:val="en-GB"/>
              </w:rPr>
              <w:t>提供实物照片或软件截图）</w:t>
            </w:r>
          </w:p>
          <w:p w14:paraId="44BEBB69">
            <w:pPr>
              <w:pStyle w:val="26"/>
              <w:tabs>
                <w:tab w:val="left" w:pos="851"/>
              </w:tabs>
              <w:ind w:left="0"/>
              <w:jc w:val="left"/>
              <w:rPr>
                <w:rFonts w:hint="eastAsia" w:ascii="宋体" w:hAnsi="宋体" w:eastAsia="宋体" w:cs="宋体"/>
                <w:szCs w:val="21"/>
                <w:lang w:val="en-GB"/>
              </w:rPr>
            </w:pPr>
            <w:r>
              <w:rPr>
                <w:rFonts w:hint="eastAsia" w:ascii="宋体" w:hAnsi="宋体" w:eastAsia="宋体" w:cs="宋体"/>
                <w:szCs w:val="21"/>
                <w:lang w:val="en-GB"/>
              </w:rPr>
              <w:t>3.2高能量脉冲氙灯，光谱脉宽1.5到2.5µs，平均能量为60W，重复频率：0.1-100Hz；</w:t>
            </w:r>
          </w:p>
          <w:p w14:paraId="2C1B7351">
            <w:pPr>
              <w:pStyle w:val="26"/>
              <w:tabs>
                <w:tab w:val="left" w:pos="851"/>
              </w:tabs>
              <w:ind w:left="0"/>
              <w:jc w:val="left"/>
              <w:rPr>
                <w:rFonts w:hint="eastAsia" w:ascii="宋体" w:hAnsi="宋体" w:eastAsia="宋体" w:cs="宋体"/>
                <w:b/>
                <w:szCs w:val="21"/>
              </w:rPr>
            </w:pPr>
            <w:r>
              <w:rPr>
                <w:rFonts w:hint="eastAsia" w:ascii="宋体" w:hAnsi="宋体" w:eastAsia="宋体" w:cs="宋体"/>
                <w:b/>
                <w:bCs/>
                <w:szCs w:val="21"/>
              </w:rPr>
              <w:t>●</w:t>
            </w:r>
            <w:r>
              <w:rPr>
                <w:rFonts w:hint="eastAsia" w:ascii="宋体" w:hAnsi="宋体" w:eastAsia="宋体" w:cs="宋体"/>
                <w:b/>
                <w:szCs w:val="21"/>
                <w:lang w:val="en-GB"/>
              </w:rPr>
              <w:t>3.3</w:t>
            </w:r>
            <w:r>
              <w:rPr>
                <w:rFonts w:hint="eastAsia" w:ascii="宋体" w:hAnsi="宋体" w:eastAsia="宋体" w:cs="宋体"/>
                <w:b/>
                <w:szCs w:val="21"/>
              </w:rPr>
              <w:t>无需风扇制冷，避免额外的震动和吸入灰尘对仪器的影响；</w:t>
            </w:r>
            <w:r>
              <w:rPr>
                <w:rFonts w:hint="eastAsia" w:ascii="宋体" w:hAnsi="宋体" w:eastAsia="宋体" w:cs="宋体"/>
                <w:b/>
                <w:bCs/>
                <w:szCs w:val="21"/>
              </w:rPr>
              <w:t>（投标文件中提供实物照片）</w:t>
            </w:r>
          </w:p>
          <w:p w14:paraId="1AE1ED79">
            <w:pPr>
              <w:pStyle w:val="26"/>
              <w:tabs>
                <w:tab w:val="left" w:pos="851"/>
              </w:tabs>
              <w:ind w:left="0"/>
              <w:jc w:val="left"/>
              <w:rPr>
                <w:rFonts w:hint="eastAsia" w:ascii="宋体" w:hAnsi="宋体" w:eastAsia="宋体" w:cs="宋体"/>
                <w:b/>
                <w:bCs/>
                <w:szCs w:val="21"/>
              </w:rPr>
            </w:pPr>
            <w:r>
              <w:rPr>
                <w:rFonts w:hint="eastAsia" w:ascii="宋体" w:hAnsi="宋体" w:eastAsia="宋体" w:cs="宋体"/>
                <w:b/>
                <w:bCs/>
                <w:szCs w:val="21"/>
              </w:rPr>
              <w:t>★4.标准信噪比：≥20,000:1，水拉曼峰测试，激发波长350nm，狭缝5nm，积分时间1s。可以根据需要波长区域单独优化信噪比；（投标文件中提供检测报告、官网截图、彩页、照片等任意一种或多种形式均可）</w:t>
            </w:r>
          </w:p>
          <w:p w14:paraId="1F14F932">
            <w:pPr>
              <w:pStyle w:val="26"/>
              <w:ind w:left="0"/>
              <w:jc w:val="left"/>
              <w:rPr>
                <w:rFonts w:hint="eastAsia" w:ascii="宋体" w:hAnsi="宋体" w:eastAsia="宋体" w:cs="宋体"/>
                <w:szCs w:val="21"/>
              </w:rPr>
            </w:pPr>
            <w:r>
              <w:rPr>
                <w:rFonts w:hint="eastAsia" w:ascii="宋体" w:hAnsi="宋体" w:eastAsia="宋体" w:cs="宋体"/>
                <w:szCs w:val="21"/>
              </w:rPr>
              <w:t>5.激发单色器及发射单色器：</w:t>
            </w:r>
          </w:p>
          <w:p w14:paraId="5DC0284A">
            <w:pPr>
              <w:pStyle w:val="26"/>
              <w:ind w:left="0"/>
              <w:jc w:val="left"/>
              <w:rPr>
                <w:rFonts w:hint="eastAsia" w:ascii="宋体" w:hAnsi="宋体" w:eastAsia="宋体" w:cs="宋体"/>
                <w:szCs w:val="21"/>
              </w:rPr>
            </w:pPr>
            <w:r>
              <w:rPr>
                <w:rFonts w:hint="eastAsia" w:ascii="宋体" w:hAnsi="宋体" w:eastAsia="宋体" w:cs="宋体"/>
                <w:szCs w:val="21"/>
              </w:rPr>
              <w:t>5.1类型：对称型Czerny-Turner；</w:t>
            </w:r>
          </w:p>
          <w:p w14:paraId="11D00127">
            <w:pPr>
              <w:pStyle w:val="26"/>
              <w:ind w:left="0"/>
              <w:jc w:val="left"/>
              <w:rPr>
                <w:rFonts w:hint="eastAsia" w:ascii="宋体" w:hAnsi="宋体" w:eastAsia="宋体" w:cs="宋体"/>
                <w:szCs w:val="21"/>
              </w:rPr>
            </w:pPr>
            <w:r>
              <w:rPr>
                <w:rFonts w:hint="eastAsia" w:ascii="宋体" w:hAnsi="宋体" w:eastAsia="宋体" w:cs="宋体"/>
                <w:szCs w:val="21"/>
              </w:rPr>
              <w:t>5.2三光栅塔轮结构，全软件控制转动；</w:t>
            </w:r>
          </w:p>
          <w:p w14:paraId="2538CAAB">
            <w:pPr>
              <w:pStyle w:val="26"/>
              <w:ind w:left="0"/>
              <w:jc w:val="left"/>
              <w:rPr>
                <w:rFonts w:hint="eastAsia" w:ascii="宋体" w:hAnsi="宋体" w:eastAsia="宋体" w:cs="宋体"/>
                <w:szCs w:val="21"/>
              </w:rPr>
            </w:pPr>
            <w:r>
              <w:rPr>
                <w:rFonts w:hint="eastAsia" w:ascii="宋体" w:hAnsi="宋体" w:eastAsia="宋体" w:cs="宋体"/>
                <w:szCs w:val="21"/>
              </w:rPr>
              <w:t>5.3焦距：≥325mm；</w:t>
            </w:r>
          </w:p>
          <w:p w14:paraId="53C362E9">
            <w:pPr>
              <w:pStyle w:val="26"/>
              <w:ind w:left="0"/>
              <w:jc w:val="left"/>
              <w:rPr>
                <w:rFonts w:hint="eastAsia" w:ascii="宋体" w:hAnsi="宋体" w:eastAsia="宋体" w:cs="宋体"/>
                <w:szCs w:val="21"/>
              </w:rPr>
            </w:pPr>
            <w:r>
              <w:rPr>
                <w:rFonts w:hint="eastAsia" w:ascii="宋体" w:hAnsi="宋体" w:eastAsia="宋体" w:cs="宋体"/>
                <w:szCs w:val="21"/>
              </w:rPr>
              <w:t>5.4最小步进：≤0.01nm；</w:t>
            </w:r>
          </w:p>
          <w:p w14:paraId="7751B4CD">
            <w:pPr>
              <w:pStyle w:val="26"/>
              <w:ind w:left="0"/>
              <w:jc w:val="left"/>
              <w:rPr>
                <w:rFonts w:hint="eastAsia" w:ascii="宋体" w:hAnsi="宋体" w:eastAsia="宋体" w:cs="宋体"/>
                <w:szCs w:val="21"/>
              </w:rPr>
            </w:pPr>
            <w:r>
              <w:rPr>
                <w:rFonts w:hint="eastAsia" w:ascii="宋体" w:hAnsi="宋体" w:eastAsia="宋体" w:cs="宋体"/>
                <w:b/>
                <w:szCs w:val="21"/>
              </w:rPr>
              <w:t>●5.5单色器中内置电动滤光片消除高级衍射光；（</w:t>
            </w:r>
            <w:r>
              <w:rPr>
                <w:rFonts w:hint="eastAsia" w:ascii="宋体" w:hAnsi="宋体" w:eastAsia="宋体" w:cs="宋体"/>
                <w:b/>
                <w:bCs/>
                <w:szCs w:val="21"/>
              </w:rPr>
              <w:t>投标文件中</w:t>
            </w:r>
            <w:r>
              <w:rPr>
                <w:rFonts w:hint="eastAsia" w:ascii="宋体" w:hAnsi="宋体" w:eastAsia="宋体" w:cs="宋体"/>
                <w:b/>
                <w:szCs w:val="21"/>
              </w:rPr>
              <w:t>提供实物照片）</w:t>
            </w:r>
          </w:p>
          <w:p w14:paraId="492B5C41">
            <w:pPr>
              <w:pStyle w:val="26"/>
              <w:ind w:left="0"/>
              <w:jc w:val="left"/>
              <w:rPr>
                <w:rFonts w:hint="eastAsia" w:ascii="宋体" w:hAnsi="宋体" w:eastAsia="宋体" w:cs="宋体"/>
                <w:szCs w:val="21"/>
              </w:rPr>
            </w:pPr>
            <w:r>
              <w:rPr>
                <w:rFonts w:hint="eastAsia" w:ascii="宋体" w:hAnsi="宋体" w:eastAsia="宋体" w:cs="宋体"/>
                <w:szCs w:val="21"/>
              </w:rPr>
              <w:t>5.6波长准确度：±0.1nm；</w:t>
            </w:r>
          </w:p>
          <w:p w14:paraId="51FF102E">
            <w:pPr>
              <w:jc w:val="left"/>
              <w:rPr>
                <w:rFonts w:hint="eastAsia" w:ascii="宋体" w:hAnsi="宋体" w:eastAsia="宋体" w:cs="宋体"/>
                <w:szCs w:val="21"/>
              </w:rPr>
            </w:pPr>
            <w:r>
              <w:rPr>
                <w:rFonts w:hint="eastAsia" w:ascii="宋体" w:hAnsi="宋体" w:eastAsia="宋体" w:cs="宋体"/>
                <w:szCs w:val="21"/>
              </w:rPr>
              <w:t>6.紫外可见检测器：</w:t>
            </w:r>
          </w:p>
          <w:p w14:paraId="2ADB53F6">
            <w:pPr>
              <w:jc w:val="left"/>
              <w:rPr>
                <w:rFonts w:hint="eastAsia" w:ascii="宋体" w:hAnsi="宋体" w:eastAsia="宋体" w:cs="宋体"/>
                <w:szCs w:val="21"/>
              </w:rPr>
            </w:pPr>
            <w:r>
              <w:rPr>
                <w:rFonts w:hint="eastAsia" w:ascii="宋体" w:hAnsi="宋体" w:eastAsia="宋体" w:cs="宋体"/>
                <w:szCs w:val="21"/>
              </w:rPr>
              <w:t>6.1标配红敏光电倍增管；</w:t>
            </w:r>
          </w:p>
          <w:p w14:paraId="38966A31">
            <w:pPr>
              <w:jc w:val="left"/>
              <w:rPr>
                <w:rFonts w:hint="eastAsia" w:ascii="宋体" w:hAnsi="宋体" w:eastAsia="宋体" w:cs="宋体"/>
                <w:szCs w:val="21"/>
              </w:rPr>
            </w:pPr>
            <w:r>
              <w:rPr>
                <w:rFonts w:hint="eastAsia" w:ascii="宋体" w:hAnsi="宋体" w:eastAsia="宋体" w:cs="宋体"/>
                <w:szCs w:val="21"/>
              </w:rPr>
              <w:t>6.2半导体制冷模块，工作温度-20℃；</w:t>
            </w:r>
          </w:p>
          <w:p w14:paraId="7C14A554">
            <w:pPr>
              <w:pStyle w:val="26"/>
              <w:tabs>
                <w:tab w:val="left" w:pos="851"/>
              </w:tabs>
              <w:ind w:left="0"/>
              <w:jc w:val="left"/>
              <w:rPr>
                <w:rFonts w:hint="eastAsia" w:ascii="宋体" w:hAnsi="宋体" w:eastAsia="宋体" w:cs="宋体"/>
                <w:b/>
                <w:bCs/>
                <w:szCs w:val="21"/>
              </w:rPr>
            </w:pPr>
            <w:r>
              <w:rPr>
                <w:rFonts w:hint="eastAsia" w:ascii="宋体" w:hAnsi="宋体" w:eastAsia="宋体" w:cs="宋体"/>
                <w:b/>
                <w:bCs/>
                <w:szCs w:val="21"/>
              </w:rPr>
              <w:t>★6.3暗噪声：&lt;100cps(-20℃)；（投标文件中提供检测报告、官网截图、彩页、照片等任意一种或多种形式均可）</w:t>
            </w:r>
          </w:p>
          <w:p w14:paraId="4D287B98">
            <w:pPr>
              <w:jc w:val="left"/>
              <w:rPr>
                <w:rFonts w:hint="eastAsia" w:ascii="宋体" w:hAnsi="宋体" w:eastAsia="宋体" w:cs="宋体"/>
                <w:b/>
                <w:szCs w:val="21"/>
              </w:rPr>
            </w:pPr>
            <w:r>
              <w:rPr>
                <w:rFonts w:hint="eastAsia" w:ascii="宋体" w:hAnsi="宋体" w:eastAsia="宋体" w:cs="宋体"/>
                <w:b/>
                <w:bCs/>
                <w:szCs w:val="21"/>
              </w:rPr>
              <w:t>●6.4光谱范围：185~900nm。（投标文件中提供实物照片或软件截图）</w:t>
            </w:r>
          </w:p>
          <w:p w14:paraId="0A5D6D6A">
            <w:pPr>
              <w:jc w:val="left"/>
              <w:rPr>
                <w:rFonts w:hint="eastAsia" w:ascii="宋体" w:hAnsi="宋体" w:eastAsia="宋体" w:cs="宋体"/>
                <w:szCs w:val="21"/>
              </w:rPr>
            </w:pPr>
            <w:r>
              <w:rPr>
                <w:rFonts w:hint="eastAsia" w:ascii="宋体" w:hAnsi="宋体" w:eastAsia="宋体" w:cs="宋体"/>
                <w:szCs w:val="21"/>
              </w:rPr>
              <w:t>7.近红外检测器（R5509）：</w:t>
            </w:r>
          </w:p>
          <w:p w14:paraId="4C587255">
            <w:pPr>
              <w:jc w:val="left"/>
              <w:rPr>
                <w:rFonts w:hint="eastAsia" w:ascii="宋体" w:hAnsi="宋体" w:eastAsia="宋体" w:cs="宋体"/>
                <w:szCs w:val="21"/>
              </w:rPr>
            </w:pPr>
            <w:r>
              <w:rPr>
                <w:rFonts w:hint="eastAsia" w:ascii="宋体" w:hAnsi="宋体" w:eastAsia="宋体" w:cs="宋体"/>
                <w:szCs w:val="21"/>
              </w:rPr>
              <w:t>7.1近红外光电倍增管；</w:t>
            </w:r>
          </w:p>
          <w:p w14:paraId="0E3437BF">
            <w:pPr>
              <w:jc w:val="left"/>
              <w:rPr>
                <w:rFonts w:hint="eastAsia" w:ascii="宋体" w:hAnsi="宋体" w:eastAsia="宋体" w:cs="宋体"/>
                <w:szCs w:val="21"/>
              </w:rPr>
            </w:pPr>
            <w:r>
              <w:rPr>
                <w:rFonts w:hint="eastAsia" w:ascii="宋体" w:hAnsi="宋体" w:eastAsia="宋体" w:cs="宋体"/>
                <w:szCs w:val="21"/>
              </w:rPr>
              <w:t>7.2液氮制冷，工作温度-80℃；</w:t>
            </w:r>
          </w:p>
          <w:p w14:paraId="6FD55EF7">
            <w:pPr>
              <w:jc w:val="left"/>
              <w:rPr>
                <w:rFonts w:hint="eastAsia" w:ascii="宋体" w:hAnsi="宋体" w:eastAsia="宋体" w:cs="宋体"/>
                <w:szCs w:val="21"/>
              </w:rPr>
            </w:pPr>
            <w:r>
              <w:rPr>
                <w:rFonts w:hint="eastAsia" w:ascii="宋体" w:hAnsi="宋体" w:eastAsia="宋体" w:cs="宋体"/>
                <w:szCs w:val="21"/>
              </w:rPr>
              <w:t>7.3暗噪声&lt;70000cps(-80℃)（典型值）；</w:t>
            </w:r>
          </w:p>
          <w:p w14:paraId="2ED4662C">
            <w:pPr>
              <w:jc w:val="left"/>
              <w:rPr>
                <w:rFonts w:hint="eastAsia" w:ascii="宋体" w:hAnsi="宋体" w:eastAsia="宋体" w:cs="宋体"/>
                <w:szCs w:val="21"/>
              </w:rPr>
            </w:pPr>
            <w:r>
              <w:rPr>
                <w:rFonts w:hint="eastAsia" w:ascii="宋体" w:hAnsi="宋体" w:eastAsia="宋体" w:cs="宋体"/>
                <w:szCs w:val="21"/>
              </w:rPr>
              <w:t>7.4光谱范围：300-1700nm；</w:t>
            </w:r>
          </w:p>
          <w:p w14:paraId="0F9F0CAD">
            <w:pPr>
              <w:jc w:val="left"/>
              <w:rPr>
                <w:rFonts w:hint="eastAsia" w:ascii="宋体" w:hAnsi="宋体" w:eastAsia="宋体" w:cs="宋体"/>
                <w:szCs w:val="21"/>
              </w:rPr>
            </w:pPr>
            <w:r>
              <w:rPr>
                <w:rFonts w:hint="eastAsia" w:ascii="宋体" w:hAnsi="宋体" w:eastAsia="宋体" w:cs="宋体"/>
                <w:b/>
                <w:szCs w:val="21"/>
              </w:rPr>
              <w:t>●7.5近红外检测器高压控制系统（</w:t>
            </w:r>
            <w:r>
              <w:rPr>
                <w:rFonts w:hint="eastAsia" w:ascii="宋体" w:hAnsi="宋体" w:eastAsia="宋体" w:cs="宋体"/>
                <w:b/>
                <w:bCs/>
                <w:szCs w:val="21"/>
              </w:rPr>
              <w:t>投标文件中</w:t>
            </w:r>
            <w:r>
              <w:rPr>
                <w:rFonts w:hint="eastAsia" w:ascii="宋体" w:hAnsi="宋体" w:eastAsia="宋体" w:cs="宋体"/>
                <w:b/>
                <w:szCs w:val="21"/>
              </w:rPr>
              <w:t>提供实物照片或软件截图）</w:t>
            </w:r>
            <w:r>
              <w:rPr>
                <w:rFonts w:hint="eastAsia" w:ascii="宋体" w:hAnsi="宋体" w:eastAsia="宋体" w:cs="宋体"/>
                <w:szCs w:val="21"/>
              </w:rPr>
              <w:t>。</w:t>
            </w:r>
          </w:p>
          <w:p w14:paraId="12ECCFB8">
            <w:pPr>
              <w:jc w:val="left"/>
              <w:rPr>
                <w:rFonts w:hint="eastAsia" w:ascii="宋体" w:hAnsi="宋体" w:eastAsia="宋体" w:cs="宋体"/>
                <w:szCs w:val="21"/>
              </w:rPr>
            </w:pPr>
            <w:r>
              <w:rPr>
                <w:rFonts w:hint="eastAsia" w:ascii="宋体" w:hAnsi="宋体" w:eastAsia="宋体" w:cs="宋体"/>
                <w:szCs w:val="21"/>
              </w:rPr>
              <w:t>8.荧光寿命部分：</w:t>
            </w:r>
          </w:p>
          <w:p w14:paraId="2BC85F2B">
            <w:pPr>
              <w:jc w:val="left"/>
              <w:rPr>
                <w:rFonts w:hint="eastAsia" w:ascii="宋体" w:hAnsi="宋体" w:eastAsia="宋体" w:cs="宋体"/>
                <w:szCs w:val="21"/>
              </w:rPr>
            </w:pPr>
            <w:r>
              <w:rPr>
                <w:rFonts w:hint="eastAsia" w:ascii="宋体" w:hAnsi="宋体" w:eastAsia="宋体" w:cs="宋体"/>
                <w:szCs w:val="21"/>
              </w:rPr>
              <w:t>8.1工作原理：时间相关单光子计数（TCSPC）测量；</w:t>
            </w:r>
          </w:p>
          <w:p w14:paraId="60C96C99">
            <w:pPr>
              <w:jc w:val="left"/>
              <w:rPr>
                <w:rFonts w:hint="eastAsia" w:ascii="宋体" w:hAnsi="宋体" w:eastAsia="宋体" w:cs="宋体"/>
                <w:szCs w:val="21"/>
              </w:rPr>
            </w:pPr>
            <w:r>
              <w:rPr>
                <w:rFonts w:hint="eastAsia" w:ascii="宋体" w:hAnsi="宋体" w:eastAsia="宋体" w:cs="宋体"/>
                <w:szCs w:val="21"/>
              </w:rPr>
              <w:t>8.2激发光源：</w:t>
            </w:r>
          </w:p>
          <w:p w14:paraId="75A97AB2">
            <w:pPr>
              <w:jc w:val="left"/>
              <w:rPr>
                <w:rFonts w:hint="eastAsia" w:ascii="宋体" w:hAnsi="宋体" w:eastAsia="宋体" w:cs="宋体"/>
                <w:szCs w:val="21"/>
              </w:rPr>
            </w:pPr>
            <w:r>
              <w:rPr>
                <w:rFonts w:hint="eastAsia" w:ascii="宋体" w:hAnsi="宋体" w:eastAsia="宋体" w:cs="宋体"/>
                <w:szCs w:val="21"/>
              </w:rPr>
              <w:t>皮秒脉冲激光器：脉冲频率20MHz-20KHz，波长270nm，320nm；</w:t>
            </w:r>
          </w:p>
          <w:p w14:paraId="521B9E92">
            <w:pPr>
              <w:jc w:val="left"/>
              <w:rPr>
                <w:rFonts w:hint="eastAsia" w:ascii="宋体" w:hAnsi="宋体" w:eastAsia="宋体" w:cs="宋体"/>
                <w:szCs w:val="21"/>
              </w:rPr>
            </w:pPr>
            <w:r>
              <w:rPr>
                <w:rFonts w:hint="eastAsia" w:ascii="宋体" w:hAnsi="宋体" w:eastAsia="宋体" w:cs="宋体"/>
                <w:szCs w:val="21"/>
              </w:rPr>
              <w:t>皮秒脉冲激光器：脉冲频率20MHz-20KHz，波长375nm，405nm，450nm；</w:t>
            </w:r>
          </w:p>
          <w:p w14:paraId="16CFC140">
            <w:pPr>
              <w:jc w:val="left"/>
              <w:rPr>
                <w:rFonts w:hint="eastAsia" w:ascii="宋体" w:hAnsi="宋体" w:eastAsia="宋体" w:cs="宋体"/>
                <w:szCs w:val="21"/>
              </w:rPr>
            </w:pPr>
            <w:r>
              <w:rPr>
                <w:rFonts w:hint="eastAsia" w:ascii="宋体" w:hAnsi="宋体" w:eastAsia="宋体" w:cs="宋体"/>
                <w:szCs w:val="21"/>
              </w:rPr>
              <w:t>脉宽可调激光器：波长375nm，脉宽可调100ns-1ms，配置CW连续模式</w:t>
            </w:r>
          </w:p>
          <w:p w14:paraId="7CE1827D">
            <w:pPr>
              <w:jc w:val="left"/>
              <w:rPr>
                <w:rFonts w:hint="eastAsia" w:ascii="宋体" w:hAnsi="宋体" w:eastAsia="宋体" w:cs="宋体"/>
                <w:szCs w:val="21"/>
              </w:rPr>
            </w:pPr>
            <w:r>
              <w:rPr>
                <w:rFonts w:hint="eastAsia" w:ascii="宋体" w:hAnsi="宋体" w:eastAsia="宋体" w:cs="宋体"/>
                <w:szCs w:val="21"/>
              </w:rPr>
              <w:t>8.3荧光寿命范围：100ps-50us；</w:t>
            </w:r>
          </w:p>
          <w:p w14:paraId="2FFF18C5">
            <w:pPr>
              <w:jc w:val="left"/>
              <w:rPr>
                <w:rFonts w:hint="eastAsia" w:ascii="宋体" w:hAnsi="宋体" w:eastAsia="宋体" w:cs="宋体"/>
                <w:b/>
                <w:szCs w:val="21"/>
              </w:rPr>
            </w:pPr>
            <w:r>
              <w:rPr>
                <w:rFonts w:hint="eastAsia" w:ascii="宋体" w:hAnsi="宋体" w:eastAsia="宋体" w:cs="宋体"/>
                <w:b/>
                <w:szCs w:val="21"/>
              </w:rPr>
              <w:t>●8.4最小时间分辨率≤400fs，计算公式为最小时间宽度/最大通道数；（</w:t>
            </w:r>
            <w:r>
              <w:rPr>
                <w:rFonts w:hint="eastAsia" w:ascii="宋体" w:hAnsi="宋体" w:eastAsia="宋体" w:cs="宋体"/>
                <w:b/>
                <w:bCs/>
                <w:szCs w:val="21"/>
              </w:rPr>
              <w:t>投标文件中</w:t>
            </w:r>
            <w:r>
              <w:rPr>
                <w:rFonts w:hint="eastAsia" w:ascii="宋体" w:hAnsi="宋体" w:eastAsia="宋体" w:cs="宋体"/>
                <w:b/>
                <w:szCs w:val="21"/>
              </w:rPr>
              <w:t>提供实物照片或软件截图）</w:t>
            </w:r>
          </w:p>
          <w:p w14:paraId="23D0BD96">
            <w:pPr>
              <w:jc w:val="left"/>
              <w:rPr>
                <w:rFonts w:hint="eastAsia" w:ascii="宋体" w:hAnsi="宋体" w:eastAsia="宋体" w:cs="宋体"/>
                <w:szCs w:val="21"/>
              </w:rPr>
            </w:pPr>
            <w:r>
              <w:rPr>
                <w:rFonts w:hint="eastAsia" w:ascii="宋体" w:hAnsi="宋体" w:eastAsia="宋体" w:cs="宋体"/>
                <w:szCs w:val="21"/>
              </w:rPr>
              <w:t>8.5通道数：256-8192；</w:t>
            </w:r>
          </w:p>
          <w:p w14:paraId="20D7F537">
            <w:pPr>
              <w:jc w:val="left"/>
              <w:rPr>
                <w:rFonts w:hint="eastAsia" w:ascii="宋体" w:hAnsi="宋体" w:eastAsia="宋体" w:cs="宋体"/>
                <w:b/>
                <w:szCs w:val="21"/>
              </w:rPr>
            </w:pPr>
            <w:r>
              <w:rPr>
                <w:rFonts w:hint="eastAsia" w:ascii="宋体" w:hAnsi="宋体" w:eastAsia="宋体" w:cs="宋体"/>
                <w:b/>
                <w:szCs w:val="21"/>
              </w:rPr>
              <w:t>●8.6光源通道数（START）：≥3；检测器通道数（STOP）：≥3；（</w:t>
            </w:r>
            <w:r>
              <w:rPr>
                <w:rFonts w:hint="eastAsia" w:ascii="宋体" w:hAnsi="宋体" w:eastAsia="宋体" w:cs="宋体"/>
                <w:b/>
                <w:bCs/>
                <w:szCs w:val="21"/>
              </w:rPr>
              <w:t>投标文件中</w:t>
            </w:r>
            <w:r>
              <w:rPr>
                <w:rFonts w:hint="eastAsia" w:ascii="宋体" w:hAnsi="宋体" w:eastAsia="宋体" w:cs="宋体"/>
                <w:b/>
                <w:szCs w:val="21"/>
              </w:rPr>
              <w:t>提供实物照片或软件截图）</w:t>
            </w:r>
          </w:p>
          <w:p w14:paraId="36C3B736">
            <w:pPr>
              <w:jc w:val="left"/>
              <w:rPr>
                <w:rFonts w:hint="eastAsia" w:ascii="宋体" w:hAnsi="宋体" w:eastAsia="宋体" w:cs="宋体"/>
                <w:b/>
                <w:szCs w:val="21"/>
              </w:rPr>
            </w:pPr>
            <w:r>
              <w:rPr>
                <w:rFonts w:hint="eastAsia" w:ascii="宋体" w:hAnsi="宋体" w:eastAsia="宋体" w:cs="宋体"/>
                <w:b/>
                <w:szCs w:val="21"/>
              </w:rPr>
              <w:t>●8.7正向和反向双采集模式，兼顾高时间分辨率及快速、高效的数据采集。（</w:t>
            </w:r>
            <w:r>
              <w:rPr>
                <w:rFonts w:hint="eastAsia" w:ascii="宋体" w:hAnsi="宋体" w:eastAsia="宋体" w:cs="宋体"/>
                <w:b/>
                <w:bCs/>
                <w:szCs w:val="21"/>
              </w:rPr>
              <w:t>投标文件中</w:t>
            </w:r>
            <w:r>
              <w:rPr>
                <w:rFonts w:hint="eastAsia" w:ascii="宋体" w:hAnsi="宋体" w:eastAsia="宋体" w:cs="宋体"/>
                <w:b/>
                <w:szCs w:val="21"/>
              </w:rPr>
              <w:t>提供实物照片或软件截图）</w:t>
            </w:r>
          </w:p>
          <w:p w14:paraId="616F48AC">
            <w:pPr>
              <w:jc w:val="left"/>
              <w:rPr>
                <w:rFonts w:hint="eastAsia" w:ascii="宋体" w:hAnsi="宋体" w:eastAsia="宋体" w:cs="宋体"/>
                <w:szCs w:val="21"/>
              </w:rPr>
            </w:pPr>
            <w:r>
              <w:rPr>
                <w:rFonts w:hint="eastAsia" w:ascii="宋体" w:hAnsi="宋体" w:eastAsia="宋体" w:cs="宋体"/>
                <w:szCs w:val="21"/>
              </w:rPr>
              <w:t>9.磷光寿命部分：</w:t>
            </w:r>
          </w:p>
          <w:p w14:paraId="6DC4762E">
            <w:pPr>
              <w:jc w:val="left"/>
              <w:rPr>
                <w:rFonts w:hint="eastAsia" w:ascii="宋体" w:hAnsi="宋体" w:eastAsia="宋体" w:cs="宋体"/>
                <w:szCs w:val="21"/>
              </w:rPr>
            </w:pPr>
            <w:r>
              <w:rPr>
                <w:rFonts w:hint="eastAsia" w:ascii="宋体" w:hAnsi="宋体" w:eastAsia="宋体" w:cs="宋体"/>
                <w:szCs w:val="21"/>
              </w:rPr>
              <w:t>9.1工作原理：多通道单光子计数（MCS）测量；</w:t>
            </w:r>
          </w:p>
          <w:p w14:paraId="1B27029C">
            <w:pPr>
              <w:jc w:val="left"/>
              <w:rPr>
                <w:rFonts w:hint="eastAsia" w:ascii="宋体" w:hAnsi="宋体" w:eastAsia="宋体" w:cs="宋体"/>
                <w:szCs w:val="21"/>
              </w:rPr>
            </w:pPr>
            <w:r>
              <w:rPr>
                <w:rFonts w:hint="eastAsia" w:ascii="宋体" w:hAnsi="宋体" w:eastAsia="宋体" w:cs="宋体"/>
                <w:szCs w:val="21"/>
              </w:rPr>
              <w:t>9.2激发光源：≥60W闪烁氙灯，光谱脉宽1.5-2.5us，重复频率0.1-100Hz；</w:t>
            </w:r>
          </w:p>
          <w:p w14:paraId="07D30D07">
            <w:pPr>
              <w:jc w:val="left"/>
              <w:rPr>
                <w:rFonts w:hint="eastAsia" w:ascii="宋体" w:hAnsi="宋体" w:eastAsia="宋体" w:cs="宋体"/>
                <w:szCs w:val="21"/>
              </w:rPr>
            </w:pPr>
            <w:r>
              <w:rPr>
                <w:rFonts w:hint="eastAsia" w:ascii="宋体" w:hAnsi="宋体" w:eastAsia="宋体" w:cs="宋体"/>
                <w:szCs w:val="21"/>
              </w:rPr>
              <w:t>9.3磷光寿命范围：1us-50s；</w:t>
            </w:r>
          </w:p>
          <w:p w14:paraId="156544EC">
            <w:pPr>
              <w:jc w:val="left"/>
              <w:rPr>
                <w:rFonts w:hint="eastAsia" w:ascii="宋体" w:hAnsi="宋体" w:eastAsia="宋体" w:cs="宋体"/>
                <w:szCs w:val="21"/>
              </w:rPr>
            </w:pPr>
            <w:r>
              <w:rPr>
                <w:rFonts w:hint="eastAsia" w:ascii="宋体" w:hAnsi="宋体" w:eastAsia="宋体" w:cs="宋体"/>
                <w:szCs w:val="21"/>
              </w:rPr>
              <w:t>9.4最小时间分辨率10ns，计算公式为最小时间宽度/最大通道数；</w:t>
            </w:r>
          </w:p>
          <w:p w14:paraId="5BFCD122">
            <w:pPr>
              <w:jc w:val="left"/>
              <w:rPr>
                <w:rFonts w:hint="eastAsia" w:ascii="宋体" w:hAnsi="宋体" w:eastAsia="宋体" w:cs="宋体"/>
                <w:szCs w:val="21"/>
              </w:rPr>
            </w:pPr>
            <w:r>
              <w:rPr>
                <w:rFonts w:hint="eastAsia" w:ascii="宋体" w:hAnsi="宋体" w:eastAsia="宋体" w:cs="宋体"/>
                <w:szCs w:val="21"/>
              </w:rPr>
              <w:t>9.5通道数：500-8000；</w:t>
            </w:r>
          </w:p>
          <w:p w14:paraId="4AB09031">
            <w:pPr>
              <w:jc w:val="left"/>
              <w:rPr>
                <w:rFonts w:hint="eastAsia" w:ascii="宋体" w:hAnsi="宋体" w:eastAsia="宋体" w:cs="宋体"/>
                <w:szCs w:val="21"/>
              </w:rPr>
            </w:pPr>
            <w:r>
              <w:rPr>
                <w:rFonts w:hint="eastAsia" w:ascii="宋体" w:hAnsi="宋体" w:eastAsia="宋体" w:cs="宋体"/>
                <w:szCs w:val="21"/>
              </w:rPr>
              <w:t>9.6光源通道数（START）：≥3；检测器通道数（STOP）：≥3。</w:t>
            </w:r>
          </w:p>
          <w:p w14:paraId="312F1C6A">
            <w:pPr>
              <w:jc w:val="left"/>
              <w:rPr>
                <w:rFonts w:hint="eastAsia" w:ascii="宋体" w:hAnsi="宋体" w:eastAsia="宋体" w:cs="宋体"/>
                <w:szCs w:val="21"/>
              </w:rPr>
            </w:pPr>
            <w:r>
              <w:rPr>
                <w:rFonts w:hint="eastAsia" w:ascii="宋体" w:hAnsi="宋体" w:eastAsia="宋体" w:cs="宋体"/>
                <w:szCs w:val="21"/>
              </w:rPr>
              <w:t>10.积分球：粉末、薄膜和液体</w:t>
            </w:r>
          </w:p>
          <w:p w14:paraId="6882A26C">
            <w:pPr>
              <w:pStyle w:val="26"/>
              <w:ind w:left="0"/>
              <w:jc w:val="left"/>
              <w:rPr>
                <w:rFonts w:hint="eastAsia" w:ascii="宋体" w:hAnsi="宋体" w:eastAsia="宋体" w:cs="宋体"/>
                <w:szCs w:val="21"/>
              </w:rPr>
            </w:pPr>
            <w:r>
              <w:rPr>
                <w:rFonts w:hint="eastAsia" w:ascii="宋体" w:hAnsi="宋体" w:eastAsia="宋体" w:cs="宋体"/>
                <w:szCs w:val="21"/>
              </w:rPr>
              <w:t>10.1直径≥150mm，手提一体式积分球，三面光学入口，顶部进样，可直接放入样品仓，无需光纤耦合；</w:t>
            </w:r>
          </w:p>
          <w:p w14:paraId="0625D841">
            <w:pPr>
              <w:pStyle w:val="26"/>
              <w:ind w:left="0"/>
              <w:jc w:val="left"/>
              <w:rPr>
                <w:rFonts w:hint="eastAsia" w:ascii="宋体" w:hAnsi="宋体" w:eastAsia="宋体" w:cs="宋体"/>
                <w:szCs w:val="21"/>
              </w:rPr>
            </w:pPr>
            <w:r>
              <w:rPr>
                <w:rFonts w:hint="eastAsia" w:ascii="宋体" w:hAnsi="宋体" w:eastAsia="宋体" w:cs="宋体"/>
                <w:szCs w:val="21"/>
              </w:rPr>
              <w:t>10.2高反射率聚四氟乙烯涂层；</w:t>
            </w:r>
          </w:p>
          <w:p w14:paraId="07621939">
            <w:pPr>
              <w:pStyle w:val="26"/>
              <w:ind w:left="0"/>
              <w:jc w:val="left"/>
              <w:rPr>
                <w:rFonts w:hint="eastAsia" w:ascii="宋体" w:hAnsi="宋体" w:eastAsia="宋体" w:cs="宋体"/>
                <w:b/>
                <w:szCs w:val="21"/>
              </w:rPr>
            </w:pPr>
            <w:r>
              <w:rPr>
                <w:rFonts w:hint="eastAsia" w:ascii="宋体" w:hAnsi="宋体" w:eastAsia="宋体" w:cs="宋体"/>
                <w:b/>
                <w:szCs w:val="21"/>
              </w:rPr>
              <w:t>●10.3内置电路，可完成积分球内样品支架电动升降；（</w:t>
            </w:r>
            <w:r>
              <w:rPr>
                <w:rFonts w:hint="eastAsia" w:ascii="宋体" w:hAnsi="宋体" w:eastAsia="宋体" w:cs="宋体"/>
                <w:b/>
                <w:bCs/>
                <w:szCs w:val="21"/>
              </w:rPr>
              <w:t>投标文件中</w:t>
            </w:r>
            <w:r>
              <w:rPr>
                <w:rFonts w:hint="eastAsia" w:ascii="宋体" w:hAnsi="宋体" w:eastAsia="宋体" w:cs="宋体"/>
                <w:b/>
                <w:szCs w:val="21"/>
              </w:rPr>
              <w:t>提供实物照片或软件截图）</w:t>
            </w:r>
          </w:p>
          <w:p w14:paraId="3C7BC991">
            <w:pPr>
              <w:pStyle w:val="26"/>
              <w:ind w:left="0"/>
              <w:jc w:val="left"/>
              <w:rPr>
                <w:rFonts w:hint="eastAsia" w:ascii="宋体" w:hAnsi="宋体" w:eastAsia="宋体" w:cs="宋体"/>
                <w:szCs w:val="21"/>
              </w:rPr>
            </w:pPr>
            <w:r>
              <w:rPr>
                <w:rFonts w:hint="eastAsia" w:ascii="宋体" w:hAnsi="宋体" w:eastAsia="宋体" w:cs="宋体"/>
                <w:szCs w:val="21"/>
              </w:rPr>
              <w:t>10.4内置气氛入口，可完成惰性气体气氛测试；</w:t>
            </w:r>
          </w:p>
          <w:p w14:paraId="500DD84B">
            <w:pPr>
              <w:pStyle w:val="26"/>
              <w:ind w:left="0"/>
              <w:jc w:val="left"/>
              <w:rPr>
                <w:rFonts w:hint="eastAsia" w:ascii="宋体" w:hAnsi="宋体" w:eastAsia="宋体" w:cs="宋体"/>
                <w:szCs w:val="21"/>
              </w:rPr>
            </w:pPr>
            <w:r>
              <w:rPr>
                <w:rFonts w:hint="eastAsia" w:ascii="宋体" w:hAnsi="宋体" w:eastAsia="宋体" w:cs="宋体"/>
                <w:szCs w:val="21"/>
              </w:rPr>
              <w:t>10.5能够完成紫外可见到近红外（230-1700 nm）全波段量子产率测试；</w:t>
            </w:r>
          </w:p>
          <w:p w14:paraId="5A326C72">
            <w:pPr>
              <w:pStyle w:val="26"/>
              <w:ind w:left="0"/>
              <w:jc w:val="left"/>
              <w:rPr>
                <w:rFonts w:hint="eastAsia" w:ascii="宋体" w:hAnsi="宋体" w:eastAsia="宋体" w:cs="宋体"/>
                <w:szCs w:val="21"/>
              </w:rPr>
            </w:pPr>
            <w:r>
              <w:rPr>
                <w:rFonts w:hint="eastAsia" w:ascii="宋体" w:hAnsi="宋体" w:eastAsia="宋体" w:cs="宋体"/>
                <w:szCs w:val="21"/>
              </w:rPr>
              <w:t>10.6可升级完成电致发光的测试；</w:t>
            </w:r>
          </w:p>
          <w:p w14:paraId="4FD82B10">
            <w:pPr>
              <w:pStyle w:val="26"/>
              <w:ind w:left="0"/>
              <w:jc w:val="left"/>
              <w:rPr>
                <w:rFonts w:hint="eastAsia" w:ascii="宋体" w:hAnsi="宋体" w:eastAsia="宋体" w:cs="宋体"/>
                <w:b/>
                <w:bCs/>
                <w:szCs w:val="21"/>
              </w:rPr>
            </w:pPr>
            <w:r>
              <w:rPr>
                <w:rFonts w:hint="eastAsia" w:ascii="宋体" w:hAnsi="宋体" w:eastAsia="宋体" w:cs="宋体"/>
                <w:b/>
                <w:bCs/>
                <w:szCs w:val="21"/>
              </w:rPr>
              <w:t>●</w:t>
            </w:r>
            <w:r>
              <w:rPr>
                <w:rFonts w:hint="eastAsia" w:ascii="宋体" w:hAnsi="宋体" w:eastAsia="宋体" w:cs="宋体"/>
                <w:b/>
                <w:szCs w:val="21"/>
              </w:rPr>
              <w:t>10.7球内无反射镜，避免能量损耗；</w:t>
            </w:r>
            <w:r>
              <w:rPr>
                <w:rFonts w:hint="eastAsia" w:ascii="宋体" w:hAnsi="宋体" w:eastAsia="宋体" w:cs="宋体"/>
                <w:b/>
                <w:bCs/>
                <w:szCs w:val="21"/>
              </w:rPr>
              <w:t>（投标文件中提供实物照片或软件截图）</w:t>
            </w:r>
          </w:p>
          <w:p w14:paraId="724D9D4C">
            <w:pPr>
              <w:jc w:val="left"/>
              <w:rPr>
                <w:rFonts w:hint="eastAsia" w:ascii="宋体" w:hAnsi="宋体" w:eastAsia="宋体" w:cs="宋体"/>
                <w:b/>
                <w:szCs w:val="21"/>
              </w:rPr>
            </w:pPr>
            <w:r>
              <w:rPr>
                <w:rFonts w:hint="eastAsia" w:ascii="宋体" w:hAnsi="宋体" w:eastAsia="宋体" w:cs="宋体"/>
                <w:b/>
                <w:szCs w:val="21"/>
              </w:rPr>
              <w:t>●11.光源接口，样品仓需包括一个激光器二合一接口，无需手动更换，预留≥2个光学入口，底部预留≥2个线缆接口；（</w:t>
            </w:r>
            <w:r>
              <w:rPr>
                <w:rFonts w:hint="eastAsia" w:ascii="宋体" w:hAnsi="宋体" w:eastAsia="宋体" w:cs="宋体"/>
                <w:b/>
                <w:bCs/>
                <w:szCs w:val="21"/>
              </w:rPr>
              <w:t>投标文件中</w:t>
            </w:r>
            <w:r>
              <w:rPr>
                <w:rFonts w:hint="eastAsia" w:ascii="宋体" w:hAnsi="宋体" w:eastAsia="宋体" w:cs="宋体"/>
                <w:b/>
                <w:szCs w:val="21"/>
              </w:rPr>
              <w:t>提供实物照片）</w:t>
            </w:r>
          </w:p>
          <w:p w14:paraId="1589CCB3">
            <w:pPr>
              <w:jc w:val="left"/>
              <w:rPr>
                <w:rFonts w:hint="eastAsia" w:ascii="宋体" w:hAnsi="宋体" w:eastAsia="宋体" w:cs="宋体"/>
                <w:szCs w:val="21"/>
              </w:rPr>
            </w:pPr>
            <w:r>
              <w:rPr>
                <w:rFonts w:hint="eastAsia" w:ascii="宋体" w:hAnsi="宋体" w:eastAsia="宋体" w:cs="宋体"/>
                <w:szCs w:val="21"/>
              </w:rPr>
              <w:t>12.样品仓内包含液体石英皿支架及带有温度传感器的循环水出入口；标配用于保护探测器的快门开关；计算机控制的信号衰减器；</w:t>
            </w:r>
          </w:p>
          <w:p w14:paraId="5E34C0FF">
            <w:pPr>
              <w:jc w:val="left"/>
              <w:rPr>
                <w:rFonts w:hint="eastAsia" w:ascii="宋体" w:hAnsi="宋体" w:eastAsia="宋体" w:cs="宋体"/>
                <w:szCs w:val="21"/>
              </w:rPr>
            </w:pPr>
            <w:r>
              <w:rPr>
                <w:rFonts w:hint="eastAsia" w:ascii="宋体" w:hAnsi="宋体" w:eastAsia="宋体" w:cs="宋体"/>
                <w:szCs w:val="21"/>
              </w:rPr>
              <w:t>13.前表面样品支架：测试固体、薄膜、粉末、高浓度液体及浑浊液体前表面荧光，可以在样品仓外部微调支架位置，实现最优化的激发；</w:t>
            </w:r>
          </w:p>
          <w:p w14:paraId="1A8E8519">
            <w:pPr>
              <w:pStyle w:val="26"/>
              <w:ind w:left="0"/>
              <w:jc w:val="left"/>
              <w:rPr>
                <w:rFonts w:hint="eastAsia" w:ascii="宋体" w:hAnsi="宋体" w:eastAsia="宋体" w:cs="宋体"/>
                <w:b/>
                <w:szCs w:val="21"/>
              </w:rPr>
            </w:pPr>
            <w:r>
              <w:rPr>
                <w:rFonts w:hint="eastAsia" w:ascii="宋体" w:hAnsi="宋体" w:eastAsia="宋体" w:cs="宋体"/>
                <w:b/>
                <w:szCs w:val="21"/>
              </w:rPr>
              <w:t>●14.低温恒温器：温度范围77-500K，温度稳定性±0.1K (over 10min)，光谱仪软件能反控低温恒温器的温度，自动进行温度相关的光谱扫描；配置真空泵、外置循环水浴各一套；（</w:t>
            </w:r>
            <w:r>
              <w:rPr>
                <w:rFonts w:hint="eastAsia" w:ascii="宋体" w:hAnsi="宋体" w:eastAsia="宋体" w:cs="宋体"/>
                <w:b/>
                <w:bCs/>
                <w:szCs w:val="21"/>
              </w:rPr>
              <w:t>投标文件中</w:t>
            </w:r>
            <w:r>
              <w:rPr>
                <w:rFonts w:hint="eastAsia" w:ascii="宋体" w:hAnsi="宋体" w:eastAsia="宋体" w:cs="宋体"/>
                <w:b/>
                <w:szCs w:val="21"/>
              </w:rPr>
              <w:t>提供实物照片或软件截图）</w:t>
            </w:r>
          </w:p>
          <w:p w14:paraId="21B3EB4C">
            <w:pPr>
              <w:pStyle w:val="26"/>
              <w:ind w:left="0"/>
              <w:jc w:val="left"/>
              <w:rPr>
                <w:rFonts w:hint="eastAsia" w:ascii="宋体" w:hAnsi="宋体" w:eastAsia="宋体" w:cs="宋体"/>
                <w:szCs w:val="21"/>
              </w:rPr>
            </w:pPr>
            <w:r>
              <w:rPr>
                <w:rFonts w:hint="eastAsia" w:ascii="宋体" w:hAnsi="宋体" w:eastAsia="宋体" w:cs="宋体"/>
                <w:szCs w:val="21"/>
              </w:rPr>
              <w:t>15.上转换激光器，波长808nm、980nm各一个，可直接耦合到光谱仪上，无需光纤耦合，配备相应脉宽盒子，可以直接测试荧光寿命；</w:t>
            </w:r>
          </w:p>
          <w:p w14:paraId="502E5707">
            <w:pPr>
              <w:pStyle w:val="26"/>
              <w:ind w:left="0"/>
              <w:jc w:val="left"/>
              <w:rPr>
                <w:rFonts w:hint="eastAsia" w:ascii="宋体" w:hAnsi="宋体" w:eastAsia="宋体" w:cs="宋体"/>
                <w:b/>
                <w:szCs w:val="21"/>
              </w:rPr>
            </w:pPr>
            <w:r>
              <w:rPr>
                <w:rFonts w:hint="eastAsia" w:ascii="宋体" w:hAnsi="宋体" w:eastAsia="宋体" w:cs="宋体"/>
                <w:b/>
                <w:szCs w:val="21"/>
              </w:rPr>
              <w:t>●16.物理门控：PMT门控装置，具有门控功能，延迟时间可调，最小能够到1微秒；（投标文件中提供真实的电子门控实物图）</w:t>
            </w:r>
          </w:p>
          <w:p w14:paraId="70C890B6">
            <w:pPr>
              <w:pStyle w:val="26"/>
              <w:ind w:left="0"/>
              <w:jc w:val="left"/>
              <w:rPr>
                <w:rFonts w:hint="eastAsia" w:ascii="宋体" w:hAnsi="宋体" w:eastAsia="宋体" w:cs="宋体"/>
                <w:szCs w:val="21"/>
              </w:rPr>
            </w:pPr>
            <w:r>
              <w:rPr>
                <w:rFonts w:hint="eastAsia" w:ascii="宋体" w:hAnsi="宋体" w:eastAsia="宋体" w:cs="宋体"/>
                <w:szCs w:val="21"/>
              </w:rPr>
              <w:t xml:space="preserve">17.电致发光模块一套； </w:t>
            </w:r>
          </w:p>
          <w:p w14:paraId="15F730F3">
            <w:pPr>
              <w:jc w:val="left"/>
              <w:rPr>
                <w:rFonts w:hint="eastAsia" w:ascii="宋体" w:hAnsi="宋体" w:eastAsia="宋体" w:cs="宋体"/>
                <w:szCs w:val="21"/>
              </w:rPr>
            </w:pPr>
            <w:r>
              <w:rPr>
                <w:rFonts w:hint="eastAsia" w:ascii="宋体" w:hAnsi="宋体" w:eastAsia="宋体" w:cs="宋体"/>
                <w:szCs w:val="21"/>
              </w:rPr>
              <w:t>18.控制器及软件功能</w:t>
            </w:r>
          </w:p>
          <w:p w14:paraId="4934D99E">
            <w:pPr>
              <w:jc w:val="left"/>
              <w:rPr>
                <w:rFonts w:hint="eastAsia" w:ascii="宋体" w:hAnsi="宋体" w:eastAsia="宋体" w:cs="宋体"/>
                <w:szCs w:val="21"/>
              </w:rPr>
            </w:pPr>
            <w:r>
              <w:rPr>
                <w:rFonts w:hint="eastAsia" w:ascii="宋体" w:hAnsi="宋体" w:eastAsia="宋体" w:cs="宋体"/>
                <w:szCs w:val="21"/>
              </w:rPr>
              <w:t>18.1具有批量测试功能，对于同一样品的不同测试需求，可在软件上设定好所有的稳态和瞬态测试条件，由软件控制程序按顺序自动进行测试，无需人员值守，测试结束后可得到全部测试结果；</w:t>
            </w:r>
          </w:p>
          <w:p w14:paraId="35DF0670">
            <w:pPr>
              <w:jc w:val="left"/>
              <w:rPr>
                <w:rFonts w:hint="eastAsia" w:ascii="宋体" w:hAnsi="宋体" w:eastAsia="宋体" w:cs="宋体"/>
                <w:b/>
                <w:bCs/>
                <w:szCs w:val="21"/>
              </w:rPr>
            </w:pPr>
            <w:r>
              <w:rPr>
                <w:rFonts w:hint="eastAsia" w:ascii="宋体" w:hAnsi="宋体" w:eastAsia="宋体" w:cs="宋体"/>
                <w:b/>
                <w:bCs/>
                <w:szCs w:val="21"/>
              </w:rPr>
              <w:t>●</w:t>
            </w:r>
            <w:r>
              <w:rPr>
                <w:rFonts w:hint="eastAsia" w:ascii="宋体" w:hAnsi="宋体" w:eastAsia="宋体" w:cs="宋体"/>
                <w:b/>
                <w:szCs w:val="21"/>
              </w:rPr>
              <w:t>18.2多波长对动态光谱扫描：满足至少八对激发/发射-强度动态扫描；</w:t>
            </w:r>
            <w:r>
              <w:rPr>
                <w:rFonts w:hint="eastAsia" w:ascii="宋体" w:hAnsi="宋体" w:eastAsia="宋体" w:cs="宋体"/>
                <w:b/>
                <w:bCs/>
                <w:szCs w:val="21"/>
              </w:rPr>
              <w:t>（投标文件中提供实物照片或软件截图）</w:t>
            </w:r>
          </w:p>
          <w:p w14:paraId="62813E2D">
            <w:pPr>
              <w:jc w:val="left"/>
              <w:rPr>
                <w:rFonts w:hint="eastAsia" w:ascii="宋体" w:hAnsi="宋体" w:eastAsia="宋体" w:cs="宋体"/>
                <w:b/>
                <w:szCs w:val="21"/>
              </w:rPr>
            </w:pPr>
            <w:r>
              <w:rPr>
                <w:rFonts w:hint="eastAsia" w:ascii="宋体" w:hAnsi="宋体" w:eastAsia="宋体" w:cs="宋体"/>
                <w:b/>
                <w:bCs/>
                <w:szCs w:val="21"/>
              </w:rPr>
              <w:t>●</w:t>
            </w:r>
            <w:r>
              <w:rPr>
                <w:rFonts w:hint="eastAsia" w:ascii="宋体" w:hAnsi="宋体" w:eastAsia="宋体" w:cs="宋体"/>
                <w:b/>
                <w:szCs w:val="21"/>
              </w:rPr>
              <w:t>18.3数据包括光谱、数据表及实验条件三部分。</w:t>
            </w:r>
            <w:r>
              <w:rPr>
                <w:rFonts w:hint="eastAsia" w:ascii="宋体" w:hAnsi="宋体" w:eastAsia="宋体" w:cs="宋体"/>
                <w:b/>
                <w:bCs/>
                <w:szCs w:val="21"/>
              </w:rPr>
              <w:t>（投标文件中提供实物照片或软件截图）</w:t>
            </w:r>
          </w:p>
          <w:p w14:paraId="3A0B1923">
            <w:pPr>
              <w:jc w:val="left"/>
              <w:rPr>
                <w:rFonts w:hint="eastAsia" w:ascii="宋体" w:hAnsi="宋体" w:eastAsia="宋体" w:cs="宋体"/>
                <w:b/>
                <w:szCs w:val="21"/>
              </w:rPr>
            </w:pPr>
            <w:r>
              <w:rPr>
                <w:rFonts w:hint="eastAsia" w:ascii="宋体" w:hAnsi="宋体" w:eastAsia="宋体" w:cs="宋体"/>
                <w:szCs w:val="21"/>
              </w:rPr>
              <w:t>19.数据处理终端一台：CPU≥16核心，CPU频率≥5.8Ghz，显卡显存容量≥16GB DDR7，显卡显存位宽≥256bit,显卡单精度浮点数（FP32）性能≥43.94T FLOPS，内存≥32G DDR5，硬盘≥1TB SSD，数据显示终端≥32英寸，分辨率≥4K HDR，色域≥99%sRGB。</w:t>
            </w:r>
          </w:p>
          <w:p w14:paraId="26BDBB4C">
            <w:pPr>
              <w:pStyle w:val="26"/>
              <w:ind w:left="0"/>
              <w:jc w:val="left"/>
              <w:rPr>
                <w:rFonts w:hint="eastAsia" w:ascii="宋体" w:hAnsi="宋体" w:eastAsia="宋体" w:cs="宋体"/>
                <w:szCs w:val="21"/>
              </w:rPr>
            </w:pPr>
            <w:r>
              <w:rPr>
                <w:rFonts w:hint="eastAsia" w:ascii="宋体" w:hAnsi="宋体" w:eastAsia="宋体" w:cs="宋体"/>
                <w:szCs w:val="21"/>
              </w:rPr>
              <w:t>20.除湿机一台：除湿量≥50升/天。吸尘器：工业不锈钢桶式干湿两用大功率大吸力吸尘器，双电机30升尘桶。</w:t>
            </w:r>
          </w:p>
        </w:tc>
        <w:tc>
          <w:tcPr>
            <w:tcW w:w="318" w:type="pct"/>
            <w:noWrap w:val="0"/>
            <w:vAlign w:val="center"/>
          </w:tcPr>
          <w:p w14:paraId="3DB9F9B0">
            <w:pPr>
              <w:jc w:val="center"/>
              <w:rPr>
                <w:rFonts w:hint="eastAsia" w:ascii="宋体" w:hAnsi="宋体" w:eastAsia="宋体" w:cs="宋体"/>
                <w:bCs/>
                <w:szCs w:val="21"/>
              </w:rPr>
            </w:pPr>
            <w:r>
              <w:rPr>
                <w:rFonts w:hint="eastAsia" w:ascii="宋体" w:hAnsi="宋体" w:eastAsia="宋体" w:cs="宋体"/>
                <w:bCs/>
                <w:szCs w:val="21"/>
              </w:rPr>
              <w:t>1</w:t>
            </w:r>
          </w:p>
        </w:tc>
        <w:tc>
          <w:tcPr>
            <w:tcW w:w="279" w:type="pct"/>
            <w:noWrap w:val="0"/>
            <w:vAlign w:val="center"/>
          </w:tcPr>
          <w:p w14:paraId="2FEF4AF7">
            <w:pPr>
              <w:jc w:val="center"/>
              <w:rPr>
                <w:rFonts w:hint="eastAsia" w:ascii="宋体" w:hAnsi="宋体" w:eastAsia="宋体" w:cs="宋体"/>
                <w:bCs/>
                <w:szCs w:val="21"/>
              </w:rPr>
            </w:pPr>
            <w:r>
              <w:rPr>
                <w:rFonts w:hint="eastAsia" w:ascii="宋体" w:hAnsi="宋体" w:eastAsia="宋体" w:cs="宋体"/>
                <w:bCs/>
                <w:szCs w:val="21"/>
              </w:rPr>
              <w:t>套</w:t>
            </w:r>
          </w:p>
        </w:tc>
        <w:tc>
          <w:tcPr>
            <w:tcW w:w="406" w:type="pct"/>
            <w:noWrap w:val="0"/>
            <w:vAlign w:val="center"/>
          </w:tcPr>
          <w:p w14:paraId="5AB8DF23">
            <w:pPr>
              <w:jc w:val="center"/>
              <w:rPr>
                <w:rFonts w:hint="eastAsia" w:ascii="宋体" w:hAnsi="宋体" w:eastAsia="宋体" w:cs="宋体"/>
                <w:bCs/>
                <w:szCs w:val="21"/>
              </w:rPr>
            </w:pPr>
            <w:r>
              <w:rPr>
                <w:rFonts w:hint="eastAsia" w:ascii="宋体" w:hAnsi="宋体" w:eastAsia="宋体" w:cs="宋体"/>
                <w:bCs/>
                <w:szCs w:val="21"/>
              </w:rPr>
              <w:t>工业</w:t>
            </w:r>
          </w:p>
        </w:tc>
        <w:tc>
          <w:tcPr>
            <w:tcW w:w="659" w:type="pct"/>
            <w:noWrap w:val="0"/>
            <w:vAlign w:val="center"/>
          </w:tcPr>
          <w:p w14:paraId="1EFEC85B">
            <w:pPr>
              <w:jc w:val="center"/>
              <w:rPr>
                <w:rFonts w:hint="eastAsia" w:ascii="宋体" w:hAnsi="宋体" w:eastAsia="宋体" w:cs="宋体"/>
                <w:bCs/>
                <w:szCs w:val="21"/>
              </w:rPr>
            </w:pPr>
            <w:r>
              <w:rPr>
                <w:rFonts w:hint="eastAsia" w:ascii="宋体" w:hAnsi="宋体" w:eastAsia="宋体" w:cs="宋体"/>
                <w:bCs/>
                <w:szCs w:val="21"/>
              </w:rPr>
              <w:t>进口</w:t>
            </w:r>
          </w:p>
        </w:tc>
      </w:tr>
    </w:tbl>
    <w:p w14:paraId="56EE78A5">
      <w:pPr>
        <w:bidi w:val="0"/>
        <w:ind w:firstLine="482" w:firstLineChars="200"/>
        <w:rPr>
          <w:rFonts w:hint="eastAsia" w:ascii="宋体" w:hAnsi="宋体" w:eastAsia="宋体" w:cs="宋体"/>
          <w:b/>
          <w:bCs/>
          <w:sz w:val="24"/>
          <w:szCs w:val="24"/>
        </w:rPr>
      </w:pPr>
      <w:bookmarkStart w:id="25" w:name="_Toc1814319857"/>
      <w:bookmarkStart w:id="26" w:name="_Toc1520309192"/>
      <w:bookmarkStart w:id="27" w:name="_Toc1061105159_WPSOffice_Level2"/>
      <w:bookmarkStart w:id="28" w:name="_Toc1101062245"/>
      <w:bookmarkStart w:id="29" w:name="_Toc902728931"/>
      <w:bookmarkStart w:id="30" w:name="_Toc13384869"/>
      <w:bookmarkStart w:id="31" w:name="_Toc49042126"/>
      <w:bookmarkStart w:id="32" w:name="_Toc1900587714"/>
      <w:r>
        <w:rPr>
          <w:rFonts w:hint="eastAsia" w:ascii="宋体" w:hAnsi="宋体" w:eastAsia="宋体" w:cs="宋体"/>
          <w:b/>
          <w:bCs/>
          <w:sz w:val="24"/>
          <w:szCs w:val="24"/>
        </w:rPr>
        <w:t>三、报价要求</w:t>
      </w:r>
      <w:bookmarkEnd w:id="25"/>
      <w:bookmarkEnd w:id="26"/>
      <w:bookmarkEnd w:id="27"/>
      <w:bookmarkEnd w:id="28"/>
      <w:bookmarkEnd w:id="29"/>
      <w:bookmarkEnd w:id="30"/>
      <w:bookmarkEnd w:id="31"/>
      <w:bookmarkEnd w:id="32"/>
    </w:p>
    <w:p w14:paraId="46898273">
      <w:pPr>
        <w:spacing w:line="360" w:lineRule="auto"/>
        <w:ind w:firstLine="480" w:firstLineChars="200"/>
        <w:rPr>
          <w:rFonts w:hint="eastAsia" w:ascii="宋体" w:hAnsi="宋体" w:eastAsia="宋体" w:cs="宋体"/>
          <w:sz w:val="24"/>
          <w:szCs w:val="22"/>
        </w:rPr>
      </w:pPr>
      <w:r>
        <w:rPr>
          <w:rFonts w:hint="eastAsia" w:ascii="宋体" w:hAnsi="宋体" w:eastAsia="宋体" w:cs="宋体"/>
          <w:sz w:val="24"/>
          <w:szCs w:val="22"/>
        </w:rPr>
        <w:t>本项目报总价，报价包含完成本项目所需内容（包含招标文件要求内容、投标文件承诺内容、评标过程澄清修改内容等）的所有费用，中标后采购人不再另行支付任何费用，投标分项报价表中须明确列出所投产品所含货物名称、品牌、型号规格、原产地及生产厂商，否则可能导致</w:t>
      </w:r>
      <w:r>
        <w:rPr>
          <w:rFonts w:hint="eastAsia" w:ascii="宋体" w:hAnsi="宋体" w:eastAsia="宋体" w:cs="宋体"/>
          <w:b/>
          <w:bCs/>
          <w:sz w:val="24"/>
          <w:szCs w:val="22"/>
        </w:rPr>
        <w:t>投标无效</w:t>
      </w:r>
      <w:r>
        <w:rPr>
          <w:rFonts w:hint="eastAsia" w:ascii="宋体" w:hAnsi="宋体" w:eastAsia="宋体" w:cs="宋体"/>
          <w:sz w:val="24"/>
          <w:szCs w:val="22"/>
        </w:rPr>
        <w:t>。</w:t>
      </w:r>
    </w:p>
    <w:p w14:paraId="0747FB53">
      <w:pPr>
        <w:spacing w:line="360" w:lineRule="auto"/>
        <w:rPr>
          <w:rFonts w:hint="eastAsia" w:ascii="宋体" w:hAnsi="宋体" w:eastAsia="宋体" w:cs="宋体"/>
          <w:sz w:val="24"/>
          <w:szCs w:val="22"/>
        </w:rPr>
      </w:pPr>
    </w:p>
    <w:p w14:paraId="23795961">
      <w:pPr>
        <w:rPr>
          <w:rFonts w:hint="eastAsia" w:ascii="宋体" w:hAnsi="宋体" w:eastAsia="宋体" w:cs="宋体"/>
        </w:rPr>
      </w:pPr>
      <w:r>
        <w:rPr>
          <w:rFonts w:hint="eastAsia" w:ascii="宋体" w:hAnsi="宋体" w:eastAsia="宋体" w:cs="宋体"/>
        </w:rPr>
        <w:br w:type="page"/>
      </w:r>
    </w:p>
    <w:p w14:paraId="1E630B90">
      <w:pPr>
        <w:pStyle w:val="2"/>
        <w:bidi w:val="0"/>
        <w:jc w:val="left"/>
        <w:rPr>
          <w:rFonts w:hint="eastAsia" w:ascii="宋体" w:hAnsi="宋体" w:eastAsia="宋体" w:cs="宋体"/>
          <w:b/>
          <w:bCs w:val="0"/>
          <w:sz w:val="24"/>
          <w:szCs w:val="24"/>
        </w:rPr>
      </w:pPr>
      <w:r>
        <w:rPr>
          <w:rFonts w:hint="eastAsia" w:ascii="宋体" w:hAnsi="宋体" w:eastAsia="宋体" w:cs="宋体"/>
          <w:b/>
          <w:bCs w:val="0"/>
          <w:sz w:val="24"/>
          <w:szCs w:val="24"/>
        </w:rPr>
        <w:t>三、综合评分表（综合评分项目适用）：</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7"/>
        <w:gridCol w:w="1275"/>
        <w:gridCol w:w="4535"/>
        <w:gridCol w:w="1232"/>
      </w:tblGrid>
      <w:tr w14:paraId="3B5B4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blHeader/>
          <w:jc w:val="center"/>
        </w:trPr>
        <w:tc>
          <w:tcPr>
            <w:tcW w:w="867" w:type="pct"/>
            <w:tcBorders>
              <w:top w:val="single" w:color="auto" w:sz="4" w:space="0"/>
              <w:left w:val="single" w:color="auto" w:sz="4" w:space="0"/>
              <w:bottom w:val="single" w:color="auto" w:sz="4" w:space="0"/>
              <w:right w:val="single" w:color="auto" w:sz="4" w:space="0"/>
            </w:tcBorders>
            <w:noWrap w:val="0"/>
            <w:vAlign w:val="center"/>
          </w:tcPr>
          <w:p w14:paraId="0DB42D93">
            <w:pPr>
              <w:spacing w:line="440" w:lineRule="exact"/>
              <w:jc w:val="center"/>
              <w:rPr>
                <w:rFonts w:hint="eastAsia" w:ascii="宋体" w:hAnsi="宋体" w:eastAsia="宋体" w:cs="宋体"/>
                <w:b/>
                <w:bCs/>
                <w:sz w:val="24"/>
                <w:szCs w:val="24"/>
              </w:rPr>
            </w:pPr>
            <w:r>
              <w:rPr>
                <w:rFonts w:hint="eastAsia" w:ascii="宋体" w:hAnsi="宋体" w:eastAsia="宋体" w:cs="宋体"/>
                <w:b/>
                <w:bCs/>
                <w:sz w:val="24"/>
                <w:szCs w:val="24"/>
              </w:rPr>
              <w:t>类别</w:t>
            </w:r>
          </w:p>
        </w:tc>
        <w:tc>
          <w:tcPr>
            <w:tcW w:w="748" w:type="pct"/>
            <w:tcBorders>
              <w:top w:val="single" w:color="auto" w:sz="4" w:space="0"/>
              <w:left w:val="single" w:color="auto" w:sz="4" w:space="0"/>
              <w:bottom w:val="single" w:color="auto" w:sz="4" w:space="0"/>
              <w:right w:val="single" w:color="auto" w:sz="4" w:space="0"/>
            </w:tcBorders>
            <w:noWrap w:val="0"/>
            <w:vAlign w:val="center"/>
          </w:tcPr>
          <w:p w14:paraId="2622D9AF">
            <w:pPr>
              <w:spacing w:line="440" w:lineRule="exact"/>
              <w:jc w:val="center"/>
              <w:rPr>
                <w:rFonts w:hint="eastAsia" w:ascii="宋体" w:hAnsi="宋体" w:eastAsia="宋体" w:cs="宋体"/>
                <w:b/>
                <w:bCs/>
                <w:sz w:val="24"/>
                <w:szCs w:val="24"/>
              </w:rPr>
            </w:pPr>
            <w:r>
              <w:rPr>
                <w:rFonts w:hint="eastAsia" w:ascii="宋体" w:hAnsi="宋体" w:eastAsia="宋体" w:cs="宋体"/>
                <w:b/>
                <w:bCs/>
                <w:sz w:val="24"/>
                <w:szCs w:val="24"/>
              </w:rPr>
              <w:t>评分内容</w:t>
            </w:r>
          </w:p>
        </w:tc>
        <w:tc>
          <w:tcPr>
            <w:tcW w:w="2661" w:type="pct"/>
            <w:tcBorders>
              <w:top w:val="single" w:color="auto" w:sz="4" w:space="0"/>
              <w:left w:val="single" w:color="auto" w:sz="4" w:space="0"/>
              <w:bottom w:val="single" w:color="auto" w:sz="4" w:space="0"/>
              <w:right w:val="single" w:color="auto" w:sz="4" w:space="0"/>
            </w:tcBorders>
            <w:noWrap w:val="0"/>
            <w:vAlign w:val="center"/>
          </w:tcPr>
          <w:p w14:paraId="5DDEEDD1">
            <w:pPr>
              <w:spacing w:line="440" w:lineRule="exact"/>
              <w:jc w:val="center"/>
              <w:rPr>
                <w:rFonts w:hint="eastAsia" w:ascii="宋体" w:hAnsi="宋体" w:eastAsia="宋体" w:cs="宋体"/>
                <w:b/>
                <w:bCs/>
                <w:sz w:val="24"/>
                <w:szCs w:val="24"/>
              </w:rPr>
            </w:pPr>
            <w:r>
              <w:rPr>
                <w:rFonts w:hint="eastAsia" w:ascii="宋体" w:hAnsi="宋体" w:eastAsia="宋体" w:cs="宋体"/>
                <w:b/>
                <w:bCs/>
                <w:sz w:val="24"/>
                <w:szCs w:val="24"/>
              </w:rPr>
              <w:t>评分标准</w:t>
            </w:r>
          </w:p>
        </w:tc>
        <w:tc>
          <w:tcPr>
            <w:tcW w:w="723" w:type="pct"/>
            <w:tcBorders>
              <w:top w:val="single" w:color="auto" w:sz="4" w:space="0"/>
              <w:left w:val="single" w:color="auto" w:sz="4" w:space="0"/>
              <w:bottom w:val="single" w:color="auto" w:sz="4" w:space="0"/>
              <w:right w:val="single" w:color="auto" w:sz="4" w:space="0"/>
            </w:tcBorders>
            <w:noWrap w:val="0"/>
            <w:vAlign w:val="center"/>
          </w:tcPr>
          <w:p w14:paraId="61192862">
            <w:pPr>
              <w:spacing w:line="440" w:lineRule="exact"/>
              <w:jc w:val="center"/>
              <w:rPr>
                <w:rFonts w:hint="eastAsia" w:ascii="宋体" w:hAnsi="宋体" w:eastAsia="宋体" w:cs="宋体"/>
                <w:b/>
                <w:bCs/>
                <w:sz w:val="24"/>
                <w:szCs w:val="24"/>
              </w:rPr>
            </w:pPr>
            <w:r>
              <w:rPr>
                <w:rFonts w:hint="eastAsia" w:ascii="宋体" w:hAnsi="宋体" w:eastAsia="宋体" w:cs="宋体"/>
                <w:b/>
                <w:bCs/>
                <w:sz w:val="24"/>
                <w:szCs w:val="24"/>
              </w:rPr>
              <w:t>分值范围</w:t>
            </w:r>
          </w:p>
        </w:tc>
      </w:tr>
      <w:tr w14:paraId="7BF64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pct"/>
            <w:vMerge w:val="restart"/>
            <w:tcBorders>
              <w:top w:val="single" w:color="auto" w:sz="4" w:space="0"/>
              <w:left w:val="single" w:color="auto" w:sz="4" w:space="0"/>
              <w:right w:val="single" w:color="auto" w:sz="4" w:space="0"/>
            </w:tcBorders>
            <w:noWrap w:val="0"/>
            <w:vAlign w:val="center"/>
          </w:tcPr>
          <w:p w14:paraId="2987975C">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技术资信分</w:t>
            </w:r>
          </w:p>
          <w:p w14:paraId="0F197C96">
            <w:pPr>
              <w:spacing w:line="440" w:lineRule="exact"/>
              <w:jc w:val="center"/>
              <w:rPr>
                <w:rFonts w:hint="eastAsia" w:ascii="宋体" w:hAnsi="宋体" w:eastAsia="宋体" w:cs="宋体"/>
                <w:b/>
                <w:bCs/>
                <w:sz w:val="24"/>
                <w:szCs w:val="24"/>
              </w:rPr>
            </w:pPr>
            <w:r>
              <w:rPr>
                <w:rFonts w:hint="eastAsia" w:ascii="宋体" w:hAnsi="宋体" w:eastAsia="宋体" w:cs="宋体"/>
                <w:sz w:val="24"/>
                <w:szCs w:val="24"/>
              </w:rPr>
              <w:t>（</w:t>
            </w:r>
            <w:r>
              <w:rPr>
                <w:rFonts w:hint="eastAsia" w:ascii="宋体" w:hAnsi="宋体" w:eastAsia="宋体" w:cs="宋体"/>
                <w:sz w:val="24"/>
                <w:szCs w:val="24"/>
                <w:u w:val="single"/>
              </w:rPr>
              <w:t>70</w:t>
            </w:r>
            <w:r>
              <w:rPr>
                <w:rFonts w:hint="eastAsia" w:ascii="宋体" w:hAnsi="宋体" w:eastAsia="宋体" w:cs="宋体"/>
                <w:sz w:val="24"/>
                <w:szCs w:val="24"/>
              </w:rPr>
              <w:t>分）</w:t>
            </w:r>
          </w:p>
        </w:tc>
        <w:tc>
          <w:tcPr>
            <w:tcW w:w="748" w:type="pct"/>
            <w:tcBorders>
              <w:top w:val="single" w:color="auto" w:sz="4" w:space="0"/>
              <w:left w:val="single" w:color="auto" w:sz="4" w:space="0"/>
              <w:bottom w:val="single" w:color="auto" w:sz="4" w:space="0"/>
              <w:right w:val="single" w:color="auto" w:sz="4" w:space="0"/>
            </w:tcBorders>
            <w:noWrap w:val="0"/>
            <w:vAlign w:val="center"/>
          </w:tcPr>
          <w:p w14:paraId="0CEF7ECF">
            <w:pPr>
              <w:spacing w:line="440" w:lineRule="exact"/>
              <w:jc w:val="center"/>
              <w:rPr>
                <w:rFonts w:hint="eastAsia" w:ascii="宋体" w:hAnsi="宋体" w:eastAsia="宋体" w:cs="宋体"/>
                <w:bCs/>
                <w:sz w:val="24"/>
                <w:szCs w:val="24"/>
              </w:rPr>
            </w:pPr>
            <w:r>
              <w:rPr>
                <w:rFonts w:hint="eastAsia" w:ascii="宋体" w:hAnsi="宋体" w:eastAsia="宋体" w:cs="宋体"/>
                <w:bCs/>
                <w:sz w:val="24"/>
                <w:szCs w:val="24"/>
              </w:rPr>
              <w:t>所投产品技术参数及要求响应情况</w:t>
            </w:r>
          </w:p>
        </w:tc>
        <w:tc>
          <w:tcPr>
            <w:tcW w:w="2661" w:type="pct"/>
            <w:tcBorders>
              <w:top w:val="single" w:color="auto" w:sz="4" w:space="0"/>
              <w:left w:val="single" w:color="auto" w:sz="4" w:space="0"/>
              <w:bottom w:val="single" w:color="auto" w:sz="4" w:space="0"/>
              <w:right w:val="single" w:color="auto" w:sz="4" w:space="0"/>
            </w:tcBorders>
            <w:noWrap w:val="0"/>
            <w:vAlign w:val="center"/>
          </w:tcPr>
          <w:p w14:paraId="25195169">
            <w:pPr>
              <w:spacing w:line="440" w:lineRule="exact"/>
              <w:jc w:val="left"/>
              <w:rPr>
                <w:rFonts w:hint="eastAsia" w:ascii="宋体" w:hAnsi="宋体" w:eastAsia="宋体" w:cs="宋体"/>
                <w:sz w:val="24"/>
                <w:szCs w:val="24"/>
              </w:rPr>
            </w:pPr>
            <w:r>
              <w:rPr>
                <w:rFonts w:hint="eastAsia" w:ascii="宋体" w:hAnsi="宋体" w:eastAsia="宋体" w:cs="宋体"/>
                <w:sz w:val="24"/>
                <w:szCs w:val="24"/>
              </w:rPr>
              <w:t>根据投标文件对招标文件采购需求货物需求表中的“技术参数及要求”的响应情况进行评分：</w:t>
            </w:r>
          </w:p>
          <w:p w14:paraId="50E71245">
            <w:pPr>
              <w:spacing w:line="440" w:lineRule="exact"/>
              <w:jc w:val="left"/>
              <w:rPr>
                <w:rFonts w:hint="eastAsia" w:ascii="宋体" w:hAnsi="宋体" w:eastAsia="宋体" w:cs="宋体"/>
                <w:sz w:val="24"/>
                <w:szCs w:val="24"/>
              </w:rPr>
            </w:pPr>
            <w:r>
              <w:rPr>
                <w:rFonts w:hint="eastAsia" w:ascii="宋体" w:hAnsi="宋体" w:eastAsia="宋体" w:cs="宋体"/>
                <w:sz w:val="24"/>
                <w:szCs w:val="24"/>
              </w:rPr>
              <w:t>标注</w:t>
            </w:r>
            <w:r>
              <w:rPr>
                <w:rFonts w:hint="eastAsia" w:ascii="宋体" w:hAnsi="宋体" w:eastAsia="宋体" w:cs="宋体"/>
                <w:b/>
                <w:bCs/>
                <w:sz w:val="24"/>
                <w:szCs w:val="24"/>
              </w:rPr>
              <w:t>●</w:t>
            </w:r>
            <w:r>
              <w:rPr>
                <w:rFonts w:hint="eastAsia" w:ascii="宋体" w:hAnsi="宋体" w:eastAsia="宋体" w:cs="宋体"/>
                <w:sz w:val="24"/>
                <w:szCs w:val="24"/>
              </w:rPr>
              <w:t>号的条款，每满足一项得3分，共15项，满分45分；</w:t>
            </w:r>
          </w:p>
          <w:p w14:paraId="3B3E85D3">
            <w:pPr>
              <w:spacing w:line="440" w:lineRule="exact"/>
              <w:jc w:val="left"/>
              <w:rPr>
                <w:rFonts w:hint="eastAsia" w:ascii="宋体" w:hAnsi="宋体" w:eastAsia="宋体" w:cs="宋体"/>
                <w:b/>
                <w:bCs/>
                <w:sz w:val="24"/>
                <w:szCs w:val="24"/>
              </w:rPr>
            </w:pPr>
            <w:r>
              <w:rPr>
                <w:rFonts w:hint="eastAsia" w:ascii="宋体" w:hAnsi="宋体" w:eastAsia="宋体" w:cs="宋体"/>
                <w:b/>
                <w:bCs/>
                <w:sz w:val="24"/>
                <w:szCs w:val="24"/>
              </w:rPr>
              <w:t>注：</w:t>
            </w:r>
          </w:p>
          <w:p w14:paraId="54EA8CE0">
            <w:pPr>
              <w:spacing w:line="440" w:lineRule="exact"/>
              <w:jc w:val="left"/>
              <w:rPr>
                <w:rFonts w:hint="eastAsia" w:ascii="宋体" w:hAnsi="宋体" w:eastAsia="宋体" w:cs="宋体"/>
                <w:b/>
                <w:bCs/>
                <w:sz w:val="24"/>
                <w:szCs w:val="24"/>
              </w:rPr>
            </w:pPr>
            <w:r>
              <w:rPr>
                <w:rFonts w:hint="eastAsia" w:ascii="宋体" w:hAnsi="宋体" w:eastAsia="宋体" w:cs="宋体"/>
                <w:b/>
                <w:bCs/>
                <w:sz w:val="24"/>
                <w:szCs w:val="24"/>
              </w:rPr>
              <w:t>（1）如某项标识中包含多条技术参数或要求，则该项标识所含内容均需满足或优于招标文件要求，否则不予认可。</w:t>
            </w:r>
          </w:p>
          <w:p w14:paraId="10D021CB">
            <w:pPr>
              <w:spacing w:line="440" w:lineRule="exact"/>
              <w:jc w:val="left"/>
              <w:rPr>
                <w:rFonts w:hint="eastAsia" w:ascii="宋体" w:hAnsi="宋体" w:eastAsia="宋体" w:cs="宋体"/>
                <w:bCs/>
                <w:sz w:val="24"/>
                <w:szCs w:val="24"/>
              </w:rPr>
            </w:pPr>
            <w:r>
              <w:rPr>
                <w:rFonts w:hint="eastAsia" w:ascii="宋体" w:hAnsi="宋体" w:eastAsia="宋体" w:cs="宋体"/>
                <w:b/>
                <w:bCs/>
                <w:sz w:val="24"/>
                <w:szCs w:val="24"/>
              </w:rPr>
              <w:t>（2）以投标响应表和“货物需求表”中要求提供的证明材料作为评审依据。</w:t>
            </w:r>
          </w:p>
        </w:tc>
        <w:tc>
          <w:tcPr>
            <w:tcW w:w="723" w:type="pct"/>
            <w:tcBorders>
              <w:top w:val="single" w:color="auto" w:sz="4" w:space="0"/>
              <w:left w:val="single" w:color="auto" w:sz="4" w:space="0"/>
              <w:bottom w:val="single" w:color="auto" w:sz="4" w:space="0"/>
              <w:right w:val="single" w:color="auto" w:sz="4" w:space="0"/>
            </w:tcBorders>
            <w:noWrap w:val="0"/>
            <w:vAlign w:val="center"/>
          </w:tcPr>
          <w:p w14:paraId="419EB55C">
            <w:pPr>
              <w:spacing w:line="440" w:lineRule="exact"/>
              <w:jc w:val="center"/>
              <w:rPr>
                <w:rFonts w:hint="eastAsia" w:ascii="宋体" w:hAnsi="宋体" w:eastAsia="宋体" w:cs="宋体"/>
                <w:bCs/>
                <w:sz w:val="24"/>
                <w:szCs w:val="24"/>
              </w:rPr>
            </w:pPr>
            <w:r>
              <w:rPr>
                <w:rFonts w:hint="eastAsia" w:ascii="宋体" w:hAnsi="宋体" w:eastAsia="宋体" w:cs="宋体"/>
                <w:bCs/>
                <w:sz w:val="24"/>
                <w:szCs w:val="24"/>
              </w:rPr>
              <w:t>0-45分</w:t>
            </w:r>
          </w:p>
          <w:p w14:paraId="3B114E07">
            <w:pPr>
              <w:pStyle w:val="13"/>
              <w:spacing w:line="440" w:lineRule="exact"/>
              <w:ind w:left="0" w:firstLine="480"/>
              <w:rPr>
                <w:rFonts w:hint="eastAsia" w:ascii="宋体" w:hAnsi="宋体" w:eastAsia="宋体" w:cs="宋体"/>
                <w:sz w:val="24"/>
                <w:szCs w:val="24"/>
              </w:rPr>
            </w:pPr>
          </w:p>
        </w:tc>
      </w:tr>
      <w:tr w14:paraId="7F647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pct"/>
            <w:vMerge w:val="continue"/>
            <w:tcBorders>
              <w:top w:val="single" w:color="auto" w:sz="4" w:space="0"/>
              <w:left w:val="single" w:color="auto" w:sz="4" w:space="0"/>
              <w:right w:val="single" w:color="auto" w:sz="4" w:space="0"/>
            </w:tcBorders>
            <w:noWrap w:val="0"/>
            <w:vAlign w:val="center"/>
          </w:tcPr>
          <w:p w14:paraId="16144106">
            <w:pPr>
              <w:spacing w:line="440" w:lineRule="exact"/>
              <w:jc w:val="center"/>
              <w:rPr>
                <w:rFonts w:hint="eastAsia" w:ascii="宋体" w:hAnsi="宋体" w:eastAsia="宋体" w:cs="宋体"/>
                <w:sz w:val="24"/>
                <w:szCs w:val="24"/>
              </w:rPr>
            </w:pPr>
          </w:p>
        </w:tc>
        <w:tc>
          <w:tcPr>
            <w:tcW w:w="748" w:type="pct"/>
            <w:tcBorders>
              <w:top w:val="single" w:color="auto" w:sz="4" w:space="0"/>
              <w:left w:val="single" w:color="auto" w:sz="4" w:space="0"/>
              <w:bottom w:val="single" w:color="auto" w:sz="4" w:space="0"/>
              <w:right w:val="single" w:color="auto" w:sz="4" w:space="0"/>
            </w:tcBorders>
            <w:noWrap w:val="0"/>
            <w:vAlign w:val="center"/>
          </w:tcPr>
          <w:p w14:paraId="006611FD">
            <w:pPr>
              <w:spacing w:line="440" w:lineRule="exact"/>
              <w:jc w:val="center"/>
              <w:rPr>
                <w:rFonts w:hint="eastAsia" w:ascii="宋体" w:hAnsi="宋体" w:eastAsia="宋体" w:cs="宋体"/>
                <w:bCs/>
                <w:sz w:val="24"/>
                <w:szCs w:val="24"/>
              </w:rPr>
            </w:pPr>
            <w:r>
              <w:rPr>
                <w:rFonts w:hint="eastAsia" w:ascii="宋体" w:hAnsi="宋体" w:eastAsia="宋体" w:cs="宋体"/>
                <w:sz w:val="24"/>
                <w:szCs w:val="24"/>
              </w:rPr>
              <w:t>投标人业绩</w:t>
            </w:r>
          </w:p>
        </w:tc>
        <w:tc>
          <w:tcPr>
            <w:tcW w:w="2661" w:type="pct"/>
            <w:tcBorders>
              <w:top w:val="single" w:color="auto" w:sz="4" w:space="0"/>
              <w:left w:val="single" w:color="auto" w:sz="4" w:space="0"/>
              <w:bottom w:val="single" w:color="auto" w:sz="4" w:space="0"/>
              <w:right w:val="single" w:color="auto" w:sz="4" w:space="0"/>
            </w:tcBorders>
            <w:noWrap w:val="0"/>
            <w:vAlign w:val="center"/>
          </w:tcPr>
          <w:p w14:paraId="6DAF10E9">
            <w:pPr>
              <w:spacing w:line="440" w:lineRule="exact"/>
              <w:jc w:val="left"/>
              <w:rPr>
                <w:rFonts w:hint="eastAsia" w:ascii="宋体" w:hAnsi="宋体" w:eastAsia="宋体" w:cs="宋体"/>
                <w:bCs/>
                <w:color w:val="000000"/>
                <w:sz w:val="24"/>
                <w:szCs w:val="24"/>
              </w:rPr>
            </w:pPr>
            <w:r>
              <w:rPr>
                <w:rFonts w:hint="eastAsia" w:ascii="宋体" w:hAnsi="宋体" w:eastAsia="宋体" w:cs="宋体"/>
                <w:bCs/>
                <w:color w:val="000000"/>
                <w:sz w:val="24"/>
                <w:szCs w:val="24"/>
              </w:rPr>
              <w:t>根据投标人所提供自2022年1月1日至本次投标截止时间止(日期以验收报告为准)由投标人在国内所完成的与本次投标同类产品的业绩情况进行打分，每提供一份有效的业绩项目得2.5分，满分5分。</w:t>
            </w:r>
          </w:p>
          <w:p w14:paraId="56F44AF6">
            <w:pPr>
              <w:spacing w:line="440" w:lineRule="exact"/>
              <w:jc w:val="left"/>
              <w:rPr>
                <w:rFonts w:hint="eastAsia" w:ascii="宋体" w:hAnsi="宋体" w:eastAsia="宋体" w:cs="宋体"/>
                <w:sz w:val="24"/>
                <w:szCs w:val="24"/>
              </w:rPr>
            </w:pPr>
            <w:r>
              <w:rPr>
                <w:rFonts w:hint="eastAsia" w:ascii="宋体" w:hAnsi="宋体" w:eastAsia="宋体" w:cs="宋体"/>
                <w:b/>
                <w:color w:val="000000"/>
                <w:sz w:val="24"/>
                <w:szCs w:val="24"/>
              </w:rPr>
              <w:t>注：业绩项目中须含采购合同文本复印件，以及能够证明该业绩项目已履约的相关证明文件复印件（如发票或银行收款凭证或采购人出具的验收合格证明材料等），未同时提供以上各项证明材料的，该项业绩不给予计分。</w:t>
            </w:r>
          </w:p>
        </w:tc>
        <w:tc>
          <w:tcPr>
            <w:tcW w:w="723" w:type="pct"/>
            <w:tcBorders>
              <w:top w:val="single" w:color="auto" w:sz="4" w:space="0"/>
              <w:left w:val="single" w:color="auto" w:sz="4" w:space="0"/>
              <w:bottom w:val="single" w:color="auto" w:sz="4" w:space="0"/>
              <w:right w:val="single" w:color="auto" w:sz="4" w:space="0"/>
            </w:tcBorders>
            <w:noWrap w:val="0"/>
            <w:vAlign w:val="center"/>
          </w:tcPr>
          <w:p w14:paraId="1ADEDF51">
            <w:pPr>
              <w:spacing w:line="440" w:lineRule="exact"/>
              <w:jc w:val="center"/>
              <w:rPr>
                <w:rFonts w:hint="eastAsia" w:ascii="宋体" w:hAnsi="宋体" w:eastAsia="宋体" w:cs="宋体"/>
                <w:bCs/>
                <w:sz w:val="24"/>
                <w:szCs w:val="24"/>
              </w:rPr>
            </w:pPr>
            <w:r>
              <w:rPr>
                <w:rFonts w:hint="eastAsia" w:ascii="宋体" w:hAnsi="宋体" w:eastAsia="宋体" w:cs="宋体"/>
                <w:sz w:val="24"/>
                <w:szCs w:val="24"/>
              </w:rPr>
              <w:t>0-5分</w:t>
            </w:r>
          </w:p>
        </w:tc>
      </w:tr>
      <w:tr w14:paraId="05B71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pct"/>
            <w:vMerge w:val="continue"/>
            <w:tcBorders>
              <w:top w:val="single" w:color="auto" w:sz="4" w:space="0"/>
              <w:left w:val="single" w:color="auto" w:sz="4" w:space="0"/>
              <w:right w:val="single" w:color="auto" w:sz="4" w:space="0"/>
            </w:tcBorders>
            <w:noWrap w:val="0"/>
            <w:vAlign w:val="center"/>
          </w:tcPr>
          <w:p w14:paraId="1695F8EC">
            <w:pPr>
              <w:spacing w:line="440" w:lineRule="exact"/>
              <w:jc w:val="center"/>
              <w:rPr>
                <w:rFonts w:hint="eastAsia" w:ascii="宋体" w:hAnsi="宋体" w:eastAsia="宋体" w:cs="宋体"/>
                <w:sz w:val="24"/>
                <w:szCs w:val="24"/>
              </w:rPr>
            </w:pPr>
          </w:p>
        </w:tc>
        <w:tc>
          <w:tcPr>
            <w:tcW w:w="748" w:type="pct"/>
            <w:tcBorders>
              <w:top w:val="single" w:color="auto" w:sz="4" w:space="0"/>
              <w:left w:val="single" w:color="auto" w:sz="4" w:space="0"/>
              <w:bottom w:val="single" w:color="auto" w:sz="4" w:space="0"/>
              <w:right w:val="single" w:color="auto" w:sz="4" w:space="0"/>
            </w:tcBorders>
            <w:noWrap w:val="0"/>
            <w:vAlign w:val="center"/>
          </w:tcPr>
          <w:p w14:paraId="49B77A63">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质保承诺</w:t>
            </w:r>
          </w:p>
        </w:tc>
        <w:tc>
          <w:tcPr>
            <w:tcW w:w="2661" w:type="pct"/>
            <w:tcBorders>
              <w:top w:val="single" w:color="auto" w:sz="4" w:space="0"/>
              <w:left w:val="single" w:color="auto" w:sz="4" w:space="0"/>
              <w:bottom w:val="single" w:color="auto" w:sz="4" w:space="0"/>
              <w:right w:val="single" w:color="auto" w:sz="4" w:space="0"/>
            </w:tcBorders>
            <w:noWrap w:val="0"/>
            <w:vAlign w:val="center"/>
          </w:tcPr>
          <w:p w14:paraId="2F66420E">
            <w:pPr>
              <w:spacing w:line="440" w:lineRule="exact"/>
              <w:jc w:val="left"/>
              <w:rPr>
                <w:rFonts w:hint="eastAsia" w:ascii="宋体" w:hAnsi="宋体" w:eastAsia="宋体" w:cs="宋体"/>
                <w:sz w:val="24"/>
                <w:szCs w:val="24"/>
              </w:rPr>
            </w:pPr>
            <w:r>
              <w:rPr>
                <w:rFonts w:hint="eastAsia" w:ascii="宋体" w:hAnsi="宋体" w:eastAsia="宋体" w:cs="宋体"/>
                <w:sz w:val="24"/>
                <w:szCs w:val="24"/>
              </w:rPr>
              <w:t>投标人承诺在采购需求中要求的质保期的基础上，全部产品每增加一年质保期的得2.5分，满分5分，增加不足1年的部分或仅对部分产品增加的不得分。</w:t>
            </w:r>
          </w:p>
          <w:p w14:paraId="71C332D7">
            <w:pPr>
              <w:spacing w:line="440" w:lineRule="exact"/>
              <w:jc w:val="left"/>
              <w:rPr>
                <w:rFonts w:hint="eastAsia" w:ascii="宋体" w:hAnsi="宋体" w:eastAsia="宋体" w:cs="宋体"/>
                <w:b/>
                <w:bCs/>
                <w:sz w:val="24"/>
                <w:szCs w:val="24"/>
              </w:rPr>
            </w:pPr>
            <w:r>
              <w:rPr>
                <w:rFonts w:hint="eastAsia" w:ascii="宋体" w:hAnsi="宋体" w:eastAsia="宋体" w:cs="宋体"/>
                <w:b/>
                <w:bCs/>
                <w:sz w:val="24"/>
                <w:szCs w:val="24"/>
              </w:rPr>
              <w:t>注：以投标响应表中投标人承诺的质保期作为评审依据。</w:t>
            </w:r>
          </w:p>
          <w:p w14:paraId="3AD9AD21">
            <w:pPr>
              <w:spacing w:line="440" w:lineRule="exact"/>
              <w:jc w:val="left"/>
              <w:rPr>
                <w:rFonts w:hint="eastAsia" w:ascii="宋体" w:hAnsi="宋体" w:eastAsia="宋体" w:cs="宋体"/>
                <w:sz w:val="24"/>
                <w:szCs w:val="24"/>
              </w:rPr>
            </w:pPr>
            <w:r>
              <w:rPr>
                <w:rFonts w:hint="eastAsia" w:ascii="宋体" w:hAnsi="宋体" w:eastAsia="宋体" w:cs="宋体"/>
                <w:b/>
                <w:bCs/>
                <w:sz w:val="24"/>
                <w:szCs w:val="24"/>
              </w:rPr>
              <w:t>所有费用均包含在投标人的投标报价中，中标后采购人不再另行支付任何费用。</w:t>
            </w:r>
          </w:p>
        </w:tc>
        <w:tc>
          <w:tcPr>
            <w:tcW w:w="723" w:type="pct"/>
            <w:tcBorders>
              <w:top w:val="single" w:color="auto" w:sz="4" w:space="0"/>
              <w:left w:val="single" w:color="auto" w:sz="4" w:space="0"/>
              <w:bottom w:val="single" w:color="auto" w:sz="4" w:space="0"/>
              <w:right w:val="single" w:color="auto" w:sz="4" w:space="0"/>
            </w:tcBorders>
            <w:noWrap w:val="0"/>
            <w:vAlign w:val="center"/>
          </w:tcPr>
          <w:p w14:paraId="3D39E362">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0-5分</w:t>
            </w:r>
          </w:p>
        </w:tc>
      </w:tr>
      <w:tr w14:paraId="28187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pct"/>
            <w:vMerge w:val="continue"/>
            <w:tcBorders>
              <w:top w:val="single" w:color="auto" w:sz="4" w:space="0"/>
              <w:left w:val="single" w:color="auto" w:sz="4" w:space="0"/>
              <w:right w:val="single" w:color="auto" w:sz="4" w:space="0"/>
            </w:tcBorders>
            <w:noWrap w:val="0"/>
            <w:vAlign w:val="center"/>
          </w:tcPr>
          <w:p w14:paraId="49C72F66">
            <w:pPr>
              <w:spacing w:line="440" w:lineRule="exact"/>
              <w:jc w:val="center"/>
              <w:rPr>
                <w:rFonts w:hint="eastAsia" w:ascii="宋体" w:hAnsi="宋体" w:eastAsia="宋体" w:cs="宋体"/>
                <w:sz w:val="24"/>
                <w:szCs w:val="24"/>
              </w:rPr>
            </w:pPr>
          </w:p>
        </w:tc>
        <w:tc>
          <w:tcPr>
            <w:tcW w:w="748" w:type="pct"/>
            <w:tcBorders>
              <w:top w:val="single" w:color="auto" w:sz="4" w:space="0"/>
              <w:left w:val="single" w:color="auto" w:sz="4" w:space="0"/>
              <w:bottom w:val="single" w:color="auto" w:sz="4" w:space="0"/>
              <w:right w:val="single" w:color="auto" w:sz="4" w:space="0"/>
            </w:tcBorders>
            <w:noWrap w:val="0"/>
            <w:vAlign w:val="center"/>
          </w:tcPr>
          <w:p w14:paraId="603D6F00">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供货安装调试及培训</w:t>
            </w:r>
          </w:p>
        </w:tc>
        <w:tc>
          <w:tcPr>
            <w:tcW w:w="2661" w:type="pct"/>
            <w:tcBorders>
              <w:top w:val="single" w:color="auto" w:sz="4" w:space="0"/>
              <w:left w:val="single" w:color="auto" w:sz="4" w:space="0"/>
              <w:bottom w:val="single" w:color="auto" w:sz="4" w:space="0"/>
              <w:right w:val="single" w:color="auto" w:sz="4" w:space="0"/>
            </w:tcBorders>
            <w:noWrap w:val="0"/>
            <w:vAlign w:val="top"/>
          </w:tcPr>
          <w:p w14:paraId="264E9637">
            <w:pPr>
              <w:widowControl/>
              <w:spacing w:line="440" w:lineRule="exact"/>
              <w:jc w:val="left"/>
              <w:rPr>
                <w:rFonts w:hint="eastAsia" w:ascii="宋体" w:hAnsi="宋体" w:eastAsia="宋体" w:cs="宋体"/>
                <w:sz w:val="24"/>
                <w:szCs w:val="24"/>
              </w:rPr>
            </w:pPr>
            <w:r>
              <w:rPr>
                <w:rFonts w:hint="eastAsia" w:ascii="宋体" w:hAnsi="宋体" w:eastAsia="宋体" w:cs="宋体"/>
                <w:color w:val="000000"/>
                <w:kern w:val="0"/>
                <w:sz w:val="24"/>
                <w:szCs w:val="24"/>
                <w:lang w:bidi="ar"/>
              </w:rPr>
              <w:t xml:space="preserve">根据投标人所提供的供货安装调试及技术培训方案，由评标委员会进行评分： </w:t>
            </w:r>
          </w:p>
          <w:p w14:paraId="1101A51C">
            <w:pPr>
              <w:widowControl/>
              <w:spacing w:line="440" w:lineRule="exact"/>
              <w:jc w:val="left"/>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（1）供货安装调试方案优于本项目采购需求，完整详细，可行性、实用性、针对性强，得5分；</w:t>
            </w:r>
          </w:p>
          <w:p w14:paraId="6250DAC9">
            <w:pPr>
              <w:widowControl/>
              <w:spacing w:line="440" w:lineRule="exact"/>
              <w:jc w:val="left"/>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（2）供货安装调试方案方案适合本项目采购需求，完整详细，具有可行性、实用性和针对性，得3分；</w:t>
            </w:r>
          </w:p>
          <w:p w14:paraId="19F916FE">
            <w:pPr>
              <w:widowControl/>
              <w:spacing w:line="440" w:lineRule="exact"/>
              <w:jc w:val="left"/>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（3）供货安装调试方案基本适合本项目采购需求，可行性、实用性、针对性有待改善，得1分；</w:t>
            </w:r>
          </w:p>
          <w:p w14:paraId="331AC9AC">
            <w:pPr>
              <w:widowControl/>
              <w:spacing w:line="440" w:lineRule="exact"/>
              <w:jc w:val="left"/>
              <w:rPr>
                <w:rFonts w:hint="eastAsia" w:ascii="宋体" w:hAnsi="宋体" w:eastAsia="宋体" w:cs="宋体"/>
                <w:sz w:val="24"/>
                <w:szCs w:val="24"/>
              </w:rPr>
            </w:pPr>
            <w:r>
              <w:rPr>
                <w:rFonts w:hint="eastAsia" w:ascii="宋体" w:hAnsi="宋体" w:eastAsia="宋体" w:cs="宋体"/>
                <w:color w:val="000000"/>
                <w:kern w:val="0"/>
                <w:sz w:val="24"/>
                <w:szCs w:val="24"/>
                <w:lang w:bidi="ar"/>
              </w:rPr>
              <w:t>（4）供货安装调试方案不可行或者未提供得0分。</w:t>
            </w:r>
          </w:p>
        </w:tc>
        <w:tc>
          <w:tcPr>
            <w:tcW w:w="723" w:type="pct"/>
            <w:tcBorders>
              <w:top w:val="single" w:color="auto" w:sz="4" w:space="0"/>
              <w:left w:val="single" w:color="auto" w:sz="4" w:space="0"/>
              <w:bottom w:val="single" w:color="auto" w:sz="4" w:space="0"/>
              <w:right w:val="single" w:color="auto" w:sz="4" w:space="0"/>
            </w:tcBorders>
            <w:noWrap w:val="0"/>
            <w:vAlign w:val="center"/>
          </w:tcPr>
          <w:p w14:paraId="332309AE">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0-5分</w:t>
            </w:r>
          </w:p>
        </w:tc>
      </w:tr>
      <w:tr w14:paraId="7AED4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pct"/>
            <w:vMerge w:val="continue"/>
            <w:tcBorders>
              <w:left w:val="single" w:color="auto" w:sz="4" w:space="0"/>
              <w:right w:val="single" w:color="auto" w:sz="4" w:space="0"/>
            </w:tcBorders>
            <w:noWrap w:val="0"/>
            <w:vAlign w:val="center"/>
          </w:tcPr>
          <w:p w14:paraId="7508EC7A">
            <w:pPr>
              <w:spacing w:line="440" w:lineRule="exact"/>
              <w:ind w:firstLine="435"/>
              <w:jc w:val="center"/>
              <w:rPr>
                <w:rFonts w:hint="eastAsia" w:ascii="宋体" w:hAnsi="宋体" w:eastAsia="宋体" w:cs="宋体"/>
                <w:b/>
                <w:bCs/>
                <w:sz w:val="24"/>
                <w:szCs w:val="24"/>
              </w:rPr>
            </w:pPr>
          </w:p>
        </w:tc>
        <w:tc>
          <w:tcPr>
            <w:tcW w:w="748" w:type="pct"/>
            <w:tcBorders>
              <w:top w:val="single" w:color="auto" w:sz="4" w:space="0"/>
              <w:left w:val="single" w:color="auto" w:sz="4" w:space="0"/>
              <w:bottom w:val="single" w:color="auto" w:sz="4" w:space="0"/>
              <w:right w:val="single" w:color="auto" w:sz="4" w:space="0"/>
            </w:tcBorders>
            <w:noWrap w:val="0"/>
            <w:vAlign w:val="center"/>
          </w:tcPr>
          <w:p w14:paraId="22D060D3">
            <w:pPr>
              <w:spacing w:line="440" w:lineRule="exact"/>
              <w:jc w:val="center"/>
              <w:rPr>
                <w:rFonts w:hint="eastAsia" w:ascii="宋体" w:hAnsi="宋体" w:eastAsia="宋体" w:cs="宋体"/>
                <w:sz w:val="24"/>
                <w:szCs w:val="24"/>
              </w:rPr>
            </w:pPr>
            <w:r>
              <w:rPr>
                <w:rFonts w:hint="eastAsia" w:ascii="宋体" w:hAnsi="宋体" w:eastAsia="宋体" w:cs="宋体"/>
                <w:kern w:val="0"/>
                <w:sz w:val="24"/>
                <w:szCs w:val="24"/>
              </w:rPr>
              <w:t>售后服务与维保方案</w:t>
            </w:r>
          </w:p>
        </w:tc>
        <w:tc>
          <w:tcPr>
            <w:tcW w:w="2661" w:type="pct"/>
            <w:tcBorders>
              <w:top w:val="single" w:color="auto" w:sz="4" w:space="0"/>
              <w:left w:val="single" w:color="auto" w:sz="4" w:space="0"/>
              <w:bottom w:val="single" w:color="auto" w:sz="4" w:space="0"/>
              <w:right w:val="single" w:color="auto" w:sz="4" w:space="0"/>
            </w:tcBorders>
            <w:noWrap w:val="0"/>
            <w:vAlign w:val="top"/>
          </w:tcPr>
          <w:p w14:paraId="5013998C">
            <w:pPr>
              <w:spacing w:line="440" w:lineRule="exact"/>
              <w:jc w:val="left"/>
              <w:rPr>
                <w:rFonts w:hint="eastAsia" w:ascii="宋体" w:hAnsi="宋体" w:eastAsia="宋体" w:cs="宋体"/>
                <w:sz w:val="24"/>
                <w:szCs w:val="24"/>
              </w:rPr>
            </w:pPr>
            <w:r>
              <w:rPr>
                <w:rFonts w:hint="eastAsia" w:ascii="宋体" w:hAnsi="宋体" w:eastAsia="宋体" w:cs="宋体"/>
                <w:sz w:val="24"/>
                <w:szCs w:val="24"/>
              </w:rPr>
              <w:t>根据投标人提供的售后服务与维保方案，由评标委员会综合评分：</w:t>
            </w:r>
          </w:p>
          <w:p w14:paraId="2316D9E2">
            <w:pPr>
              <w:spacing w:line="440" w:lineRule="exact"/>
              <w:jc w:val="left"/>
              <w:rPr>
                <w:rFonts w:hint="eastAsia" w:ascii="宋体" w:hAnsi="宋体" w:eastAsia="宋体" w:cs="宋体"/>
                <w:sz w:val="24"/>
                <w:szCs w:val="24"/>
              </w:rPr>
            </w:pPr>
            <w:r>
              <w:rPr>
                <w:rFonts w:hint="eastAsia" w:ascii="宋体" w:hAnsi="宋体" w:eastAsia="宋体" w:cs="宋体"/>
                <w:sz w:val="24"/>
                <w:szCs w:val="24"/>
              </w:rPr>
              <w:t>（1）售后服务方案优于本项目采购需求，完整详细，可行性、实用性、针对性强，得5分；</w:t>
            </w:r>
          </w:p>
          <w:p w14:paraId="3BFCEF3F">
            <w:pPr>
              <w:spacing w:line="440" w:lineRule="exact"/>
              <w:jc w:val="left"/>
              <w:rPr>
                <w:rFonts w:hint="eastAsia" w:ascii="宋体" w:hAnsi="宋体" w:eastAsia="宋体" w:cs="宋体"/>
                <w:sz w:val="24"/>
                <w:szCs w:val="24"/>
              </w:rPr>
            </w:pPr>
            <w:r>
              <w:rPr>
                <w:rFonts w:hint="eastAsia" w:ascii="宋体" w:hAnsi="宋体" w:eastAsia="宋体" w:cs="宋体"/>
                <w:sz w:val="24"/>
                <w:szCs w:val="24"/>
              </w:rPr>
              <w:t>（2）售后服务方案适合本项目采购需求，完整详细，具有可行性、实用性和针对性，得3分；</w:t>
            </w:r>
          </w:p>
          <w:p w14:paraId="19858127">
            <w:pPr>
              <w:spacing w:line="440" w:lineRule="exact"/>
              <w:jc w:val="left"/>
              <w:rPr>
                <w:rFonts w:hint="eastAsia" w:ascii="宋体" w:hAnsi="宋体" w:eastAsia="宋体" w:cs="宋体"/>
                <w:sz w:val="24"/>
                <w:szCs w:val="24"/>
              </w:rPr>
            </w:pPr>
            <w:r>
              <w:rPr>
                <w:rFonts w:hint="eastAsia" w:ascii="宋体" w:hAnsi="宋体" w:eastAsia="宋体" w:cs="宋体"/>
                <w:sz w:val="24"/>
                <w:szCs w:val="24"/>
              </w:rPr>
              <w:t>（3）售后服务方案基本适合本项目采购需求，可行性、实用性、针对性有待改善，得1分；</w:t>
            </w:r>
          </w:p>
          <w:p w14:paraId="136BE9F2">
            <w:pPr>
              <w:pStyle w:val="13"/>
              <w:spacing w:line="440" w:lineRule="exact"/>
              <w:ind w:left="0" w:firstLine="0" w:firstLineChars="0"/>
              <w:jc w:val="left"/>
              <w:rPr>
                <w:rFonts w:hint="eastAsia" w:ascii="宋体" w:hAnsi="宋体" w:eastAsia="宋体" w:cs="宋体"/>
                <w:sz w:val="24"/>
                <w:szCs w:val="24"/>
              </w:rPr>
            </w:pPr>
            <w:r>
              <w:rPr>
                <w:rFonts w:hint="eastAsia" w:ascii="宋体" w:hAnsi="宋体" w:eastAsia="宋体" w:cs="宋体"/>
                <w:sz w:val="24"/>
                <w:szCs w:val="24"/>
              </w:rPr>
              <w:t>（4）售后服务方案方案不可行或者未提供得0分。</w:t>
            </w:r>
          </w:p>
        </w:tc>
        <w:tc>
          <w:tcPr>
            <w:tcW w:w="723" w:type="pct"/>
            <w:tcBorders>
              <w:top w:val="single" w:color="auto" w:sz="4" w:space="0"/>
              <w:left w:val="single" w:color="auto" w:sz="4" w:space="0"/>
              <w:bottom w:val="single" w:color="auto" w:sz="4" w:space="0"/>
              <w:right w:val="single" w:color="auto" w:sz="4" w:space="0"/>
            </w:tcBorders>
            <w:noWrap w:val="0"/>
            <w:vAlign w:val="center"/>
          </w:tcPr>
          <w:p w14:paraId="013DA8EB">
            <w:pPr>
              <w:spacing w:line="440" w:lineRule="exact"/>
              <w:jc w:val="center"/>
              <w:rPr>
                <w:rFonts w:hint="eastAsia" w:ascii="宋体" w:hAnsi="宋体" w:eastAsia="宋体" w:cs="宋体"/>
                <w:b/>
                <w:bCs/>
                <w:sz w:val="24"/>
                <w:szCs w:val="24"/>
              </w:rPr>
            </w:pPr>
            <w:r>
              <w:rPr>
                <w:rFonts w:hint="eastAsia" w:ascii="宋体" w:hAnsi="宋体" w:eastAsia="宋体" w:cs="宋体"/>
                <w:sz w:val="24"/>
                <w:szCs w:val="24"/>
              </w:rPr>
              <w:t>0-5分</w:t>
            </w:r>
          </w:p>
        </w:tc>
      </w:tr>
      <w:tr w14:paraId="3A038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pct"/>
            <w:vMerge w:val="continue"/>
            <w:tcBorders>
              <w:left w:val="single" w:color="auto" w:sz="4" w:space="0"/>
              <w:right w:val="single" w:color="auto" w:sz="4" w:space="0"/>
            </w:tcBorders>
            <w:noWrap w:val="0"/>
            <w:vAlign w:val="center"/>
          </w:tcPr>
          <w:p w14:paraId="08F88463">
            <w:pPr>
              <w:spacing w:line="440" w:lineRule="exact"/>
              <w:ind w:firstLine="435"/>
              <w:jc w:val="center"/>
              <w:rPr>
                <w:rFonts w:hint="eastAsia" w:ascii="宋体" w:hAnsi="宋体" w:eastAsia="宋体" w:cs="宋体"/>
                <w:b/>
                <w:bCs/>
                <w:sz w:val="24"/>
                <w:szCs w:val="24"/>
              </w:rPr>
            </w:pPr>
          </w:p>
        </w:tc>
        <w:tc>
          <w:tcPr>
            <w:tcW w:w="748" w:type="pct"/>
            <w:tcBorders>
              <w:top w:val="single" w:color="auto" w:sz="4" w:space="0"/>
              <w:left w:val="single" w:color="auto" w:sz="4" w:space="0"/>
              <w:bottom w:val="single" w:color="auto" w:sz="4" w:space="0"/>
              <w:right w:val="single" w:color="auto" w:sz="4" w:space="0"/>
            </w:tcBorders>
            <w:noWrap w:val="0"/>
            <w:vAlign w:val="center"/>
          </w:tcPr>
          <w:p w14:paraId="2D9B9117">
            <w:pPr>
              <w:spacing w:line="440" w:lineRule="exact"/>
              <w:jc w:val="center"/>
              <w:rPr>
                <w:rFonts w:hint="eastAsia" w:ascii="宋体" w:hAnsi="宋体" w:eastAsia="宋体" w:cs="宋体"/>
                <w:bCs/>
                <w:sz w:val="24"/>
                <w:szCs w:val="24"/>
              </w:rPr>
            </w:pPr>
            <w:r>
              <w:rPr>
                <w:rFonts w:hint="eastAsia" w:ascii="宋体" w:hAnsi="宋体" w:eastAsia="宋体" w:cs="宋体"/>
                <w:bCs/>
                <w:sz w:val="24"/>
                <w:szCs w:val="24"/>
              </w:rPr>
              <w:t>产品选型合理性</w:t>
            </w:r>
          </w:p>
        </w:tc>
        <w:tc>
          <w:tcPr>
            <w:tcW w:w="2661" w:type="pct"/>
            <w:tcBorders>
              <w:top w:val="single" w:color="auto" w:sz="4" w:space="0"/>
              <w:left w:val="single" w:color="auto" w:sz="4" w:space="0"/>
              <w:bottom w:val="single" w:color="auto" w:sz="4" w:space="0"/>
              <w:right w:val="single" w:color="auto" w:sz="4" w:space="0"/>
            </w:tcBorders>
            <w:noWrap w:val="0"/>
            <w:vAlign w:val="center"/>
          </w:tcPr>
          <w:p w14:paraId="5547DEE3">
            <w:pPr>
              <w:widowControl/>
              <w:spacing w:line="440" w:lineRule="exact"/>
              <w:jc w:val="left"/>
              <w:rPr>
                <w:rFonts w:hint="eastAsia" w:ascii="宋体" w:hAnsi="宋体" w:eastAsia="宋体" w:cs="宋体"/>
                <w:sz w:val="24"/>
                <w:szCs w:val="24"/>
              </w:rPr>
            </w:pPr>
            <w:r>
              <w:rPr>
                <w:rFonts w:hint="eastAsia" w:ascii="宋体" w:hAnsi="宋体" w:eastAsia="宋体" w:cs="宋体"/>
                <w:color w:val="000000"/>
                <w:kern w:val="0"/>
                <w:sz w:val="24"/>
                <w:szCs w:val="24"/>
                <w:lang w:bidi="ar"/>
              </w:rPr>
              <w:t xml:space="preserve">根据所供产品选型、配置、技术先进性等进行评分： </w:t>
            </w:r>
          </w:p>
          <w:p w14:paraId="34DB03CD">
            <w:pPr>
              <w:widowControl/>
              <w:spacing w:line="440" w:lineRule="exact"/>
              <w:jc w:val="left"/>
              <w:rPr>
                <w:rFonts w:hint="eastAsia" w:ascii="宋体" w:hAnsi="宋体" w:eastAsia="宋体" w:cs="宋体"/>
                <w:sz w:val="24"/>
                <w:szCs w:val="24"/>
              </w:rPr>
            </w:pPr>
            <w:r>
              <w:rPr>
                <w:rFonts w:hint="eastAsia" w:ascii="宋体" w:hAnsi="宋体" w:eastAsia="宋体" w:cs="宋体"/>
                <w:color w:val="000000"/>
                <w:kern w:val="0"/>
                <w:sz w:val="24"/>
                <w:szCs w:val="24"/>
                <w:lang w:bidi="ar"/>
              </w:rPr>
              <w:t xml:space="preserve">1.产品选型、配置与项目匹配度高，技术先进（产品使用行业最新技术或自身技术优势明显）得5分； </w:t>
            </w:r>
          </w:p>
          <w:p w14:paraId="27B0C3FA">
            <w:pPr>
              <w:widowControl/>
              <w:spacing w:line="440" w:lineRule="exact"/>
              <w:jc w:val="left"/>
              <w:rPr>
                <w:rFonts w:hint="eastAsia" w:ascii="宋体" w:hAnsi="宋体" w:eastAsia="宋体" w:cs="宋体"/>
                <w:sz w:val="24"/>
                <w:szCs w:val="24"/>
              </w:rPr>
            </w:pPr>
            <w:r>
              <w:rPr>
                <w:rFonts w:hint="eastAsia" w:ascii="宋体" w:hAnsi="宋体" w:eastAsia="宋体" w:cs="宋体"/>
                <w:color w:val="000000"/>
                <w:kern w:val="0"/>
                <w:sz w:val="24"/>
                <w:szCs w:val="24"/>
                <w:lang w:bidi="ar"/>
              </w:rPr>
              <w:t xml:space="preserve">2.产品选型、配置与项目匹配，无明显技术优势得3分； </w:t>
            </w:r>
          </w:p>
          <w:p w14:paraId="2E46328B">
            <w:pPr>
              <w:widowControl/>
              <w:spacing w:line="440" w:lineRule="exact"/>
              <w:jc w:val="left"/>
              <w:rPr>
                <w:rFonts w:hint="eastAsia" w:ascii="宋体" w:hAnsi="宋体" w:eastAsia="宋体" w:cs="宋体"/>
                <w:sz w:val="24"/>
                <w:szCs w:val="24"/>
              </w:rPr>
            </w:pPr>
            <w:r>
              <w:rPr>
                <w:rFonts w:hint="eastAsia" w:ascii="宋体" w:hAnsi="宋体" w:eastAsia="宋体" w:cs="宋体"/>
                <w:color w:val="000000"/>
                <w:kern w:val="0"/>
                <w:sz w:val="24"/>
                <w:szCs w:val="24"/>
                <w:lang w:bidi="ar"/>
              </w:rPr>
              <w:t>3.产品选型、配置与项目匹配度低，无技术优势得1分。</w:t>
            </w:r>
          </w:p>
        </w:tc>
        <w:tc>
          <w:tcPr>
            <w:tcW w:w="723" w:type="pct"/>
            <w:tcBorders>
              <w:top w:val="single" w:color="auto" w:sz="4" w:space="0"/>
              <w:left w:val="single" w:color="auto" w:sz="4" w:space="0"/>
              <w:bottom w:val="single" w:color="auto" w:sz="4" w:space="0"/>
              <w:right w:val="single" w:color="auto" w:sz="4" w:space="0"/>
            </w:tcBorders>
            <w:noWrap w:val="0"/>
            <w:vAlign w:val="center"/>
          </w:tcPr>
          <w:p w14:paraId="7AD17D55">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1-5分</w:t>
            </w:r>
          </w:p>
        </w:tc>
      </w:tr>
      <w:tr w14:paraId="39CF6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pct"/>
            <w:tcBorders>
              <w:left w:val="single" w:color="auto" w:sz="4" w:space="0"/>
              <w:right w:val="single" w:color="auto" w:sz="4" w:space="0"/>
            </w:tcBorders>
            <w:noWrap w:val="0"/>
            <w:vAlign w:val="center"/>
          </w:tcPr>
          <w:p w14:paraId="6FD4CD80">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价格分</w:t>
            </w:r>
          </w:p>
          <w:p w14:paraId="6F45CC82">
            <w:pPr>
              <w:spacing w:line="440" w:lineRule="exact"/>
              <w:jc w:val="center"/>
              <w:rPr>
                <w:rFonts w:hint="eastAsia" w:ascii="宋体" w:hAnsi="宋体" w:eastAsia="宋体" w:cs="宋体"/>
                <w:b/>
                <w:bCs/>
                <w:sz w:val="24"/>
                <w:szCs w:val="24"/>
              </w:rPr>
            </w:pPr>
            <w:r>
              <w:rPr>
                <w:rFonts w:hint="eastAsia" w:ascii="宋体" w:hAnsi="宋体" w:eastAsia="宋体" w:cs="宋体"/>
                <w:sz w:val="24"/>
                <w:szCs w:val="24"/>
              </w:rPr>
              <w:t>（</w:t>
            </w:r>
            <w:r>
              <w:rPr>
                <w:rFonts w:hint="eastAsia" w:ascii="宋体" w:hAnsi="宋体" w:eastAsia="宋体" w:cs="宋体"/>
                <w:sz w:val="24"/>
                <w:szCs w:val="24"/>
                <w:u w:val="single"/>
              </w:rPr>
              <w:t>30</w:t>
            </w:r>
            <w:r>
              <w:rPr>
                <w:rFonts w:hint="eastAsia" w:ascii="宋体" w:hAnsi="宋体" w:eastAsia="宋体" w:cs="宋体"/>
                <w:sz w:val="24"/>
                <w:szCs w:val="24"/>
              </w:rPr>
              <w:t>分）</w:t>
            </w:r>
          </w:p>
        </w:tc>
        <w:tc>
          <w:tcPr>
            <w:tcW w:w="4132" w:type="pct"/>
            <w:gridSpan w:val="3"/>
            <w:tcBorders>
              <w:top w:val="single" w:color="auto" w:sz="4" w:space="0"/>
              <w:left w:val="single" w:color="auto" w:sz="4" w:space="0"/>
              <w:bottom w:val="single" w:color="auto" w:sz="4" w:space="0"/>
              <w:right w:val="single" w:color="auto" w:sz="4" w:space="0"/>
            </w:tcBorders>
            <w:noWrap w:val="0"/>
            <w:vAlign w:val="center"/>
          </w:tcPr>
          <w:p w14:paraId="06BE8E2B">
            <w:pPr>
              <w:spacing w:line="440" w:lineRule="exact"/>
              <w:rPr>
                <w:rFonts w:hint="eastAsia" w:ascii="宋体" w:hAnsi="宋体" w:eastAsia="宋体" w:cs="宋体"/>
                <w:sz w:val="24"/>
                <w:szCs w:val="24"/>
              </w:rPr>
            </w:pPr>
            <w:r>
              <w:rPr>
                <w:rFonts w:hint="eastAsia" w:ascii="宋体" w:hAnsi="宋体" w:eastAsia="宋体" w:cs="宋体"/>
                <w:sz w:val="24"/>
                <w:szCs w:val="24"/>
              </w:rPr>
              <w:t>价格分统一采用低价优先法，即满足招标文件要求且投标价格最低的投标报价为评标基准价，其价格分为满分</w:t>
            </w:r>
            <w:r>
              <w:rPr>
                <w:rFonts w:hint="eastAsia" w:ascii="宋体" w:hAnsi="宋体" w:eastAsia="宋体" w:cs="宋体"/>
                <w:sz w:val="24"/>
                <w:szCs w:val="24"/>
                <w:u w:val="single"/>
              </w:rPr>
              <w:t>30</w:t>
            </w:r>
            <w:r>
              <w:rPr>
                <w:rFonts w:hint="eastAsia" w:ascii="宋体" w:hAnsi="宋体" w:eastAsia="宋体" w:cs="宋体"/>
                <w:sz w:val="24"/>
                <w:szCs w:val="24"/>
              </w:rPr>
              <w:t>分。其他投标人的价格分统一按照下列公式计算：</w:t>
            </w:r>
          </w:p>
          <w:p w14:paraId="7572A1A8">
            <w:pPr>
              <w:spacing w:line="440" w:lineRule="exact"/>
              <w:rPr>
                <w:rFonts w:hint="eastAsia" w:ascii="宋体" w:hAnsi="宋体" w:eastAsia="宋体" w:cs="宋体"/>
                <w:b/>
                <w:bCs/>
                <w:sz w:val="24"/>
                <w:szCs w:val="24"/>
              </w:rPr>
            </w:pPr>
            <w:r>
              <w:rPr>
                <w:rFonts w:hint="eastAsia" w:ascii="宋体" w:hAnsi="宋体" w:eastAsia="宋体" w:cs="宋体"/>
                <w:sz w:val="24"/>
                <w:szCs w:val="24"/>
              </w:rPr>
              <w:t>投标报价得分＝（评标基准价/投标报价）×</w:t>
            </w:r>
            <w:r>
              <w:rPr>
                <w:rFonts w:hint="eastAsia" w:ascii="宋体" w:hAnsi="宋体" w:eastAsia="宋体" w:cs="宋体"/>
                <w:sz w:val="24"/>
                <w:szCs w:val="24"/>
                <w:u w:val="single"/>
              </w:rPr>
              <w:t>30</w:t>
            </w:r>
            <w:r>
              <w:rPr>
                <w:rFonts w:hint="eastAsia" w:ascii="宋体" w:hAnsi="宋体" w:eastAsia="宋体" w:cs="宋体"/>
                <w:sz w:val="24"/>
                <w:szCs w:val="24"/>
              </w:rPr>
              <w:t>％×100</w:t>
            </w:r>
          </w:p>
        </w:tc>
      </w:tr>
    </w:tbl>
    <w:p w14:paraId="0984E1BF">
      <w:pPr>
        <w:spacing w:line="360" w:lineRule="auto"/>
        <w:ind w:firstLine="437"/>
        <w:rPr>
          <w:rFonts w:hint="eastAsia" w:ascii="宋体" w:hAnsi="宋体" w:eastAsia="宋体" w:cs="宋体"/>
          <w:sz w:val="24"/>
        </w:rPr>
      </w:pPr>
      <w:r>
        <w:rPr>
          <w:rFonts w:hint="eastAsia" w:ascii="宋体" w:hAnsi="宋体" w:eastAsia="宋体" w:cs="宋体"/>
          <w:sz w:val="24"/>
        </w:rPr>
        <w:t>2.3.3分值汇总</w:t>
      </w:r>
    </w:p>
    <w:p w14:paraId="518DEDDD">
      <w:pPr>
        <w:spacing w:line="360" w:lineRule="auto"/>
        <w:ind w:firstLine="437"/>
        <w:rPr>
          <w:rFonts w:hint="eastAsia" w:ascii="宋体" w:hAnsi="宋体" w:eastAsia="宋体" w:cs="宋体"/>
          <w:sz w:val="24"/>
        </w:rPr>
      </w:pPr>
      <w:r>
        <w:rPr>
          <w:rFonts w:hint="eastAsia" w:ascii="宋体" w:hAnsi="宋体" w:eastAsia="宋体" w:cs="宋体"/>
          <w:sz w:val="24"/>
        </w:rPr>
        <w:t>（1）技术资信评分</w:t>
      </w:r>
    </w:p>
    <w:p w14:paraId="4FD3F8BE">
      <w:pPr>
        <w:spacing w:line="360" w:lineRule="auto"/>
        <w:ind w:firstLine="437"/>
        <w:rPr>
          <w:rFonts w:hint="eastAsia" w:ascii="宋体" w:hAnsi="宋体" w:eastAsia="宋体" w:cs="宋体"/>
          <w:sz w:val="24"/>
        </w:rPr>
      </w:pPr>
      <w:r>
        <w:rPr>
          <w:rFonts w:hint="eastAsia" w:ascii="宋体" w:hAnsi="宋体" w:eastAsia="宋体" w:cs="宋体"/>
          <w:sz w:val="24"/>
        </w:rPr>
        <w:t>评标委员会各成员应当独立对每个有效投标人的投标文件进行评分，并汇总每个投标人的得分。取各位评委评分之平均值（四舍五入保留至小数点后两位数），得到该投标人的技术资信分。</w:t>
      </w:r>
    </w:p>
    <w:p w14:paraId="1EE762F7">
      <w:pPr>
        <w:spacing w:line="360" w:lineRule="auto"/>
        <w:ind w:firstLine="437"/>
        <w:rPr>
          <w:rFonts w:hint="eastAsia" w:ascii="宋体" w:hAnsi="宋体" w:eastAsia="宋体" w:cs="宋体"/>
          <w:sz w:val="24"/>
        </w:rPr>
      </w:pPr>
      <w:r>
        <w:rPr>
          <w:rFonts w:hint="eastAsia" w:ascii="宋体" w:hAnsi="宋体" w:eastAsia="宋体" w:cs="宋体"/>
          <w:sz w:val="24"/>
        </w:rPr>
        <w:t>（2）综合总得分</w:t>
      </w:r>
    </w:p>
    <w:p w14:paraId="6593452C">
      <w:pPr>
        <w:spacing w:line="360" w:lineRule="auto"/>
        <w:ind w:firstLine="437"/>
        <w:rPr>
          <w:rFonts w:hint="eastAsia" w:ascii="宋体" w:hAnsi="宋体" w:eastAsia="宋体" w:cs="宋体"/>
          <w:sz w:val="24"/>
        </w:rPr>
      </w:pPr>
      <w:r>
        <w:rPr>
          <w:rFonts w:hint="eastAsia" w:ascii="宋体" w:hAnsi="宋体" w:eastAsia="宋体" w:cs="宋体"/>
          <w:sz w:val="24"/>
        </w:rPr>
        <w:t>将投标人的技术资信分加上根据上述标准计算出的价格分，即为该投标人的综合总得分。</w:t>
      </w:r>
    </w:p>
    <w:p w14:paraId="3361C572">
      <w:pPr>
        <w:pStyle w:val="13"/>
        <w:ind w:left="0" w:firstLine="0" w:firstLineChars="0"/>
        <w:rPr>
          <w:rFonts w:hint="eastAsia" w:ascii="宋体" w:hAnsi="宋体" w:eastAsia="宋体" w:cs="宋体"/>
        </w:rPr>
      </w:pPr>
    </w:p>
    <w:p w14:paraId="522FDE7B">
      <w:pPr>
        <w:pStyle w:val="7"/>
        <w:rPr>
          <w:rFonts w:hint="eastAsia" w:ascii="宋体" w:hAnsi="宋体" w:eastAsia="宋体" w:cs="宋体"/>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505842B0-17F8-4DD8-94F7-98C7787806D6}"/>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黑体_GBK">
    <w:altName w:val="微软雅黑"/>
    <w:panose1 w:val="00000000000000000000"/>
    <w:charset w:val="86"/>
    <w:family w:val="script"/>
    <w:pitch w:val="default"/>
    <w:sig w:usb0="00000000" w:usb1="00000000" w:usb2="00000010" w:usb3="00000000" w:csb0="00040000" w:csb1="00000000"/>
  </w:font>
  <w:font w:name="@微软简标宋">
    <w:altName w:val="宋体"/>
    <w:panose1 w:val="00000000000000000000"/>
    <w:charset w:val="00"/>
    <w:family w:val="auto"/>
    <w:pitch w:val="default"/>
    <w:sig w:usb0="00000000" w:usb1="00000000" w:usb2="00000010" w:usb3="00000000" w:csb0="00040000" w:csb1="00000000"/>
  </w:font>
  <w:font w:name="楷体_GB2312">
    <w:altName w:val="楷体"/>
    <w:panose1 w:val="02010609030101010101"/>
    <w:charset w:val="00"/>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55E5B7">
    <w:pPr>
      <w:snapToGrid w:val="0"/>
      <w:jc w:val="center"/>
      <w:rPr>
        <w:rFonts w:hint="eastAsia" w:ascii="Arial" w:hAnsi="Arial" w:eastAsia="宋体" w:cs="Arial"/>
        <w:b/>
        <w:bCs/>
        <w:szCs w:val="21"/>
      </w:rPr>
    </w:pPr>
    <w:r>
      <w:rPr>
        <w:rFonts w:ascii="Arial" w:hAnsi="Arial" w:eastAsia="宋体" w:cs="Arial"/>
        <w:sz w:val="22"/>
        <w:szCs w:val="22"/>
      </w:rPr>
      <w:t xml:space="preserve">第 </w:t>
    </w:r>
    <w:r>
      <w:rPr>
        <w:rFonts w:ascii="Arial" w:hAnsi="Arial" w:eastAsia="宋体" w:cs="Arial"/>
        <w:sz w:val="22"/>
        <w:szCs w:val="22"/>
      </w:rPr>
      <w:fldChar w:fldCharType="begin"/>
    </w:r>
    <w:r>
      <w:rPr>
        <w:rFonts w:ascii="Arial" w:hAnsi="Arial" w:eastAsia="宋体" w:cs="Arial"/>
        <w:sz w:val="22"/>
        <w:szCs w:val="22"/>
      </w:rPr>
      <w:instrText xml:space="preserve"> PAGE  \* MERGEFORMAT </w:instrText>
    </w:r>
    <w:r>
      <w:rPr>
        <w:rFonts w:ascii="Arial" w:hAnsi="Arial" w:eastAsia="宋体" w:cs="Arial"/>
        <w:sz w:val="22"/>
        <w:szCs w:val="22"/>
      </w:rPr>
      <w:fldChar w:fldCharType="separate"/>
    </w:r>
    <w:r>
      <w:rPr>
        <w:rFonts w:ascii="Arial" w:hAnsi="Arial" w:eastAsia="宋体" w:cs="Arial"/>
        <w:sz w:val="22"/>
        <w:szCs w:val="22"/>
      </w:rPr>
      <w:t>27</w:t>
    </w:r>
    <w:r>
      <w:rPr>
        <w:rFonts w:ascii="Arial" w:hAnsi="Arial" w:eastAsia="宋体" w:cs="Arial"/>
        <w:sz w:val="22"/>
        <w:szCs w:val="22"/>
      </w:rPr>
      <w:fldChar w:fldCharType="end"/>
    </w:r>
    <w:r>
      <w:rPr>
        <w:rFonts w:ascii="Arial" w:hAnsi="Arial" w:eastAsia="宋体" w:cs="Arial"/>
        <w:sz w:val="22"/>
        <w:szCs w:val="22"/>
      </w:rPr>
      <w:t xml:space="preserve"> 页 共 </w:t>
    </w:r>
    <w:r>
      <w:rPr>
        <w:rFonts w:ascii="Arial" w:hAnsi="Arial" w:eastAsia="宋体" w:cs="Arial"/>
        <w:sz w:val="22"/>
        <w:szCs w:val="22"/>
      </w:rPr>
      <w:fldChar w:fldCharType="begin"/>
    </w:r>
    <w:r>
      <w:rPr>
        <w:rFonts w:hint="eastAsia" w:ascii="Arial" w:hAnsi="Arial" w:eastAsia="宋体" w:cs="Arial"/>
        <w:sz w:val="22"/>
        <w:szCs w:val="22"/>
      </w:rPr>
      <w:instrText xml:space="preserve">=</w:instrText>
    </w:r>
    <w:r>
      <w:rPr>
        <w:rFonts w:hint="eastAsia" w:ascii="Arial" w:hAnsi="Arial" w:eastAsia="宋体" w:cs="Arial"/>
        <w:sz w:val="22"/>
        <w:szCs w:val="22"/>
      </w:rPr>
      <w:fldChar w:fldCharType="begin"/>
    </w:r>
    <w:r>
      <w:rPr>
        <w:rFonts w:hint="eastAsia" w:ascii="Arial" w:hAnsi="Arial" w:eastAsia="宋体" w:cs="Arial"/>
        <w:sz w:val="22"/>
        <w:szCs w:val="22"/>
      </w:rPr>
      <w:instrText xml:space="preserve"> numpages </w:instrText>
    </w:r>
    <w:r>
      <w:rPr>
        <w:rFonts w:hint="eastAsia" w:ascii="Arial" w:hAnsi="Arial" w:eastAsia="宋体" w:cs="Arial"/>
        <w:sz w:val="22"/>
        <w:szCs w:val="22"/>
      </w:rPr>
      <w:fldChar w:fldCharType="separate"/>
    </w:r>
    <w:r>
      <w:rPr>
        <w:rFonts w:hint="eastAsia" w:ascii="Arial" w:hAnsi="Arial" w:eastAsia="宋体" w:cs="Arial"/>
        <w:sz w:val="22"/>
        <w:szCs w:val="22"/>
      </w:rPr>
      <w:instrText xml:space="preserve">10</w:instrText>
    </w:r>
    <w:r>
      <w:rPr>
        <w:rFonts w:hint="eastAsia" w:ascii="Arial" w:hAnsi="Arial" w:eastAsia="宋体" w:cs="Arial"/>
        <w:sz w:val="22"/>
        <w:szCs w:val="22"/>
      </w:rPr>
      <w:fldChar w:fldCharType="end"/>
    </w:r>
    <w:r>
      <w:rPr>
        <w:rFonts w:ascii="Arial" w:hAnsi="Arial" w:eastAsia="宋体" w:cs="Arial"/>
        <w:sz w:val="22"/>
        <w:szCs w:val="22"/>
      </w:rPr>
      <w:fldChar w:fldCharType="separate"/>
    </w:r>
    <w:r>
      <w:rPr>
        <w:rFonts w:ascii="Arial" w:hAnsi="Arial" w:eastAsia="宋体" w:cs="Arial"/>
        <w:sz w:val="22"/>
        <w:szCs w:val="22"/>
      </w:rPr>
      <w:t>56</w:t>
    </w:r>
    <w:r>
      <w:rPr>
        <w:rFonts w:ascii="Arial" w:hAnsi="Arial" w:eastAsia="宋体" w:cs="Arial"/>
        <w:sz w:val="22"/>
        <w:szCs w:val="22"/>
      </w:rPr>
      <w:fldChar w:fldCharType="end"/>
    </w:r>
    <w:r>
      <w:rPr>
        <w:rFonts w:ascii="Arial" w:hAnsi="Arial" w:eastAsia="宋体" w:cs="Arial"/>
        <w:sz w:val="22"/>
        <w:szCs w:val="22"/>
      </w:rPr>
      <w:t xml:space="preserve"> 页</w:t>
    </w:r>
  </w:p>
  <w:p w14:paraId="01BCBEF4">
    <w:pPr>
      <w:pStyle w:val="1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FkNjU5NzgzNTUyOTE4NWZjZGJjY2FiMDYxZjFhOWYifQ=="/>
  </w:docVars>
  <w:rsids>
    <w:rsidRoot w:val="00B02874"/>
    <w:rsid w:val="00112403"/>
    <w:rsid w:val="001C2055"/>
    <w:rsid w:val="001E1BD6"/>
    <w:rsid w:val="00251E8E"/>
    <w:rsid w:val="002906A7"/>
    <w:rsid w:val="002C064C"/>
    <w:rsid w:val="00353962"/>
    <w:rsid w:val="00461480"/>
    <w:rsid w:val="005037E9"/>
    <w:rsid w:val="00550E0E"/>
    <w:rsid w:val="00673ADB"/>
    <w:rsid w:val="006B58B6"/>
    <w:rsid w:val="006E64EF"/>
    <w:rsid w:val="007C4B64"/>
    <w:rsid w:val="00826B7E"/>
    <w:rsid w:val="008B7FA8"/>
    <w:rsid w:val="00922BC0"/>
    <w:rsid w:val="009865DB"/>
    <w:rsid w:val="00A26363"/>
    <w:rsid w:val="00B02874"/>
    <w:rsid w:val="00CC2458"/>
    <w:rsid w:val="00D037E9"/>
    <w:rsid w:val="00EB1F8A"/>
    <w:rsid w:val="00FD2A9A"/>
    <w:rsid w:val="018E53BB"/>
    <w:rsid w:val="026779BA"/>
    <w:rsid w:val="06163BD1"/>
    <w:rsid w:val="06912E92"/>
    <w:rsid w:val="07100621"/>
    <w:rsid w:val="075449B1"/>
    <w:rsid w:val="08346591"/>
    <w:rsid w:val="08C6368D"/>
    <w:rsid w:val="09A17C56"/>
    <w:rsid w:val="09E518F1"/>
    <w:rsid w:val="0A786C09"/>
    <w:rsid w:val="0CB41A4E"/>
    <w:rsid w:val="0F403A6D"/>
    <w:rsid w:val="0F871D69"/>
    <w:rsid w:val="138C7281"/>
    <w:rsid w:val="139F2783"/>
    <w:rsid w:val="13F81C8D"/>
    <w:rsid w:val="154F4A0A"/>
    <w:rsid w:val="1610675F"/>
    <w:rsid w:val="16D36AD7"/>
    <w:rsid w:val="16E02158"/>
    <w:rsid w:val="1C4C3A51"/>
    <w:rsid w:val="1CA4563B"/>
    <w:rsid w:val="1FF95C9E"/>
    <w:rsid w:val="203171E6"/>
    <w:rsid w:val="21A8797C"/>
    <w:rsid w:val="2309269C"/>
    <w:rsid w:val="244A4D1A"/>
    <w:rsid w:val="24FE5B05"/>
    <w:rsid w:val="252E5396"/>
    <w:rsid w:val="25ED0053"/>
    <w:rsid w:val="27552D8B"/>
    <w:rsid w:val="28F27A2C"/>
    <w:rsid w:val="29183639"/>
    <w:rsid w:val="29337FB9"/>
    <w:rsid w:val="2ABC4498"/>
    <w:rsid w:val="2B760580"/>
    <w:rsid w:val="2D1BE600"/>
    <w:rsid w:val="2DEF56A0"/>
    <w:rsid w:val="31BE6E53"/>
    <w:rsid w:val="329B0E37"/>
    <w:rsid w:val="33093FF2"/>
    <w:rsid w:val="336E77BA"/>
    <w:rsid w:val="340824FC"/>
    <w:rsid w:val="34CC79A3"/>
    <w:rsid w:val="34E22D4D"/>
    <w:rsid w:val="3739BB4E"/>
    <w:rsid w:val="37E8067A"/>
    <w:rsid w:val="38E56968"/>
    <w:rsid w:val="39477622"/>
    <w:rsid w:val="416B7C26"/>
    <w:rsid w:val="424E37D0"/>
    <w:rsid w:val="4537637C"/>
    <w:rsid w:val="4561219E"/>
    <w:rsid w:val="465863B2"/>
    <w:rsid w:val="478163F5"/>
    <w:rsid w:val="47E151EE"/>
    <w:rsid w:val="4AE64EED"/>
    <w:rsid w:val="4B5005B9"/>
    <w:rsid w:val="4C59010E"/>
    <w:rsid w:val="4D614D26"/>
    <w:rsid w:val="4FBE4CF7"/>
    <w:rsid w:val="500A5A3E"/>
    <w:rsid w:val="53034162"/>
    <w:rsid w:val="53CF0C3B"/>
    <w:rsid w:val="54E87AB4"/>
    <w:rsid w:val="56111785"/>
    <w:rsid w:val="57580F21"/>
    <w:rsid w:val="5B7B6323"/>
    <w:rsid w:val="5B811D24"/>
    <w:rsid w:val="5CFA4828"/>
    <w:rsid w:val="5D535CE6"/>
    <w:rsid w:val="5DDEE415"/>
    <w:rsid w:val="5EDD7F5D"/>
    <w:rsid w:val="614A57AA"/>
    <w:rsid w:val="61C202FC"/>
    <w:rsid w:val="63587A04"/>
    <w:rsid w:val="63A23524"/>
    <w:rsid w:val="64A07A63"/>
    <w:rsid w:val="65A02B06"/>
    <w:rsid w:val="65E257D5"/>
    <w:rsid w:val="65FEB8EF"/>
    <w:rsid w:val="66174109"/>
    <w:rsid w:val="66D02916"/>
    <w:rsid w:val="67446219"/>
    <w:rsid w:val="683E1A6D"/>
    <w:rsid w:val="6A682DD1"/>
    <w:rsid w:val="6AB75B07"/>
    <w:rsid w:val="723E22A6"/>
    <w:rsid w:val="73F04759"/>
    <w:rsid w:val="74654825"/>
    <w:rsid w:val="74AF5AA0"/>
    <w:rsid w:val="754B3A1B"/>
    <w:rsid w:val="755212F7"/>
    <w:rsid w:val="759E1500"/>
    <w:rsid w:val="76E2215D"/>
    <w:rsid w:val="770C71DA"/>
    <w:rsid w:val="77F43EF6"/>
    <w:rsid w:val="7B0C59FB"/>
    <w:rsid w:val="7B4E0BB2"/>
    <w:rsid w:val="7BBDF06E"/>
    <w:rsid w:val="7C174657"/>
    <w:rsid w:val="7CEF7382"/>
    <w:rsid w:val="7D8E7309"/>
    <w:rsid w:val="7F263BA7"/>
    <w:rsid w:val="7FE44850"/>
    <w:rsid w:val="7FEF5758"/>
    <w:rsid w:val="7FF3F011"/>
    <w:rsid w:val="7FFFD359"/>
    <w:rsid w:val="EBFD1C0C"/>
    <w:rsid w:val="F7B7D6D3"/>
    <w:rsid w:val="FB7FEA5E"/>
    <w:rsid w:val="FEAA8BBE"/>
    <w:rsid w:val="FF6F20B2"/>
    <w:rsid w:val="FFB5BDC4"/>
    <w:rsid w:val="FFFFC9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line="360" w:lineRule="auto"/>
      <w:jc w:val="center"/>
      <w:outlineLvl w:val="0"/>
    </w:pPr>
    <w:rPr>
      <w:rFonts w:eastAsia="方正小标宋_GBK"/>
      <w:bCs/>
      <w:kern w:val="44"/>
      <w:sz w:val="44"/>
      <w:szCs w:val="44"/>
    </w:rPr>
  </w:style>
  <w:style w:type="paragraph" w:styleId="3">
    <w:name w:val="heading 2"/>
    <w:basedOn w:val="1"/>
    <w:next w:val="1"/>
    <w:qFormat/>
    <w:uiPriority w:val="0"/>
    <w:pPr>
      <w:keepNext/>
      <w:keepLines/>
      <w:spacing w:before="240" w:line="360" w:lineRule="auto"/>
      <w:ind w:firstLine="640" w:firstLineChars="200"/>
      <w:jc w:val="left"/>
      <w:outlineLvl w:val="1"/>
    </w:pPr>
    <w:rPr>
      <w:rFonts w:ascii="Arial" w:hAnsi="Arial" w:eastAsia="方正黑体_GBK" w:cs="Times New Roman"/>
      <w:bCs/>
      <w:kern w:val="0"/>
      <w:sz w:val="28"/>
      <w:szCs w:val="32"/>
    </w:rPr>
  </w:style>
  <w:style w:type="paragraph" w:styleId="4">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Document Map"/>
    <w:basedOn w:val="1"/>
    <w:next w:val="1"/>
    <w:qFormat/>
    <w:uiPriority w:val="0"/>
    <w:pPr>
      <w:shd w:val="clear" w:color="auto" w:fill="000080"/>
    </w:pPr>
  </w:style>
  <w:style w:type="paragraph" w:styleId="6">
    <w:name w:val="annotation text"/>
    <w:basedOn w:val="1"/>
    <w:qFormat/>
    <w:uiPriority w:val="0"/>
    <w:pPr>
      <w:jc w:val="left"/>
    </w:pPr>
  </w:style>
  <w:style w:type="paragraph" w:styleId="7">
    <w:name w:val="Body Text"/>
    <w:basedOn w:val="1"/>
    <w:qFormat/>
    <w:uiPriority w:val="0"/>
    <w:pPr>
      <w:spacing w:after="120"/>
    </w:pPr>
    <w:rPr>
      <w:rFonts w:ascii="@微软简标宋" w:hAnsi="@微软简标宋" w:eastAsia="@微软简标宋" w:cs="@微软简标宋"/>
      <w:szCs w:val="24"/>
      <w:lang w:val="zh-CN"/>
    </w:rPr>
  </w:style>
  <w:style w:type="paragraph" w:styleId="8">
    <w:name w:val="Body Text Indent"/>
    <w:basedOn w:val="1"/>
    <w:next w:val="9"/>
    <w:unhideWhenUsed/>
    <w:qFormat/>
    <w:uiPriority w:val="99"/>
    <w:pPr>
      <w:ind w:firstLine="645"/>
    </w:pPr>
    <w:rPr>
      <w:rFonts w:ascii="楷体_GB2312" w:eastAsia="楷体_GB2312"/>
      <w:sz w:val="32"/>
      <w:szCs w:val="20"/>
    </w:rPr>
  </w:style>
  <w:style w:type="paragraph" w:styleId="9">
    <w:name w:val="envelope return"/>
    <w:basedOn w:val="1"/>
    <w:qFormat/>
    <w:uiPriority w:val="99"/>
    <w:pPr>
      <w:snapToGrid w:val="0"/>
    </w:pPr>
    <w:rPr>
      <w:rFonts w:ascii="Arial" w:hAnsi="Arial" w:cs="Arial"/>
    </w:rPr>
  </w:style>
  <w:style w:type="paragraph" w:styleId="10">
    <w:name w:val="footer"/>
    <w:basedOn w:val="1"/>
    <w:link w:val="19"/>
    <w:unhideWhenUsed/>
    <w:qFormat/>
    <w:uiPriority w:val="99"/>
    <w:pPr>
      <w:tabs>
        <w:tab w:val="center" w:pos="4153"/>
        <w:tab w:val="right" w:pos="8306"/>
      </w:tabs>
      <w:snapToGrid w:val="0"/>
      <w:jc w:val="left"/>
    </w:pPr>
    <w:rPr>
      <w:sz w:val="18"/>
      <w:szCs w:val="18"/>
    </w:rPr>
  </w:style>
  <w:style w:type="paragraph" w:styleId="11">
    <w:name w:val="header"/>
    <w:basedOn w:val="1"/>
    <w:link w:val="18"/>
    <w:unhideWhenUsed/>
    <w:qFormat/>
    <w:uiPriority w:val="99"/>
    <w:pPr>
      <w:tabs>
        <w:tab w:val="center" w:pos="4153"/>
        <w:tab w:val="right" w:pos="8306"/>
      </w:tabs>
      <w:snapToGrid w:val="0"/>
      <w:jc w:val="center"/>
    </w:pPr>
    <w:rPr>
      <w:sz w:val="18"/>
      <w:szCs w:val="18"/>
    </w:rPr>
  </w:style>
  <w:style w:type="paragraph" w:styleId="12">
    <w:name w:val="Body Text First Indent"/>
    <w:basedOn w:val="7"/>
    <w:unhideWhenUsed/>
    <w:qFormat/>
    <w:uiPriority w:val="99"/>
    <w:pPr>
      <w:ind w:firstLine="420" w:firstLineChars="100"/>
    </w:pPr>
  </w:style>
  <w:style w:type="paragraph" w:styleId="13">
    <w:name w:val="Body Text First Indent 2"/>
    <w:basedOn w:val="8"/>
    <w:next w:val="1"/>
    <w:unhideWhenUsed/>
    <w:qFormat/>
    <w:uiPriority w:val="99"/>
    <w:pPr>
      <w:ind w:left="420" w:firstLine="420" w:firstLineChars="200"/>
    </w:pPr>
    <w:rPr>
      <w:rFonts w:ascii="Times New Roman" w:cs="Times New Roman"/>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qFormat/>
    <w:uiPriority w:val="0"/>
    <w:rPr>
      <w:color w:val="0000FF"/>
      <w:u w:val="single"/>
    </w:rPr>
  </w:style>
  <w:style w:type="character" w:customStyle="1" w:styleId="18">
    <w:name w:val="页眉 字符"/>
    <w:basedOn w:val="16"/>
    <w:link w:val="11"/>
    <w:qFormat/>
    <w:uiPriority w:val="99"/>
    <w:rPr>
      <w:sz w:val="18"/>
      <w:szCs w:val="18"/>
    </w:rPr>
  </w:style>
  <w:style w:type="character" w:customStyle="1" w:styleId="19">
    <w:name w:val="页脚 字符"/>
    <w:basedOn w:val="16"/>
    <w:link w:val="10"/>
    <w:qFormat/>
    <w:uiPriority w:val="99"/>
    <w:rPr>
      <w:sz w:val="18"/>
      <w:szCs w:val="18"/>
    </w:rPr>
  </w:style>
  <w:style w:type="paragraph" w:customStyle="1" w:styleId="20">
    <w:name w:val="D&amp;L"/>
    <w:basedOn w:val="11"/>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21">
    <w:name w:val="xl31"/>
    <w:basedOn w:val="1"/>
    <w:qFormat/>
    <w:uiPriority w:val="0"/>
    <w:pPr>
      <w:widowControl/>
      <w:spacing w:before="100" w:beforeAutospacing="1" w:after="100" w:afterAutospacing="1"/>
      <w:jc w:val="center"/>
    </w:pPr>
    <w:rPr>
      <w:b/>
      <w:bCs/>
      <w:kern w:val="0"/>
      <w:sz w:val="28"/>
      <w:szCs w:val="28"/>
    </w:rPr>
  </w:style>
  <w:style w:type="character" w:customStyle="1" w:styleId="22">
    <w:name w:val="font11"/>
    <w:qFormat/>
    <w:uiPriority w:val="0"/>
    <w:rPr>
      <w:rFonts w:hint="eastAsia" w:ascii="宋体" w:hAnsi="宋体" w:eastAsia="宋体" w:cs="宋体"/>
      <w:color w:val="000000"/>
      <w:sz w:val="22"/>
      <w:szCs w:val="22"/>
      <w:u w:val="none"/>
    </w:rPr>
  </w:style>
  <w:style w:type="character" w:customStyle="1" w:styleId="23">
    <w:name w:val="font31"/>
    <w:qFormat/>
    <w:uiPriority w:val="0"/>
    <w:rPr>
      <w:rFonts w:ascii="Tahoma" w:hAnsi="Tahoma" w:eastAsia="Tahoma" w:cs="Tahoma"/>
      <w:color w:val="000000"/>
      <w:sz w:val="22"/>
      <w:szCs w:val="22"/>
      <w:u w:val="none"/>
    </w:rPr>
  </w:style>
  <w:style w:type="paragraph" w:customStyle="1" w:styleId="24">
    <w:name w:val="正文 New"/>
    <w:next w:val="2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
    <w:name w:val="正文缩进1"/>
    <w:basedOn w:val="1"/>
    <w:next w:val="5"/>
    <w:qFormat/>
    <w:uiPriority w:val="0"/>
    <w:pPr>
      <w:widowControl w:val="0"/>
      <w:autoSpaceDE/>
      <w:autoSpaceDN/>
      <w:spacing w:before="0" w:after="0" w:line="360" w:lineRule="atLeast"/>
      <w:ind w:left="0" w:firstLine="482"/>
      <w:jc w:val="both"/>
    </w:pPr>
    <w:rPr>
      <w:rFonts w:ascii="Times New Roman" w:eastAsia="宋体"/>
      <w:sz w:val="24"/>
    </w:rPr>
  </w:style>
  <w:style w:type="paragraph" w:styleId="26">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1007</Words>
  <Characters>1034</Characters>
  <Lines>102</Lines>
  <Paragraphs>28</Paragraphs>
  <TotalTime>0</TotalTime>
  <ScaleCrop>false</ScaleCrop>
  <LinksUpToDate>false</LinksUpToDate>
  <CharactersWithSpaces>1034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2023-08-11T09:46:00Z</dcterms:created>
  <dc:creator>严杰 孙</dc:creator>
  <cp:lastModifiedBy>默</cp:lastModifiedBy>
  <cp:lastPrinted>2025-08-13T10:34:00Z</cp:lastPrinted>
  <dcterms:modified xsi:type="dcterms:W3CDTF">2025-09-11T05:33:49Z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C4432251725D43DE8FEB71D45AB603E6_12</vt:lpwstr>
  </property>
  <property fmtid="{D5CDD505-2E9C-101B-9397-08002B2CF9AE}" pid="4" name="KSOTemplateDocerSaveRecord">
    <vt:lpwstr>eyJoZGlkIjoiYzg5NmQxNjBmMjk4NjZkYTRiYWU0ODkwOTEyYzFmYTciLCJ1c2VySWQiOiIyNzU5Nzc4MDIifQ==</vt:lpwstr>
  </property>
</Properties>
</file>