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C0FD3">
      <w:pPr>
        <w:wordWrap w:val="0"/>
        <w:spacing w:line="360" w:lineRule="auto"/>
        <w:jc w:val="center"/>
        <w:outlineLvl w:val="1"/>
        <w:rPr>
          <w:rFonts w:ascii="华文中宋" w:hAnsi="华文中宋" w:eastAsia="华文中宋" w:cs="Times New Roman"/>
          <w:b/>
          <w:bCs/>
          <w:kern w:val="44"/>
          <w:sz w:val="44"/>
          <w:szCs w:val="44"/>
        </w:rPr>
      </w:pPr>
      <w:bookmarkStart w:id="0" w:name="_Toc17676"/>
      <w:bookmarkStart w:id="1" w:name="_Toc5143"/>
      <w:r>
        <w:rPr>
          <w:rFonts w:hint="eastAsia" w:ascii="华文中宋" w:hAnsi="华文中宋" w:eastAsia="华文中宋" w:cs="Times New Roman"/>
          <w:b/>
          <w:bCs/>
          <w:kern w:val="44"/>
          <w:sz w:val="44"/>
          <w:szCs w:val="44"/>
        </w:rPr>
        <w:t xml:space="preserve">第三章  </w:t>
      </w:r>
      <w:bookmarkEnd w:id="0"/>
      <w:bookmarkEnd w:id="1"/>
      <w:r>
        <w:rPr>
          <w:rFonts w:hint="eastAsia" w:ascii="华文中宋" w:hAnsi="华文中宋" w:eastAsia="华文中宋" w:cs="Times New Roman"/>
          <w:b/>
          <w:bCs/>
          <w:kern w:val="44"/>
          <w:sz w:val="44"/>
          <w:szCs w:val="44"/>
        </w:rPr>
        <w:t>采购需求</w:t>
      </w:r>
    </w:p>
    <w:p w14:paraId="43D7B2B2">
      <w:pPr>
        <w:wordWrap w:val="0"/>
        <w:spacing w:line="360" w:lineRule="auto"/>
        <w:rPr>
          <w:rFonts w:ascii="宋体" w:hAnsi="宋体" w:eastAsia="宋体"/>
          <w:b/>
          <w:sz w:val="24"/>
        </w:rPr>
      </w:pPr>
      <w:r>
        <w:rPr>
          <w:rFonts w:hint="eastAsia" w:ascii="宋体" w:hAnsi="宋体" w:eastAsia="宋体"/>
          <w:b/>
          <w:sz w:val="24"/>
        </w:rPr>
        <w:t>前注：</w:t>
      </w:r>
    </w:p>
    <w:p w14:paraId="44EF347A">
      <w:pPr>
        <w:wordWrap w:val="0"/>
        <w:spacing w:line="360" w:lineRule="auto"/>
        <w:ind w:firstLine="437"/>
        <w:rPr>
          <w:rFonts w:ascii="Arial" w:hAnsi="Arial" w:eastAsia="宋体" w:cs="Arial"/>
          <w:b/>
          <w:sz w:val="24"/>
          <w:szCs w:val="18"/>
        </w:rPr>
      </w:pPr>
      <w:r>
        <w:rPr>
          <w:rFonts w:hint="eastAsia" w:ascii="宋体" w:hAnsi="宋体" w:eastAsia="宋体"/>
          <w:sz w:val="24"/>
        </w:rPr>
        <w:t>1.</w:t>
      </w:r>
      <w:r>
        <w:rPr>
          <w:rFonts w:ascii="宋体" w:hAnsi="宋体" w:eastAsia="宋体"/>
          <w:sz w:val="24"/>
        </w:rPr>
        <w:t>本说明中提出的技术方案仅为参考，如无明确限制，</w:t>
      </w:r>
      <w:r>
        <w:rPr>
          <w:rFonts w:hint="eastAsia" w:ascii="宋体" w:hAnsi="宋体" w:eastAsia="宋体"/>
          <w:sz w:val="24"/>
        </w:rPr>
        <w:t>供应商</w:t>
      </w:r>
      <w:r>
        <w:rPr>
          <w:rFonts w:ascii="宋体" w:hAnsi="宋体" w:eastAsia="宋体"/>
          <w:sz w:val="24"/>
        </w:rPr>
        <w:t>可以进行优化，提供满足用户实际需要的更优（或者性能实质上不低于的）</w:t>
      </w:r>
      <w:r>
        <w:rPr>
          <w:rFonts w:hint="eastAsia" w:ascii="宋体" w:hAnsi="宋体" w:eastAsia="宋体"/>
          <w:sz w:val="24"/>
        </w:rPr>
        <w:t>技术</w:t>
      </w:r>
      <w:r>
        <w:rPr>
          <w:rFonts w:ascii="宋体" w:hAnsi="宋体" w:eastAsia="宋体"/>
          <w:sz w:val="24"/>
        </w:rPr>
        <w:t>方案，且此方案须</w:t>
      </w:r>
      <w:r>
        <w:rPr>
          <w:rFonts w:hint="eastAsia" w:ascii="宋体" w:hAnsi="宋体" w:eastAsia="宋体"/>
          <w:sz w:val="24"/>
        </w:rPr>
        <w:t>评标委员会评标</w:t>
      </w:r>
      <w:r>
        <w:rPr>
          <w:rFonts w:ascii="宋体" w:hAnsi="宋体" w:eastAsia="宋体"/>
          <w:sz w:val="24"/>
        </w:rPr>
        <w:t>认可</w:t>
      </w:r>
      <w:r>
        <w:rPr>
          <w:rFonts w:hint="eastAsia" w:ascii="宋体" w:hAnsi="宋体" w:eastAsia="宋体"/>
          <w:sz w:val="24"/>
        </w:rPr>
        <w:t>。</w:t>
      </w:r>
    </w:p>
    <w:p w14:paraId="27BCFB26">
      <w:pPr>
        <w:wordWrap w:val="0"/>
        <w:spacing w:line="360" w:lineRule="auto"/>
        <w:ind w:firstLine="437"/>
        <w:rPr>
          <w:rFonts w:ascii="Arial" w:hAnsi="Arial" w:eastAsia="宋体" w:cs="Arial"/>
          <w:b/>
          <w:sz w:val="28"/>
          <w:szCs w:val="28"/>
        </w:rPr>
      </w:pPr>
      <w:r>
        <w:rPr>
          <w:rFonts w:ascii="Arial" w:hAnsi="Arial" w:eastAsia="宋体" w:cs="Arial"/>
          <w:b/>
          <w:sz w:val="28"/>
          <w:szCs w:val="28"/>
        </w:rPr>
        <w:t>一、</w:t>
      </w:r>
      <w:r>
        <w:rPr>
          <w:rFonts w:hint="eastAsia" w:ascii="Arial" w:hAnsi="Arial" w:eastAsia="宋体" w:cs="Arial"/>
          <w:b/>
          <w:sz w:val="28"/>
          <w:szCs w:val="28"/>
        </w:rPr>
        <w:t>采购需求</w:t>
      </w:r>
      <w:r>
        <w:rPr>
          <w:rFonts w:ascii="Arial" w:hAnsi="Arial" w:eastAsia="宋体" w:cs="Arial"/>
          <w:b/>
          <w:sz w:val="28"/>
          <w:szCs w:val="28"/>
        </w:rPr>
        <w:t>前附表</w:t>
      </w:r>
    </w:p>
    <w:tbl>
      <w:tblPr>
        <w:tblStyle w:val="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214"/>
        <w:gridCol w:w="5976"/>
      </w:tblGrid>
      <w:tr w14:paraId="02652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17FB9794">
            <w:pPr>
              <w:pStyle w:val="10"/>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214" w:type="dxa"/>
            <w:vAlign w:val="center"/>
          </w:tcPr>
          <w:p w14:paraId="29F2DA24">
            <w:pPr>
              <w:pStyle w:val="11"/>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976" w:type="dxa"/>
            <w:vAlign w:val="center"/>
          </w:tcPr>
          <w:p w14:paraId="64A75498">
            <w:pPr>
              <w:pStyle w:val="11"/>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6A16A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7E0659B6">
            <w:pPr>
              <w:pStyle w:val="10"/>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214" w:type="dxa"/>
            <w:vAlign w:val="center"/>
          </w:tcPr>
          <w:p w14:paraId="54AC9B8C">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976" w:type="dxa"/>
            <w:vAlign w:val="center"/>
          </w:tcPr>
          <w:p w14:paraId="0A7CA01A">
            <w:pPr>
              <w:pStyle w:val="11"/>
              <w:widowControl w:val="0"/>
              <w:wordWrap w:val="0"/>
              <w:spacing w:before="0" w:beforeAutospacing="0" w:after="0" w:afterAutospacing="0" w:line="440" w:lineRule="exact"/>
              <w:jc w:val="both"/>
              <w:rPr>
                <w:rFonts w:ascii="宋体" w:hAnsi="宋体" w:eastAsia="宋体" w:cs="宋体"/>
                <w:b w:val="0"/>
                <w:bCs w:val="0"/>
                <w:sz w:val="24"/>
                <w:szCs w:val="24"/>
              </w:rPr>
            </w:pPr>
            <w:r>
              <w:rPr>
                <w:rFonts w:hint="eastAsia" w:ascii="宋体" w:hAnsi="宋体" w:eastAsia="宋体" w:cs="宋体"/>
                <w:b w:val="0"/>
                <w:bCs w:val="0"/>
                <w:sz w:val="24"/>
                <w:szCs w:val="24"/>
              </w:rPr>
              <w:t>验收合格后一次性付清合同款。</w:t>
            </w:r>
          </w:p>
        </w:tc>
      </w:tr>
      <w:tr w14:paraId="512D8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02B01F35">
            <w:pPr>
              <w:pStyle w:val="10"/>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214" w:type="dxa"/>
            <w:vAlign w:val="center"/>
          </w:tcPr>
          <w:p w14:paraId="39A9DE4A">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976" w:type="dxa"/>
            <w:vAlign w:val="center"/>
          </w:tcPr>
          <w:p w14:paraId="44C192E7">
            <w:pPr>
              <w:pStyle w:val="11"/>
              <w:widowControl w:val="0"/>
              <w:wordWrap w:val="0"/>
              <w:spacing w:before="0" w:beforeAutospacing="0" w:after="0" w:afterAutospacing="0" w:line="440" w:lineRule="exact"/>
              <w:jc w:val="both"/>
              <w:rPr>
                <w:rFonts w:ascii="宋体" w:hAnsi="宋体" w:eastAsia="宋体" w:cs="宋体"/>
                <w:b w:val="0"/>
                <w:bCs w:val="0"/>
                <w:sz w:val="24"/>
                <w:szCs w:val="24"/>
              </w:rPr>
            </w:pPr>
            <w:r>
              <w:rPr>
                <w:rFonts w:hint="eastAsia" w:ascii="宋体" w:hAnsi="宋体" w:eastAsia="宋体" w:cs="宋体"/>
                <w:b w:val="0"/>
                <w:bCs w:val="0"/>
                <w:sz w:val="24"/>
                <w:szCs w:val="24"/>
              </w:rPr>
              <w:t>安徽中医药大学或采购人指定地点</w:t>
            </w:r>
          </w:p>
        </w:tc>
      </w:tr>
      <w:tr w14:paraId="20854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5A8CD900">
            <w:pPr>
              <w:pStyle w:val="10"/>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214" w:type="dxa"/>
            <w:vAlign w:val="center"/>
          </w:tcPr>
          <w:p w14:paraId="686DB74E">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976" w:type="dxa"/>
            <w:vAlign w:val="center"/>
          </w:tcPr>
          <w:p w14:paraId="541E112A">
            <w:pPr>
              <w:pStyle w:val="11"/>
              <w:widowControl w:val="0"/>
              <w:wordWrap w:val="0"/>
              <w:spacing w:before="0" w:beforeAutospacing="0" w:after="0" w:afterAutospacing="0" w:line="440" w:lineRule="exact"/>
              <w:jc w:val="both"/>
              <w:rPr>
                <w:rFonts w:ascii="宋体" w:hAnsi="宋体" w:eastAsia="宋体" w:cs="宋体"/>
                <w:b w:val="0"/>
                <w:bCs w:val="0"/>
                <w:sz w:val="24"/>
                <w:szCs w:val="24"/>
              </w:rPr>
            </w:pPr>
            <w:r>
              <w:rPr>
                <w:rFonts w:hint="eastAsia" w:ascii="宋体" w:hAnsi="宋体" w:eastAsia="宋体" w:cs="宋体"/>
                <w:b w:val="0"/>
                <w:bCs w:val="0"/>
                <w:sz w:val="24"/>
                <w:szCs w:val="24"/>
              </w:rPr>
              <w:t xml:space="preserve">合同签订后 45个工作日内     </w:t>
            </w:r>
          </w:p>
        </w:tc>
      </w:tr>
      <w:tr w14:paraId="7A739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34CE04B7">
            <w:pPr>
              <w:pStyle w:val="10"/>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4</w:t>
            </w:r>
          </w:p>
        </w:tc>
        <w:tc>
          <w:tcPr>
            <w:tcW w:w="2214" w:type="dxa"/>
            <w:vAlign w:val="center"/>
          </w:tcPr>
          <w:p w14:paraId="5E979DEC">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免费质保期</w:t>
            </w:r>
          </w:p>
        </w:tc>
        <w:tc>
          <w:tcPr>
            <w:tcW w:w="5976" w:type="dxa"/>
            <w:vAlign w:val="center"/>
          </w:tcPr>
          <w:p w14:paraId="79923E79">
            <w:pPr>
              <w:pStyle w:val="11"/>
              <w:widowControl w:val="0"/>
              <w:wordWrap w:val="0"/>
              <w:spacing w:before="0" w:beforeAutospacing="0" w:after="0" w:afterAutospacing="0" w:line="440" w:lineRule="exact"/>
              <w:jc w:val="both"/>
              <w:rPr>
                <w:rFonts w:ascii="宋体" w:hAnsi="宋体" w:eastAsia="宋体" w:cs="宋体"/>
                <w:b w:val="0"/>
                <w:bCs w:val="0"/>
                <w:sz w:val="24"/>
                <w:szCs w:val="24"/>
              </w:rPr>
            </w:pPr>
            <w:r>
              <w:rPr>
                <w:rFonts w:hint="eastAsia" w:ascii="宋体" w:hAnsi="宋体" w:eastAsia="宋体" w:cs="宋体"/>
                <w:b w:val="0"/>
                <w:bCs w:val="0"/>
                <w:sz w:val="24"/>
                <w:szCs w:val="24"/>
              </w:rPr>
              <w:t>验收合格之日起3年，采购需求另有规定的，以采购需求为准。</w:t>
            </w:r>
          </w:p>
        </w:tc>
      </w:tr>
    </w:tbl>
    <w:p w14:paraId="2A3AC14B">
      <w:pPr>
        <w:wordWrap w:val="0"/>
        <w:spacing w:line="440" w:lineRule="exact"/>
        <w:ind w:firstLine="437"/>
        <w:rPr>
          <w:rFonts w:ascii="Arial" w:hAnsi="Arial" w:eastAsia="宋体" w:cs="Arial"/>
          <w:b/>
          <w:bCs/>
          <w:sz w:val="28"/>
          <w:szCs w:val="28"/>
        </w:rPr>
      </w:pPr>
      <w:r>
        <w:rPr>
          <w:rFonts w:hint="eastAsia" w:ascii="Arial" w:hAnsi="Arial" w:eastAsia="宋体" w:cs="Arial"/>
          <w:b/>
          <w:bCs/>
          <w:sz w:val="28"/>
          <w:szCs w:val="28"/>
        </w:rPr>
        <w:t>二</w:t>
      </w:r>
      <w:r>
        <w:rPr>
          <w:rFonts w:ascii="Arial" w:hAnsi="Arial" w:eastAsia="宋体" w:cs="Arial"/>
          <w:b/>
          <w:bCs/>
          <w:sz w:val="28"/>
          <w:szCs w:val="28"/>
        </w:rPr>
        <w:t>、货物需求</w:t>
      </w:r>
    </w:p>
    <w:p w14:paraId="2B1629AC">
      <w:pPr>
        <w:pStyle w:val="6"/>
        <w:wordWrap w:val="0"/>
        <w:spacing w:line="440" w:lineRule="exact"/>
        <w:ind w:left="0" w:firstLine="482"/>
        <w:rPr>
          <w:rFonts w:ascii="宋体" w:hAnsi="宋体" w:eastAsia="宋体" w:cs="宋体"/>
          <w:b/>
          <w:bCs/>
          <w:sz w:val="24"/>
          <w:szCs w:val="24"/>
        </w:rPr>
      </w:pPr>
      <w:r>
        <w:rPr>
          <w:rFonts w:hint="eastAsia" w:ascii="宋体" w:hAnsi="宋体" w:eastAsia="宋体" w:cs="宋体"/>
          <w:b/>
          <w:bCs/>
          <w:sz w:val="24"/>
          <w:szCs w:val="24"/>
        </w:rPr>
        <w:t>（一）货物需求说明</w:t>
      </w:r>
    </w:p>
    <w:tbl>
      <w:tblPr>
        <w:tblStyle w:val="8"/>
        <w:tblW w:w="9325" w:type="dxa"/>
        <w:tblInd w:w="-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4"/>
        <w:gridCol w:w="1649"/>
        <w:gridCol w:w="5342"/>
      </w:tblGrid>
      <w:tr w14:paraId="40D4B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tcPr>
          <w:p w14:paraId="0C4973A5">
            <w:pPr>
              <w:pStyle w:val="6"/>
              <w:wordWrap w:val="0"/>
              <w:spacing w:line="44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需求内容类别</w:t>
            </w:r>
          </w:p>
        </w:tc>
        <w:tc>
          <w:tcPr>
            <w:tcW w:w="1649" w:type="dxa"/>
          </w:tcPr>
          <w:p w14:paraId="78E63158">
            <w:pPr>
              <w:pStyle w:val="6"/>
              <w:wordWrap w:val="0"/>
              <w:spacing w:line="44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标识符号</w:t>
            </w:r>
          </w:p>
        </w:tc>
        <w:tc>
          <w:tcPr>
            <w:tcW w:w="5342" w:type="dxa"/>
          </w:tcPr>
          <w:p w14:paraId="31FFE3D9">
            <w:pPr>
              <w:pStyle w:val="6"/>
              <w:wordWrap w:val="0"/>
              <w:spacing w:line="440" w:lineRule="exact"/>
              <w:ind w:firstLine="480"/>
              <w:jc w:val="center"/>
              <w:rPr>
                <w:rFonts w:ascii="宋体" w:hAnsi="宋体" w:eastAsia="宋体" w:cs="宋体"/>
                <w:sz w:val="24"/>
                <w:szCs w:val="24"/>
              </w:rPr>
            </w:pPr>
            <w:r>
              <w:rPr>
                <w:rFonts w:hint="eastAsia" w:ascii="宋体" w:hAnsi="宋体" w:eastAsia="宋体" w:cs="宋体"/>
                <w:sz w:val="24"/>
                <w:szCs w:val="24"/>
              </w:rPr>
              <w:t>投标要求</w:t>
            </w:r>
          </w:p>
        </w:tc>
      </w:tr>
      <w:tr w14:paraId="54CA2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vAlign w:val="center"/>
          </w:tcPr>
          <w:p w14:paraId="3C9AE13F">
            <w:pPr>
              <w:spacing w:line="360" w:lineRule="exact"/>
              <w:jc w:val="center"/>
              <w:rPr>
                <w:rFonts w:ascii="宋体" w:hAnsi="宋体" w:eastAsia="宋体" w:cs="宋体"/>
                <w:sz w:val="24"/>
                <w:szCs w:val="24"/>
              </w:rPr>
            </w:pPr>
            <w:r>
              <w:rPr>
                <w:rFonts w:ascii="Times New Roman" w:hAnsi="Times New Roman" w:eastAsia="宋体" w:cs="Times New Roman"/>
                <w:b/>
                <w:bCs/>
                <w:sz w:val="24"/>
              </w:rPr>
              <w:t>重要指标项</w:t>
            </w:r>
          </w:p>
        </w:tc>
        <w:tc>
          <w:tcPr>
            <w:tcW w:w="1649" w:type="dxa"/>
            <w:vAlign w:val="center"/>
          </w:tcPr>
          <w:p w14:paraId="1CC012D1">
            <w:pPr>
              <w:spacing w:line="360" w:lineRule="exact"/>
              <w:jc w:val="center"/>
              <w:rPr>
                <w:rFonts w:ascii="宋体" w:hAnsi="宋体" w:eastAsia="宋体" w:cs="宋体"/>
                <w:sz w:val="24"/>
                <w:szCs w:val="24"/>
              </w:rPr>
            </w:pPr>
            <w:r>
              <w:rPr>
                <w:rFonts w:ascii="Times New Roman" w:hAnsi="Times New Roman" w:eastAsia="宋体" w:cs="Times New Roman"/>
                <w:b/>
                <w:bCs/>
                <w:sz w:val="24"/>
              </w:rPr>
              <w:t>★</w:t>
            </w:r>
          </w:p>
        </w:tc>
        <w:tc>
          <w:tcPr>
            <w:tcW w:w="5342" w:type="dxa"/>
            <w:vAlign w:val="center"/>
          </w:tcPr>
          <w:p w14:paraId="0F9EA91B">
            <w:pPr>
              <w:pStyle w:val="11"/>
              <w:widowControl w:val="0"/>
              <w:spacing w:before="0" w:beforeAutospacing="0" w:after="0" w:afterAutospacing="0" w:line="360" w:lineRule="auto"/>
              <w:jc w:val="both"/>
              <w:rPr>
                <w:rFonts w:ascii="宋体" w:hAnsi="宋体" w:eastAsia="宋体" w:cs="宋体"/>
                <w:sz w:val="24"/>
                <w:szCs w:val="24"/>
              </w:rPr>
            </w:pPr>
            <w:r>
              <w:rPr>
                <w:rFonts w:ascii="Times New Roman" w:hAnsi="Times New Roman" w:eastAsia="宋体" w:cs="Times New Roman"/>
                <w:sz w:val="24"/>
                <w:szCs w:val="22"/>
              </w:rPr>
              <w:t>作为</w:t>
            </w:r>
            <w:r>
              <w:rPr>
                <w:rFonts w:ascii="Times New Roman" w:hAnsi="Times New Roman" w:eastAsia="宋体" w:cs="Times New Roman"/>
                <w:sz w:val="24"/>
              </w:rPr>
              <w:t>重要</w:t>
            </w:r>
            <w:r>
              <w:rPr>
                <w:rFonts w:hint="eastAsia" w:ascii="Times New Roman" w:hAnsi="Times New Roman" w:eastAsia="宋体" w:cs="Times New Roman"/>
                <w:sz w:val="24"/>
                <w:szCs w:val="22"/>
              </w:rPr>
              <w:t>指标项</w:t>
            </w:r>
            <w:r>
              <w:rPr>
                <w:rFonts w:ascii="Times New Roman" w:hAnsi="Times New Roman" w:eastAsia="宋体" w:cs="Times New Roman"/>
                <w:sz w:val="24"/>
                <w:szCs w:val="22"/>
              </w:rPr>
              <w:t>，详见“第四章评</w:t>
            </w:r>
            <w:r>
              <w:rPr>
                <w:rFonts w:hint="eastAsia" w:ascii="Times New Roman" w:hAnsi="Times New Roman" w:eastAsia="宋体" w:cs="Times New Roman"/>
                <w:sz w:val="24"/>
                <w:szCs w:val="22"/>
              </w:rPr>
              <w:t>审</w:t>
            </w:r>
            <w:r>
              <w:rPr>
                <w:rFonts w:ascii="Times New Roman" w:hAnsi="Times New Roman" w:eastAsia="宋体" w:cs="Times New Roman"/>
                <w:sz w:val="24"/>
                <w:szCs w:val="22"/>
              </w:rPr>
              <w:t>方法和标准”中评分细则。</w:t>
            </w:r>
          </w:p>
        </w:tc>
      </w:tr>
      <w:tr w14:paraId="0428E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vAlign w:val="center"/>
          </w:tcPr>
          <w:p w14:paraId="6A63103D">
            <w:pPr>
              <w:spacing w:line="360" w:lineRule="exact"/>
              <w:jc w:val="center"/>
              <w:rPr>
                <w:rFonts w:ascii="宋体" w:hAnsi="宋体" w:eastAsia="宋体" w:cs="宋体"/>
                <w:sz w:val="24"/>
                <w:szCs w:val="24"/>
              </w:rPr>
            </w:pPr>
            <w:r>
              <w:rPr>
                <w:rFonts w:ascii="Times New Roman" w:hAnsi="Times New Roman" w:eastAsia="宋体" w:cs="Times New Roman"/>
                <w:b/>
                <w:bCs/>
                <w:sz w:val="24"/>
              </w:rPr>
              <w:t>一般技术指标（无标识项）</w:t>
            </w:r>
          </w:p>
        </w:tc>
        <w:tc>
          <w:tcPr>
            <w:tcW w:w="1649" w:type="dxa"/>
            <w:vAlign w:val="center"/>
          </w:tcPr>
          <w:p w14:paraId="7572F628">
            <w:pPr>
              <w:spacing w:line="360" w:lineRule="auto"/>
              <w:jc w:val="center"/>
              <w:rPr>
                <w:rFonts w:ascii="宋体" w:hAnsi="宋体" w:eastAsia="宋体" w:cs="宋体"/>
                <w:sz w:val="24"/>
                <w:szCs w:val="24"/>
              </w:rPr>
            </w:pPr>
            <w:r>
              <w:rPr>
                <w:rFonts w:hint="eastAsia" w:ascii="宋体" w:hAnsi="宋体" w:eastAsia="宋体" w:cs="宋体"/>
                <w:b/>
                <w:bCs/>
                <w:sz w:val="24"/>
                <w:szCs w:val="24"/>
              </w:rPr>
              <w:t>无</w:t>
            </w:r>
          </w:p>
        </w:tc>
        <w:tc>
          <w:tcPr>
            <w:tcW w:w="5342" w:type="dxa"/>
            <w:vAlign w:val="center"/>
          </w:tcPr>
          <w:p w14:paraId="565A625A">
            <w:pPr>
              <w:spacing w:line="360" w:lineRule="auto"/>
              <w:jc w:val="left"/>
              <w:rPr>
                <w:rFonts w:ascii="Times New Roman" w:hAnsi="Times New Roman" w:eastAsia="宋体" w:cs="Times New Roman"/>
                <w:b/>
                <w:bCs/>
                <w:kern w:val="0"/>
                <w:sz w:val="24"/>
                <w:szCs w:val="22"/>
              </w:rPr>
            </w:pPr>
            <w:bookmarkStart w:id="2" w:name="_Hlk203638003"/>
            <w:r>
              <w:rPr>
                <w:rFonts w:ascii="Times New Roman" w:hAnsi="Times New Roman" w:eastAsia="宋体" w:cs="Times New Roman"/>
                <w:b/>
                <w:bCs/>
                <w:kern w:val="0"/>
                <w:sz w:val="24"/>
                <w:szCs w:val="22"/>
              </w:rPr>
              <w:t>无标识项为基础指标项</w:t>
            </w:r>
            <w:r>
              <w:rPr>
                <w:rFonts w:hint="eastAsia" w:ascii="Times New Roman" w:hAnsi="Times New Roman" w:eastAsia="宋体" w:cs="Times New Roman"/>
                <w:b/>
                <w:bCs/>
                <w:kern w:val="0"/>
                <w:sz w:val="24"/>
                <w:szCs w:val="22"/>
              </w:rPr>
              <w:t>，</w:t>
            </w:r>
            <w:r>
              <w:rPr>
                <w:rFonts w:ascii="Times New Roman" w:hAnsi="Times New Roman" w:eastAsia="宋体" w:cs="Times New Roman"/>
                <w:b/>
                <w:bCs/>
                <w:kern w:val="0"/>
                <w:sz w:val="24"/>
                <w:szCs w:val="22"/>
              </w:rPr>
              <w:t>5项</w:t>
            </w:r>
            <w:r>
              <w:rPr>
                <w:rFonts w:hint="eastAsia" w:ascii="Times New Roman" w:hAnsi="Times New Roman" w:eastAsia="宋体" w:cs="Times New Roman"/>
                <w:b/>
                <w:bCs/>
                <w:kern w:val="0"/>
                <w:sz w:val="24"/>
                <w:szCs w:val="22"/>
              </w:rPr>
              <w:t>（含5项）及</w:t>
            </w:r>
            <w:r>
              <w:rPr>
                <w:rFonts w:ascii="Times New Roman" w:hAnsi="Times New Roman" w:eastAsia="宋体" w:cs="Times New Roman"/>
                <w:b/>
                <w:bCs/>
                <w:kern w:val="0"/>
                <w:sz w:val="24"/>
                <w:szCs w:val="22"/>
              </w:rPr>
              <w:t>以上负偏离或未响应，将导致响应无效。</w:t>
            </w:r>
          </w:p>
          <w:bookmarkEnd w:id="2"/>
          <w:p w14:paraId="647C006B">
            <w:pPr>
              <w:spacing w:line="360" w:lineRule="auto"/>
              <w:jc w:val="left"/>
              <w:rPr>
                <w:rFonts w:ascii="宋体" w:hAnsi="宋体" w:eastAsia="宋体" w:cs="宋体"/>
                <w:sz w:val="24"/>
                <w:szCs w:val="24"/>
              </w:rPr>
            </w:pPr>
            <w:r>
              <w:rPr>
                <w:rFonts w:ascii="Times New Roman" w:hAnsi="Times New Roman" w:eastAsia="宋体" w:cs="Times New Roman"/>
                <w:b/>
                <w:bCs/>
                <w:sz w:val="24"/>
              </w:rPr>
              <w:t>注：以</w:t>
            </w:r>
            <w:r>
              <w:rPr>
                <w:rFonts w:hint="eastAsia" w:ascii="Times New Roman" w:hAnsi="Times New Roman" w:eastAsia="宋体" w:cs="Times New Roman"/>
                <w:b/>
                <w:bCs/>
                <w:sz w:val="24"/>
              </w:rPr>
              <w:t>公开询比</w:t>
            </w:r>
            <w:r>
              <w:rPr>
                <w:rFonts w:ascii="Times New Roman" w:hAnsi="Times New Roman" w:eastAsia="宋体" w:cs="Times New Roman"/>
                <w:b/>
                <w:bCs/>
                <w:sz w:val="24"/>
              </w:rPr>
              <w:t>响应表及采购需求中要求提供的证明材料作为评审依据。</w:t>
            </w:r>
          </w:p>
        </w:tc>
      </w:tr>
    </w:tbl>
    <w:p w14:paraId="31403E43">
      <w:pPr>
        <w:pStyle w:val="6"/>
        <w:wordWrap w:val="0"/>
        <w:spacing w:line="440" w:lineRule="exact"/>
        <w:ind w:left="0" w:firstLine="0" w:firstLineChars="0"/>
        <w:rPr>
          <w:rFonts w:ascii="宋体" w:hAnsi="宋体" w:eastAsia="宋体" w:cs="宋体"/>
          <w:sz w:val="24"/>
          <w:szCs w:val="24"/>
        </w:rPr>
      </w:pPr>
      <w:r>
        <w:rPr>
          <w:rFonts w:hint="eastAsia" w:ascii="宋体" w:hAnsi="宋体" w:eastAsia="宋体" w:cs="宋体"/>
          <w:b/>
          <w:bCs/>
          <w:sz w:val="24"/>
          <w:szCs w:val="24"/>
        </w:rPr>
        <w:t>（二）货物需求清单</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965"/>
        <w:gridCol w:w="5531"/>
        <w:gridCol w:w="667"/>
        <w:gridCol w:w="677"/>
      </w:tblGrid>
      <w:tr w14:paraId="694A2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31" w:type="dxa"/>
            <w:vAlign w:val="center"/>
          </w:tcPr>
          <w:p w14:paraId="5866DCE7">
            <w:pPr>
              <w:spacing w:line="360" w:lineRule="auto"/>
              <w:jc w:val="center"/>
              <w:rPr>
                <w:rFonts w:ascii="宋体" w:hAnsi="宋体" w:eastAsia="宋体" w:cs="宋体"/>
                <w:b/>
                <w:sz w:val="24"/>
                <w:szCs w:val="24"/>
              </w:rPr>
            </w:pPr>
            <w:r>
              <w:rPr>
                <w:rFonts w:hint="eastAsia" w:ascii="宋体" w:hAnsi="宋体" w:eastAsia="宋体" w:cs="宋体"/>
                <w:b/>
                <w:sz w:val="24"/>
                <w:szCs w:val="24"/>
              </w:rPr>
              <w:t>序号</w:t>
            </w:r>
          </w:p>
        </w:tc>
        <w:tc>
          <w:tcPr>
            <w:tcW w:w="1023" w:type="dxa"/>
            <w:vAlign w:val="center"/>
          </w:tcPr>
          <w:p w14:paraId="3B0490BE">
            <w:pPr>
              <w:spacing w:line="360" w:lineRule="auto"/>
              <w:jc w:val="center"/>
              <w:rPr>
                <w:rFonts w:ascii="宋体" w:hAnsi="宋体" w:eastAsia="宋体" w:cs="宋体"/>
                <w:b/>
                <w:sz w:val="24"/>
                <w:szCs w:val="24"/>
              </w:rPr>
            </w:pPr>
            <w:r>
              <w:rPr>
                <w:rFonts w:hint="eastAsia" w:ascii="宋体" w:hAnsi="宋体" w:eastAsia="宋体" w:cs="宋体"/>
                <w:b/>
                <w:sz w:val="24"/>
                <w:szCs w:val="24"/>
              </w:rPr>
              <w:t>名 称</w:t>
            </w:r>
          </w:p>
        </w:tc>
        <w:tc>
          <w:tcPr>
            <w:tcW w:w="6097" w:type="dxa"/>
            <w:vAlign w:val="center"/>
          </w:tcPr>
          <w:p w14:paraId="3431210B">
            <w:pPr>
              <w:spacing w:line="360" w:lineRule="auto"/>
              <w:jc w:val="center"/>
              <w:rPr>
                <w:rFonts w:ascii="宋体" w:hAnsi="宋体" w:eastAsia="宋体" w:cs="宋体"/>
                <w:b/>
                <w:sz w:val="24"/>
                <w:szCs w:val="24"/>
              </w:rPr>
            </w:pPr>
            <w:r>
              <w:rPr>
                <w:rFonts w:hint="eastAsia" w:ascii="宋体" w:hAnsi="宋体" w:eastAsia="宋体" w:cs="宋体"/>
                <w:b/>
                <w:sz w:val="24"/>
                <w:szCs w:val="24"/>
              </w:rPr>
              <w:t>主要技术参数</w:t>
            </w:r>
          </w:p>
        </w:tc>
        <w:tc>
          <w:tcPr>
            <w:tcW w:w="712" w:type="dxa"/>
            <w:vAlign w:val="center"/>
          </w:tcPr>
          <w:p w14:paraId="0A2FA43D">
            <w:pPr>
              <w:spacing w:line="360" w:lineRule="auto"/>
              <w:jc w:val="center"/>
              <w:rPr>
                <w:rFonts w:ascii="宋体" w:hAnsi="宋体" w:eastAsia="宋体" w:cs="宋体"/>
                <w:b/>
                <w:sz w:val="24"/>
                <w:szCs w:val="24"/>
              </w:rPr>
            </w:pPr>
            <w:r>
              <w:rPr>
                <w:rFonts w:hint="eastAsia" w:ascii="宋体" w:hAnsi="宋体" w:eastAsia="宋体" w:cs="宋体"/>
                <w:b/>
                <w:sz w:val="24"/>
                <w:szCs w:val="24"/>
              </w:rPr>
              <w:t>单位</w:t>
            </w:r>
          </w:p>
        </w:tc>
        <w:tc>
          <w:tcPr>
            <w:tcW w:w="725" w:type="dxa"/>
            <w:vAlign w:val="center"/>
          </w:tcPr>
          <w:p w14:paraId="457BD159">
            <w:pPr>
              <w:spacing w:line="360" w:lineRule="auto"/>
              <w:jc w:val="center"/>
              <w:rPr>
                <w:rFonts w:ascii="宋体" w:hAnsi="宋体" w:eastAsia="宋体" w:cs="宋体"/>
                <w:b/>
                <w:sz w:val="24"/>
                <w:szCs w:val="24"/>
              </w:rPr>
            </w:pPr>
            <w:r>
              <w:rPr>
                <w:rFonts w:hint="eastAsia" w:ascii="宋体" w:hAnsi="宋体" w:eastAsia="宋体" w:cs="宋体"/>
                <w:b/>
                <w:sz w:val="24"/>
                <w:szCs w:val="24"/>
              </w:rPr>
              <w:t>数量</w:t>
            </w:r>
          </w:p>
        </w:tc>
      </w:tr>
      <w:tr w14:paraId="11466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722276B0">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w:t>
            </w:r>
          </w:p>
        </w:tc>
        <w:tc>
          <w:tcPr>
            <w:tcW w:w="1023" w:type="dxa"/>
            <w:vAlign w:val="center"/>
          </w:tcPr>
          <w:p w14:paraId="66F4DC33">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S形拼接沙发</w:t>
            </w:r>
          </w:p>
        </w:tc>
        <w:tc>
          <w:tcPr>
            <w:tcW w:w="6097" w:type="dxa"/>
            <w:vAlign w:val="center"/>
          </w:tcPr>
          <w:p w14:paraId="5433D10E">
            <w:pPr>
              <w:widowControl/>
              <w:numPr>
                <w:ilvl w:val="0"/>
                <w:numId w:val="1"/>
              </w:numPr>
              <w:spacing w:line="360" w:lineRule="auto"/>
              <w:ind w:left="0" w:firstLine="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尺寸规格：≥11000mm*850mm*820mm</w:t>
            </w:r>
          </w:p>
          <w:p w14:paraId="6F5CAA06">
            <w:pPr>
              <w:widowControl/>
              <w:numPr>
                <w:ilvl w:val="0"/>
                <w:numId w:val="1"/>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饰面：采用优质西皮；厚度1.3-1.5mm、撕</w:t>
            </w:r>
          </w:p>
          <w:p w14:paraId="62682D57">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裂强度&gt;35N/mm、断裂伸长率&lt;80%、颜色摩擦度&gt;4.5/3.5（干、湿)；</w:t>
            </w:r>
          </w:p>
          <w:p w14:paraId="26E920B6">
            <w:pPr>
              <w:widowControl/>
              <w:numPr>
                <w:ilvl w:val="0"/>
                <w:numId w:val="1"/>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海棉：优质定型压缩棉，密度为35-45KG/</w:t>
            </w:r>
          </w:p>
          <w:p w14:paraId="28601D5D">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立方，回弹力不低于47%、拉深强度不小于85KPA；</w:t>
            </w:r>
          </w:p>
          <w:p w14:paraId="022802ED">
            <w:pPr>
              <w:widowControl/>
              <w:numPr>
                <w:ilvl w:val="0"/>
                <w:numId w:val="1"/>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弹簧：采用高强度蛇形退火弹簧及强力织带</w:t>
            </w:r>
          </w:p>
          <w:p w14:paraId="044FB050">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橡筋；</w:t>
            </w:r>
          </w:p>
          <w:p w14:paraId="651C73E8">
            <w:pPr>
              <w:widowControl/>
              <w:numPr>
                <w:ilvl w:val="0"/>
                <w:numId w:val="1"/>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框架：含水率低于10%的硬木木方及15mm</w:t>
            </w:r>
          </w:p>
          <w:p w14:paraId="7EA948CE">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 xml:space="preserve">多层夹板，承托力≥450kg，经防腐、防虫化学处理,含水率＜12%，榫眼结构。 </w:t>
            </w:r>
          </w:p>
          <w:p w14:paraId="148B9AA3">
            <w:pPr>
              <w:widowControl/>
              <w:numPr>
                <w:ilvl w:val="0"/>
                <w:numId w:val="1"/>
              </w:numPr>
              <w:spacing w:line="360" w:lineRule="auto"/>
              <w:jc w:val="left"/>
              <w:textAlignment w:val="center"/>
              <w:rPr>
                <w:rFonts w:ascii="宋体" w:hAnsi="宋体" w:eastAsia="宋体" w:cs="宋体"/>
                <w:sz w:val="24"/>
                <w:szCs w:val="24"/>
              </w:rPr>
            </w:pPr>
            <w:r>
              <w:rPr>
                <w:rFonts w:hint="eastAsia" w:ascii="宋体" w:hAnsi="宋体" w:eastAsia="宋体" w:cs="宋体"/>
                <w:color w:val="000000"/>
                <w:sz w:val="24"/>
                <w:szCs w:val="24"/>
              </w:rPr>
              <w:t>脚架：钢制沙发架。</w:t>
            </w:r>
          </w:p>
        </w:tc>
        <w:tc>
          <w:tcPr>
            <w:tcW w:w="712" w:type="dxa"/>
            <w:vAlign w:val="center"/>
          </w:tcPr>
          <w:p w14:paraId="6F16FB0F">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color w:val="000000"/>
                <w:sz w:val="24"/>
                <w:szCs w:val="24"/>
              </w:rPr>
              <w:t>1</w:t>
            </w:r>
          </w:p>
        </w:tc>
        <w:tc>
          <w:tcPr>
            <w:tcW w:w="725" w:type="dxa"/>
            <w:vAlign w:val="center"/>
          </w:tcPr>
          <w:p w14:paraId="4B645F28">
            <w:pPr>
              <w:widowControl/>
              <w:snapToGrid w:val="0"/>
              <w:spacing w:line="360" w:lineRule="auto"/>
              <w:jc w:val="center"/>
              <w:textAlignment w:val="center"/>
              <w:rPr>
                <w:rFonts w:ascii="宋体" w:hAnsi="宋体" w:eastAsia="宋体" w:cs="宋体"/>
                <w:bCs/>
                <w:kern w:val="0"/>
                <w:sz w:val="24"/>
                <w:szCs w:val="24"/>
              </w:rPr>
            </w:pPr>
            <w:r>
              <w:rPr>
                <w:rFonts w:hint="eastAsia" w:ascii="宋体" w:hAnsi="宋体" w:eastAsia="宋体" w:cs="宋体"/>
                <w:color w:val="000000"/>
                <w:sz w:val="24"/>
                <w:szCs w:val="24"/>
              </w:rPr>
              <w:t>套</w:t>
            </w:r>
          </w:p>
        </w:tc>
      </w:tr>
      <w:tr w14:paraId="1537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5BF61652">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2</w:t>
            </w:r>
          </w:p>
        </w:tc>
        <w:tc>
          <w:tcPr>
            <w:tcW w:w="1023" w:type="dxa"/>
            <w:vAlign w:val="center"/>
          </w:tcPr>
          <w:p w14:paraId="74CF3058">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三门茶水柜</w:t>
            </w:r>
          </w:p>
        </w:tc>
        <w:tc>
          <w:tcPr>
            <w:tcW w:w="6097" w:type="dxa"/>
            <w:vAlign w:val="center"/>
          </w:tcPr>
          <w:p w14:paraId="6908101A">
            <w:pPr>
              <w:widowControl/>
              <w:numPr>
                <w:ilvl w:val="0"/>
                <w:numId w:val="2"/>
              </w:numPr>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尺寸规格：≥1200mm*400mm*800mm</w:t>
            </w:r>
          </w:p>
          <w:p w14:paraId="5B8764C3">
            <w:pPr>
              <w:widowControl/>
              <w:numPr>
                <w:ilvl w:val="0"/>
                <w:numId w:val="2"/>
              </w:numPr>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基材：绿色环保中密度板，甲醛含量符合</w:t>
            </w:r>
          </w:p>
          <w:p w14:paraId="4B2455F6">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GB18580-2001E1级标准，含水率＜12%。达到E1级标准；</w:t>
            </w:r>
          </w:p>
          <w:p w14:paraId="1F452340">
            <w:pPr>
              <w:widowControl/>
              <w:numPr>
                <w:ilvl w:val="0"/>
                <w:numId w:val="2"/>
              </w:numPr>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贴面：天然AAA级泰柚木皮，厚度≥0.6mm；</w:t>
            </w:r>
          </w:p>
          <w:p w14:paraId="5A6DCEC2">
            <w:pPr>
              <w:widowControl/>
              <w:numPr>
                <w:ilvl w:val="0"/>
                <w:numId w:val="2"/>
              </w:numPr>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封边：使用与贴面用材种类相同的实木；</w:t>
            </w:r>
          </w:p>
          <w:p w14:paraId="06415B3A">
            <w:pPr>
              <w:widowControl/>
              <w:numPr>
                <w:ilvl w:val="0"/>
                <w:numId w:val="2"/>
              </w:numPr>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油漆：PU透明底漆、亚光聚酯漆；无苯、</w:t>
            </w:r>
          </w:p>
          <w:p w14:paraId="2FFCDF45">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绿色环保,五底三面，达到GB18581-2001标准；</w:t>
            </w:r>
          </w:p>
          <w:p w14:paraId="76F12369">
            <w:pPr>
              <w:widowControl/>
              <w:numPr>
                <w:ilvl w:val="0"/>
                <w:numId w:val="2"/>
              </w:numPr>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其中两门采用玻璃门。配件采用优质五金配</w:t>
            </w:r>
          </w:p>
          <w:p w14:paraId="07B97DA9">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件，安全可靠，拼接紧密，间隙细小且均匀；</w:t>
            </w:r>
          </w:p>
        </w:tc>
        <w:tc>
          <w:tcPr>
            <w:tcW w:w="712" w:type="dxa"/>
            <w:vAlign w:val="center"/>
          </w:tcPr>
          <w:p w14:paraId="5E3267B4">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color w:val="000000"/>
                <w:sz w:val="24"/>
                <w:szCs w:val="24"/>
              </w:rPr>
              <w:t>2</w:t>
            </w:r>
          </w:p>
        </w:tc>
        <w:tc>
          <w:tcPr>
            <w:tcW w:w="725" w:type="dxa"/>
            <w:vAlign w:val="center"/>
          </w:tcPr>
          <w:p w14:paraId="1F28B103">
            <w:pPr>
              <w:widowControl/>
              <w:snapToGrid w:val="0"/>
              <w:spacing w:line="360" w:lineRule="auto"/>
              <w:jc w:val="center"/>
              <w:textAlignment w:val="center"/>
              <w:rPr>
                <w:rFonts w:ascii="宋体" w:hAnsi="宋体" w:eastAsia="宋体" w:cs="宋体"/>
                <w:bCs/>
                <w:kern w:val="0"/>
                <w:sz w:val="24"/>
                <w:szCs w:val="24"/>
              </w:rPr>
            </w:pPr>
            <w:r>
              <w:rPr>
                <w:rFonts w:hint="eastAsia" w:ascii="宋体" w:hAnsi="宋体" w:eastAsia="宋体" w:cs="宋体"/>
                <w:color w:val="000000"/>
                <w:kern w:val="0"/>
                <w:sz w:val="24"/>
                <w:szCs w:val="24"/>
                <w:lang w:bidi="ar"/>
              </w:rPr>
              <w:t>套</w:t>
            </w:r>
          </w:p>
        </w:tc>
      </w:tr>
      <w:tr w14:paraId="0FE9E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67A1A153">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color w:val="000000"/>
                <w:sz w:val="24"/>
                <w:szCs w:val="24"/>
              </w:rPr>
              <w:t>3</w:t>
            </w:r>
          </w:p>
        </w:tc>
        <w:tc>
          <w:tcPr>
            <w:tcW w:w="1023" w:type="dxa"/>
            <w:vAlign w:val="center"/>
          </w:tcPr>
          <w:p w14:paraId="3E26D375">
            <w:pPr>
              <w:widowControl/>
              <w:spacing w:line="360" w:lineRule="auto"/>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休闲桌椅（一桌两椅）</w:t>
            </w:r>
          </w:p>
        </w:tc>
        <w:tc>
          <w:tcPr>
            <w:tcW w:w="6097" w:type="dxa"/>
            <w:vAlign w:val="center"/>
          </w:tcPr>
          <w:p w14:paraId="3E872E50">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桌子尺寸规格：≥800mm*800mm*750mm；</w:t>
            </w:r>
          </w:p>
          <w:p w14:paraId="686B7C24">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基材：绿色环保中密度板，甲醛含量符合</w:t>
            </w:r>
          </w:p>
          <w:p w14:paraId="43D45CA9">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GB18580-2001E1级标准，含水率＜12%；</w:t>
            </w:r>
          </w:p>
          <w:p w14:paraId="7FC870A3">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贴面：天然AAA级泰柚木皮，厚度≥0.6mm；</w:t>
            </w:r>
          </w:p>
          <w:p w14:paraId="0BA9A3F3">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封边：使用与贴面用材种类相同的实木；</w:t>
            </w:r>
          </w:p>
          <w:p w14:paraId="394BB303">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油漆：PU透明底漆、亚光聚酯漆；无苯、</w:t>
            </w:r>
          </w:p>
          <w:p w14:paraId="3F66F5A8">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绿色环保,五底三面，达到GB18581-2001标准；</w:t>
            </w:r>
          </w:p>
          <w:p w14:paraId="2CC6A617">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配件：优质五金配件，安全可靠，拼接紧密，</w:t>
            </w:r>
          </w:p>
          <w:p w14:paraId="7246576A">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间隙细小且均匀；</w:t>
            </w:r>
          </w:p>
          <w:p w14:paraId="233F650A">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椅子尺寸规格：≥560mm*580mm*870mm，一</w:t>
            </w:r>
          </w:p>
          <w:p w14:paraId="5F743CC3">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桌搭配两把椅子</w:t>
            </w:r>
          </w:p>
          <w:p w14:paraId="383E88F9">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椅面：采用优质西皮；透气性强，厚度</w:t>
            </w:r>
          </w:p>
          <w:p w14:paraId="05CB688E">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1.3-1.5mm、撕裂强度&gt;35N/mm、断裂伸长率&lt;80%、颜色摩度&gt;4.5/3.5（干、湿)；</w:t>
            </w:r>
          </w:p>
          <w:p w14:paraId="01053E87">
            <w:pPr>
              <w:widowControl/>
              <w:numPr>
                <w:ilvl w:val="0"/>
                <w:numId w:val="3"/>
              </w:numPr>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海绵：优质定型压缩绵，密度为35-45KG/</w:t>
            </w:r>
          </w:p>
          <w:p w14:paraId="42F46C38">
            <w:pPr>
              <w:widowControl/>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立方，回弹力不低于47%、拉深强度不小于85KPA；</w:t>
            </w:r>
          </w:p>
          <w:p w14:paraId="17F4B2A7">
            <w:pPr>
              <w:widowControl/>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8、脚架：优质橡木，坚实耐用；</w:t>
            </w:r>
          </w:p>
        </w:tc>
        <w:tc>
          <w:tcPr>
            <w:tcW w:w="712" w:type="dxa"/>
            <w:vAlign w:val="center"/>
          </w:tcPr>
          <w:p w14:paraId="06AE3EBD">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2</w:t>
            </w:r>
          </w:p>
        </w:tc>
        <w:tc>
          <w:tcPr>
            <w:tcW w:w="725" w:type="dxa"/>
            <w:vAlign w:val="center"/>
          </w:tcPr>
          <w:p w14:paraId="53178086">
            <w:pPr>
              <w:widowControl/>
              <w:snapToGrid w:val="0"/>
              <w:spacing w:line="360" w:lineRule="auto"/>
              <w:jc w:val="center"/>
              <w:textAlignment w:val="center"/>
              <w:rPr>
                <w:rFonts w:ascii="宋体" w:hAnsi="宋体" w:eastAsia="宋体" w:cs="宋体"/>
                <w:bCs/>
                <w:kern w:val="0"/>
                <w:sz w:val="24"/>
                <w:szCs w:val="24"/>
              </w:rPr>
            </w:pPr>
            <w:r>
              <w:rPr>
                <w:rFonts w:hint="eastAsia" w:ascii="宋体" w:hAnsi="宋体" w:eastAsia="宋体" w:cs="宋体"/>
                <w:color w:val="000000"/>
                <w:kern w:val="0"/>
                <w:sz w:val="24"/>
                <w:szCs w:val="24"/>
                <w:lang w:bidi="ar"/>
              </w:rPr>
              <w:t>套</w:t>
            </w:r>
          </w:p>
        </w:tc>
      </w:tr>
      <w:tr w14:paraId="1EAFF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0" w:type="auto"/>
            <w:gridSpan w:val="5"/>
            <w:vAlign w:val="center"/>
          </w:tcPr>
          <w:p w14:paraId="7779AD5A">
            <w:pPr>
              <w:widowControl/>
              <w:spacing w:line="360" w:lineRule="auto"/>
              <w:jc w:val="center"/>
              <w:textAlignment w:val="center"/>
              <w:rPr>
                <w:rFonts w:ascii="宋体" w:hAnsi="宋体" w:eastAsia="宋体" w:cs="宋体"/>
                <w:bCs/>
                <w:kern w:val="0"/>
                <w:sz w:val="24"/>
                <w:szCs w:val="24"/>
              </w:rPr>
            </w:pPr>
            <w:r>
              <w:rPr>
                <w:rFonts w:hint="eastAsia" w:ascii="宋体" w:hAnsi="宋体" w:eastAsia="宋体" w:cs="宋体"/>
                <w:b/>
                <w:kern w:val="0"/>
                <w:sz w:val="24"/>
                <w:szCs w:val="24"/>
              </w:rPr>
              <w:t>二、MPA多功能室软硬件设施及环境改造</w:t>
            </w:r>
          </w:p>
        </w:tc>
      </w:tr>
      <w:tr w14:paraId="42F9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57BA50EE">
            <w:pPr>
              <w:spacing w:line="360" w:lineRule="auto"/>
              <w:jc w:val="center"/>
              <w:rPr>
                <w:rFonts w:ascii="宋体" w:hAnsi="宋体" w:eastAsia="宋体" w:cs="宋体"/>
                <w:sz w:val="24"/>
                <w:szCs w:val="24"/>
              </w:rPr>
            </w:pPr>
            <w:r>
              <w:rPr>
                <w:rFonts w:hint="eastAsia" w:ascii="宋体" w:hAnsi="宋体" w:eastAsia="宋体" w:cs="宋体"/>
                <w:sz w:val="24"/>
                <w:szCs w:val="24"/>
              </w:rPr>
              <w:t>1</w:t>
            </w:r>
          </w:p>
        </w:tc>
        <w:tc>
          <w:tcPr>
            <w:tcW w:w="1023" w:type="dxa"/>
            <w:vAlign w:val="center"/>
          </w:tcPr>
          <w:p w14:paraId="2D88A219">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sz w:val="24"/>
                <w:szCs w:val="24"/>
              </w:rPr>
              <w:t>互动录播终端</w:t>
            </w:r>
          </w:p>
        </w:tc>
        <w:tc>
          <w:tcPr>
            <w:tcW w:w="6097" w:type="dxa"/>
            <w:vAlign w:val="center"/>
          </w:tcPr>
          <w:p w14:paraId="09E8703C">
            <w:pPr>
              <w:widowControl/>
              <w:snapToGrid w:val="0"/>
              <w:spacing w:line="360" w:lineRule="auto"/>
              <w:jc w:val="left"/>
              <w:textAlignment w:val="center"/>
              <w:rPr>
                <w:rFonts w:ascii="宋体" w:hAnsi="宋体" w:eastAsia="宋体" w:cs="宋体"/>
                <w:b/>
                <w:bCs/>
                <w:color w:val="000000"/>
                <w:sz w:val="24"/>
                <w:szCs w:val="24"/>
              </w:rPr>
            </w:pPr>
            <w:r>
              <w:rPr>
                <w:rFonts w:hint="eastAsia" w:ascii="宋体" w:hAnsi="宋体" w:eastAsia="宋体" w:cs="宋体"/>
                <w:b/>
                <w:bCs/>
                <w:color w:val="000000"/>
                <w:sz w:val="24"/>
                <w:szCs w:val="24"/>
              </w:rPr>
              <w:t>一、互动录播终端主机</w:t>
            </w:r>
          </w:p>
          <w:p w14:paraId="05B1242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1、为保证系统整体编解码性能及使用稳定性，</w:t>
            </w:r>
          </w:p>
          <w:p w14:paraId="3836FC2F">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主机需至少具备8核CPU，不少于4个主频2.4GHz芯片，且不少于4个主频1.8GHz芯片。采用Linux深度定制操作系统。</w:t>
            </w:r>
          </w:p>
          <w:p w14:paraId="499E38F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2、主机系统内存≥8GB，存储容量不低于1TB。</w:t>
            </w:r>
          </w:p>
          <w:p w14:paraId="3BE2322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3、为保证不影响授课，主机无风扇设计，主机</w:t>
            </w:r>
          </w:p>
          <w:p w14:paraId="447F421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噪声小于20dB（A）。</w:t>
            </w:r>
          </w:p>
          <w:p w14:paraId="035EBFF5">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4、内置蓝牙无线物联模块，主机无需线缆就可</w:t>
            </w:r>
          </w:p>
          <w:p w14:paraId="2874F2A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以实现对同品牌音箱的音量控制，也可通过同品牌讲台实现对主机开关机控制。</w:t>
            </w:r>
          </w:p>
          <w:p w14:paraId="7BA17C6D">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5、支持标准USB音视频信号输出，可以同时支</w:t>
            </w:r>
          </w:p>
          <w:p w14:paraId="32CB0AE2">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持UVC和UAC协议，通过主机TypeC接口可以实现图像和声音同步输出，支持不小于4K图像输出，输出音频可通过主机控制软件实现混音，兼容主流视频会议软件。</w:t>
            </w:r>
          </w:p>
          <w:p w14:paraId="15210A1E">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★6、主机支持开机自动搜索无线音频设备，并</w:t>
            </w:r>
          </w:p>
          <w:p w14:paraId="5CF5E6A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自动对频，无需额外的配对操作；对频成功后，互动录播终端主机一体化触控屏上可查看连接状态，且支持音频提醒，通过提示音确定连接状态</w:t>
            </w:r>
            <w:r>
              <w:rPr>
                <w:rFonts w:hint="eastAsia" w:ascii="宋体" w:hAnsi="宋体" w:eastAsia="宋体" w:cs="宋体"/>
                <w:b/>
                <w:bCs/>
                <w:color w:val="000000"/>
                <w:sz w:val="24"/>
                <w:szCs w:val="24"/>
              </w:rPr>
              <w:t>（响应文件中须提供具有CNAS或CMA标识的第三方权威检测机构出具的检测报告复印件或扫描件)</w:t>
            </w:r>
          </w:p>
          <w:p w14:paraId="532523A5">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7、内置专业音频隔离模块，3.5mm音频通道均</w:t>
            </w:r>
          </w:p>
          <w:p w14:paraId="1996263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可实现音频隔离，可有效解决地环路带来电流声。</w:t>
            </w:r>
          </w:p>
          <w:p w14:paraId="3C9F7C43">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8、主机采用高度集成化设计，能够独立完成视</w:t>
            </w:r>
          </w:p>
          <w:p w14:paraId="56B9D72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频采集、音频采集、音频编码、视频编码、音频处理、视频处理表、直播、录制、互动、远程运维参数设置功能。</w:t>
            </w:r>
          </w:p>
          <w:p w14:paraId="649E38DA">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★9、支持注册 IOT 物联平台，可通过 IOT 物</w:t>
            </w:r>
          </w:p>
          <w:p w14:paraId="04BE8B47">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联平台实现对设备的远程管控；支持通过 IOT 平台查看当前的主机总数、日活个数、月活个数、当前在线数量，支持通过平台查看设备在线和离线状态，支持通过平台查看设备 ID 地址、IP 地址、激活时间信息；支持通过 IOT 物联平台，以 web 网页和公网环境实现对设备的远程配置，支持唤醒、关机、重启、参数配置操作。</w:t>
            </w:r>
            <w:r>
              <w:rPr>
                <w:rFonts w:hint="eastAsia" w:ascii="宋体" w:hAnsi="宋体" w:eastAsia="宋体" w:cs="宋体"/>
                <w:b/>
                <w:bCs/>
                <w:color w:val="000000"/>
                <w:sz w:val="24"/>
                <w:szCs w:val="24"/>
              </w:rPr>
              <w:t>（响应文件中须提供具有CNAS或CMA标识的第三方权威检测机构出具的检测报告复印件或扫描件)</w:t>
            </w:r>
          </w:p>
          <w:p w14:paraId="05E6517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10、内置音频接收模块。无需外接无线音频</w:t>
            </w:r>
          </w:p>
          <w:p w14:paraId="34160DE0">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接收模块，即可完成无线音频采集，支持同时≥2个无线麦克风接入，且同时支持≥2种对频模式。</w:t>
            </w:r>
          </w:p>
          <w:p w14:paraId="7BE051F7">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11、支持断电扩声，在主机完全断电的情况</w:t>
            </w:r>
          </w:p>
          <w:p w14:paraId="227B1B0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下，从主机线性音频通道上输入的音频可以从主机输出通道输出，且≥2个音频输入通道可以支持该功能，满足全场景的教学使用需求。</w:t>
            </w:r>
          </w:p>
          <w:p w14:paraId="54265CC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12、通过互动录播终端主机一体化触控屏</w:t>
            </w:r>
          </w:p>
          <w:p w14:paraId="1409AB2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支持 ①预监画面，可同时预监学生特写、学生全景、教师特写、教师全景、课件画面、导播画面；②实现开始、暂停、停止录制；③实现一键直播；④实现导播操控并能够预监导播画面。</w:t>
            </w:r>
          </w:p>
          <w:p w14:paraId="640B4AC7">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13、主机具有液晶电容屏 ，尺寸≥13英寸、</w:t>
            </w:r>
          </w:p>
          <w:p w14:paraId="54A2F8D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分辨率≥1920*1080。</w:t>
            </w:r>
          </w:p>
          <w:p w14:paraId="7CC528F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 xml:space="preserve">14、屏幕需满足无蓝光危害，符合IEC </w:t>
            </w:r>
          </w:p>
          <w:p w14:paraId="69BFDC9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62471:2006要求，即在10000s（约2.8h）内不造成对视网膜蓝光危害（LB）,其LB需达到≤100 W·m-2·sr-1。</w:t>
            </w:r>
          </w:p>
          <w:p w14:paraId="6C76222F">
            <w:pPr>
              <w:widowControl/>
              <w:snapToGrid w:val="0"/>
              <w:spacing w:line="360" w:lineRule="auto"/>
              <w:jc w:val="left"/>
              <w:textAlignment w:val="center"/>
              <w:rPr>
                <w:rFonts w:ascii="宋体" w:hAnsi="宋体" w:eastAsia="宋体" w:cs="宋体"/>
                <w:b/>
                <w:bCs/>
                <w:color w:val="000000"/>
                <w:sz w:val="24"/>
                <w:szCs w:val="24"/>
              </w:rPr>
            </w:pPr>
            <w:r>
              <w:rPr>
                <w:rFonts w:hint="eastAsia" w:ascii="宋体" w:hAnsi="宋体" w:eastAsia="宋体" w:cs="宋体"/>
                <w:b/>
                <w:bCs/>
                <w:color w:val="000000"/>
                <w:sz w:val="24"/>
                <w:szCs w:val="24"/>
              </w:rPr>
              <w:t>二、主机互动系统</w:t>
            </w:r>
          </w:p>
          <w:p w14:paraId="329EAF81">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15、支持自动接听，设置自动接听后，听课</w:t>
            </w:r>
          </w:p>
          <w:p w14:paraId="46CC9AC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端会自动接通来自主讲端的互动请求，可选择设置关闭，同时支持手动接听。</w:t>
            </w:r>
          </w:p>
          <w:p w14:paraId="2D8E598B">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 xml:space="preserve">16、支持标准 SIP 互动协议，支持与标准 </w:t>
            </w:r>
          </w:p>
          <w:p w14:paraId="67D83C2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SIP 终端实现音视频互动，支持 1080p@30fps 高清视频互动。</w:t>
            </w:r>
          </w:p>
          <w:p w14:paraId="56B4AAB9">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 xml:space="preserve">17、支持互动清晰度设置：支持 </w:t>
            </w:r>
          </w:p>
          <w:p w14:paraId="5294977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1080p@30fps，分辨率可选择 1080p、720p、VGA、QVGA，帧率可选择 30fps、25fps。互动画质可选择好、一般、流畅三个等级。</w:t>
            </w:r>
          </w:p>
          <w:p w14:paraId="1A095EA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18、支持双流自动发送，设置自动发送后，</w:t>
            </w:r>
          </w:p>
          <w:p w14:paraId="5ECE13F2">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建立呼叫，主讲教室自动发送双流。</w:t>
            </w:r>
          </w:p>
          <w:p w14:paraId="4CE5321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19、支持课程预约功能，互动录播终端主机</w:t>
            </w:r>
          </w:p>
          <w:p w14:paraId="4BC717D3">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能接收平台下发的互动课表，并显示于互动电脑主机一体化触控屏上，用户点击课表即可立即加入课堂，进行实时互动。</w:t>
            </w:r>
          </w:p>
          <w:p w14:paraId="19925791">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★20、支持微信扫码登录，无需单独输入账</w:t>
            </w:r>
          </w:p>
          <w:p w14:paraId="5AEF4386">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号，使用微信扫描互动录播终端主机一体化触控屏上显示的二维码即可登录互动系统，登陆后显示用户头像和用户名。</w:t>
            </w:r>
            <w:r>
              <w:rPr>
                <w:rFonts w:hint="eastAsia" w:ascii="宋体" w:hAnsi="宋体" w:eastAsia="宋体" w:cs="宋体"/>
                <w:b/>
                <w:bCs/>
                <w:color w:val="000000"/>
                <w:sz w:val="24"/>
                <w:szCs w:val="24"/>
              </w:rPr>
              <w:t>（响应文件中须提供具有CNAS或CMA标识的第三方权威检测机构出具的检测报告复印件或扫描件)</w:t>
            </w:r>
          </w:p>
          <w:p w14:paraId="710F0A4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21、支持手动切换发给远端的画面。支持</w:t>
            </w:r>
          </w:p>
          <w:p w14:paraId="750547E2">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通过互动录播终端主机一体化触控屏实现音量大小调整、静音。支持互动过程中一键全屏，全屏放大主画面，隐藏所有图标。支持开启和关闭桌面共享功能。</w:t>
            </w:r>
          </w:p>
          <w:p w14:paraId="11B789C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22、互动过程中可随时邀请新的听课端加</w:t>
            </w:r>
          </w:p>
          <w:p w14:paraId="3698B9D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入，支持拨号呼叫，用户可通过互动录播终端主机一体化触控屏上的拨号键盘实现拨号呼叫；支持互动通讯录功能，通讯录可显示最近呼叫的账号信息，可通过通讯录实现一键呼叫。</w:t>
            </w:r>
          </w:p>
          <w:p w14:paraId="000E59DD">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23、支持一键结束互动，用户通过互动录播</w:t>
            </w:r>
          </w:p>
          <w:p w14:paraId="3917C1E3">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终端主机一体化触控屏一键结束互动。</w:t>
            </w:r>
          </w:p>
          <w:p w14:paraId="771D9992">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24、支持通过互动录播终端主机一体化触</w:t>
            </w:r>
          </w:p>
          <w:p w14:paraId="552360FF">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控屏实现导播控制，过程中可选择自动导播/手动导播；支持通过 PC 客户端软件进行远程导播控制。</w:t>
            </w:r>
          </w:p>
          <w:p w14:paraId="72DE64E1">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25、PC 客户端软件支持进行互动听课端列</w:t>
            </w:r>
          </w:p>
          <w:p w14:paraId="5E4321F8">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表查看、发言管理功能。</w:t>
            </w:r>
          </w:p>
          <w:p w14:paraId="137DC23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★26、无需通过任何第三方软件即可进行</w:t>
            </w:r>
          </w:p>
          <w:p w14:paraId="6C46CB2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网络监测，并在互动录播终端主机一体化触控屏上显示教室网络状态；实现对网络联通性、网络稳定性、上行速度、下行速度、网络追踪性、网卡信息实时检测；在一段时间内，支持以折线图方式实时呈现网络稳定性、上行速度和下行速度。</w:t>
            </w:r>
            <w:r>
              <w:rPr>
                <w:rFonts w:hint="eastAsia" w:ascii="宋体" w:hAnsi="宋体" w:eastAsia="宋体" w:cs="宋体"/>
                <w:b/>
                <w:bCs/>
                <w:color w:val="000000"/>
                <w:sz w:val="24"/>
                <w:szCs w:val="24"/>
              </w:rPr>
              <w:t>（响应文件中须提供具有CNAS或CMA标识的第三方权威检测机构出具的检测报告复印件或扫描件)</w:t>
            </w:r>
          </w:p>
          <w:p w14:paraId="223AE1A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27、支持开始互动同步开始录制，用户可选</w:t>
            </w:r>
          </w:p>
          <w:p w14:paraId="2CF4204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择进入互动后是否自动开启录制。互动过程中可通过互动录播终端主机一体化触控屏实现录制和直播控制，互动过程中可以控制开始录制、结束录制、开始直播、结束直播。</w:t>
            </w:r>
          </w:p>
          <w:p w14:paraId="098B1B07">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28、互动过程中，可以在互动录播终端主机</w:t>
            </w:r>
          </w:p>
          <w:p w14:paraId="27FE4318">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一体化触控屏调出当前视频参数，包括加密方式、音频格式、视频格式、视频分辨率、实时上行/下行速率、丢包率和服务厂商信息。</w:t>
            </w:r>
          </w:p>
          <w:p w14:paraId="22D06563">
            <w:pPr>
              <w:widowControl/>
              <w:snapToGrid w:val="0"/>
              <w:spacing w:line="360" w:lineRule="auto"/>
              <w:jc w:val="left"/>
              <w:textAlignment w:val="center"/>
              <w:rPr>
                <w:rFonts w:ascii="宋体" w:hAnsi="宋体" w:eastAsia="宋体" w:cs="宋体"/>
                <w:b/>
                <w:bCs/>
                <w:color w:val="000000"/>
                <w:sz w:val="24"/>
                <w:szCs w:val="24"/>
              </w:rPr>
            </w:pPr>
            <w:r>
              <w:rPr>
                <w:rFonts w:hint="eastAsia" w:ascii="宋体" w:hAnsi="宋体" w:eastAsia="宋体" w:cs="宋体"/>
                <w:b/>
                <w:bCs/>
                <w:color w:val="000000"/>
                <w:sz w:val="24"/>
                <w:szCs w:val="24"/>
              </w:rPr>
              <w:t>三、主机导播系统</w:t>
            </w:r>
          </w:p>
          <w:p w14:paraId="16F6C723">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29、支持设定自动导播默认画面，画面可以</w:t>
            </w:r>
          </w:p>
          <w:p w14:paraId="4D1AF325">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保持在默认画面，支持设置自动导播画面的保护时间和保持时间，支持自定义选择参与自动导播的画面。</w:t>
            </w:r>
          </w:p>
          <w:p w14:paraId="7CDECC8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30、支持单画面、画中画、左右等分、三画</w:t>
            </w:r>
          </w:p>
          <w:p w14:paraId="78A9DDE4">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面、四画面的画面合成功能，支持自动导播、手动导播，可通过互动录播终端主机一体化触控屏实现模式选择。</w:t>
            </w:r>
          </w:p>
          <w:p w14:paraId="2A861009">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31、可设定导播优先级，支持定时切换设</w:t>
            </w:r>
          </w:p>
          <w:p w14:paraId="5E675C82">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置，可自由选择切换时间和切换画面，支持根据学生、老师行为状态实现画面智能切换。</w:t>
            </w:r>
          </w:p>
          <w:p w14:paraId="1F5CE21A">
            <w:pPr>
              <w:widowControl/>
              <w:snapToGrid w:val="0"/>
              <w:spacing w:line="360" w:lineRule="auto"/>
              <w:ind w:left="420" w:hanging="420"/>
              <w:jc w:val="left"/>
              <w:textAlignment w:val="center"/>
              <w:rPr>
                <w:rFonts w:ascii="宋体" w:hAnsi="宋体" w:eastAsia="宋体" w:cs="宋体"/>
                <w:sz w:val="24"/>
                <w:szCs w:val="24"/>
              </w:rPr>
            </w:pPr>
            <w:r>
              <w:rPr>
                <w:rFonts w:hint="eastAsia" w:ascii="宋体" w:hAnsi="宋体" w:eastAsia="宋体" w:cs="宋体"/>
                <w:sz w:val="24"/>
                <w:szCs w:val="24"/>
              </w:rPr>
              <w:t>32、</w:t>
            </w:r>
            <w:r>
              <w:rPr>
                <w:rFonts w:hint="eastAsia" w:ascii="宋体" w:hAnsi="宋体" w:eastAsia="宋体" w:cs="宋体"/>
                <w:color w:val="000000"/>
                <w:sz w:val="24"/>
                <w:szCs w:val="24"/>
              </w:rPr>
              <w:t>支持本地导播、远程导播，本地导播可</w:t>
            </w:r>
          </w:p>
          <w:p w14:paraId="2AC5D407">
            <w:pPr>
              <w:widowControl/>
              <w:snapToGrid w:val="0"/>
              <w:spacing w:line="360" w:lineRule="auto"/>
              <w:jc w:val="left"/>
              <w:textAlignment w:val="center"/>
              <w:rPr>
                <w:rFonts w:ascii="宋体" w:hAnsi="宋体" w:eastAsia="宋体" w:cs="宋体"/>
                <w:sz w:val="24"/>
                <w:szCs w:val="24"/>
              </w:rPr>
            </w:pPr>
            <w:r>
              <w:rPr>
                <w:rFonts w:hint="eastAsia" w:ascii="宋体" w:hAnsi="宋体" w:eastAsia="宋体" w:cs="宋体"/>
                <w:color w:val="000000"/>
                <w:sz w:val="24"/>
                <w:szCs w:val="24"/>
              </w:rPr>
              <w:t>通过互动录播终端主机一体化触控屏实现本地导播控制；也可通过触控回传实现画面导播，无需外接键鼠设备，通过交互智能平板实现对互动录播终端主机的导播控制，远程导播可通过网络实现远程导播控制。</w:t>
            </w:r>
          </w:p>
        </w:tc>
        <w:tc>
          <w:tcPr>
            <w:tcW w:w="712" w:type="dxa"/>
            <w:vAlign w:val="center"/>
          </w:tcPr>
          <w:p w14:paraId="5593349D">
            <w:pPr>
              <w:widowControl/>
              <w:snapToGrid w:val="0"/>
              <w:spacing w:line="360" w:lineRule="auto"/>
              <w:jc w:val="center"/>
              <w:textAlignment w:val="center"/>
              <w:rPr>
                <w:rFonts w:ascii="宋体" w:hAnsi="宋体" w:eastAsia="宋体" w:cs="宋体"/>
                <w:sz w:val="24"/>
                <w:szCs w:val="24"/>
              </w:rPr>
            </w:pPr>
            <w:r>
              <w:rPr>
                <w:rFonts w:hint="eastAsia" w:ascii="宋体" w:hAnsi="宋体" w:eastAsia="宋体" w:cs="宋体"/>
                <w:sz w:val="24"/>
                <w:szCs w:val="24"/>
              </w:rPr>
              <w:t>1</w:t>
            </w:r>
          </w:p>
        </w:tc>
        <w:tc>
          <w:tcPr>
            <w:tcW w:w="725" w:type="dxa"/>
            <w:vAlign w:val="center"/>
          </w:tcPr>
          <w:p w14:paraId="5E631C8E">
            <w:pPr>
              <w:widowControl/>
              <w:snapToGrid w:val="0"/>
              <w:spacing w:line="360" w:lineRule="auto"/>
              <w:jc w:val="center"/>
              <w:textAlignment w:val="center"/>
              <w:rPr>
                <w:rFonts w:ascii="宋体" w:hAnsi="宋体" w:eastAsia="宋体" w:cs="宋体"/>
                <w:bCs/>
                <w:kern w:val="0"/>
                <w:sz w:val="24"/>
                <w:szCs w:val="24"/>
              </w:rPr>
            </w:pPr>
            <w:r>
              <w:rPr>
                <w:rFonts w:hint="eastAsia" w:ascii="宋体" w:hAnsi="宋体" w:eastAsia="宋体" w:cs="宋体"/>
                <w:sz w:val="24"/>
                <w:szCs w:val="24"/>
              </w:rPr>
              <w:t>台</w:t>
            </w:r>
          </w:p>
        </w:tc>
      </w:tr>
      <w:tr w14:paraId="3574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181C75D1">
            <w:pPr>
              <w:spacing w:line="360" w:lineRule="auto"/>
              <w:jc w:val="center"/>
              <w:rPr>
                <w:rFonts w:ascii="宋体" w:hAnsi="宋体" w:eastAsia="宋体" w:cs="宋体"/>
                <w:sz w:val="24"/>
                <w:szCs w:val="24"/>
              </w:rPr>
            </w:pPr>
            <w:r>
              <w:rPr>
                <w:rFonts w:hint="eastAsia" w:ascii="宋体" w:hAnsi="宋体" w:eastAsia="宋体" w:cs="宋体"/>
                <w:sz w:val="24"/>
                <w:szCs w:val="24"/>
              </w:rPr>
              <w:t>2</w:t>
            </w:r>
          </w:p>
        </w:tc>
        <w:tc>
          <w:tcPr>
            <w:tcW w:w="1023" w:type="dxa"/>
            <w:vAlign w:val="center"/>
          </w:tcPr>
          <w:p w14:paraId="76ABC5F4">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教师摄像机</w:t>
            </w:r>
          </w:p>
        </w:tc>
        <w:tc>
          <w:tcPr>
            <w:tcW w:w="6097" w:type="dxa"/>
            <w:vAlign w:val="center"/>
          </w:tcPr>
          <w:p w14:paraId="58BE0062">
            <w:pPr>
              <w:wordWrap w:val="0"/>
              <w:spacing w:line="360" w:lineRule="auto"/>
              <w:rPr>
                <w:rFonts w:ascii="Arial" w:hAnsi="Arial" w:eastAsia="宋体" w:cs="Arial"/>
                <w:sz w:val="24"/>
              </w:rPr>
            </w:pPr>
            <w:r>
              <w:rPr>
                <w:rFonts w:hint="eastAsia" w:ascii="Arial" w:hAnsi="Arial" w:eastAsia="宋体" w:cs="Arial"/>
                <w:sz w:val="24"/>
              </w:rPr>
              <w:t>1、镜头水平视场角≥40°。</w:t>
            </w:r>
          </w:p>
          <w:p w14:paraId="6E620B5A">
            <w:pPr>
              <w:wordWrap w:val="0"/>
              <w:spacing w:line="360" w:lineRule="auto"/>
              <w:rPr>
                <w:rFonts w:ascii="Arial" w:hAnsi="Arial" w:eastAsia="宋体" w:cs="Arial"/>
                <w:sz w:val="24"/>
              </w:rPr>
            </w:pPr>
            <w:r>
              <w:rPr>
                <w:rFonts w:hint="eastAsia" w:ascii="Arial" w:hAnsi="Arial" w:eastAsia="宋体" w:cs="Arial"/>
                <w:sz w:val="24"/>
              </w:rPr>
              <w:t>2、摄像机采用一体化集成设计，支持4K超高清，最大可提供4K图像编码输出，同时向下兼容1080p，720p分辨率。</w:t>
            </w:r>
          </w:p>
          <w:p w14:paraId="4BF1659A">
            <w:pPr>
              <w:wordWrap w:val="0"/>
              <w:spacing w:line="360" w:lineRule="auto"/>
              <w:rPr>
                <w:rFonts w:ascii="Arial" w:hAnsi="Arial" w:eastAsia="宋体" w:cs="Arial"/>
                <w:sz w:val="24"/>
              </w:rPr>
            </w:pPr>
            <w:r>
              <w:rPr>
                <w:rFonts w:hint="eastAsia" w:ascii="Arial" w:hAnsi="Arial" w:eastAsia="宋体" w:cs="Arial"/>
                <w:sz w:val="24"/>
              </w:rPr>
              <w:t>3、内置图像识别跟踪算法，搭配隐藏式微型云台，保证清晰度的同时，也减小对课堂的干扰。</w:t>
            </w:r>
          </w:p>
          <w:p w14:paraId="7F93F306">
            <w:pPr>
              <w:wordWrap w:val="0"/>
              <w:spacing w:line="360" w:lineRule="auto"/>
              <w:rPr>
                <w:rFonts w:ascii="Arial" w:hAnsi="Arial" w:eastAsia="宋体" w:cs="Arial"/>
                <w:sz w:val="24"/>
              </w:rPr>
            </w:pPr>
            <w:r>
              <w:rPr>
                <w:rFonts w:hint="eastAsia" w:ascii="Arial" w:hAnsi="Arial" w:eastAsia="宋体" w:cs="Arial"/>
                <w:sz w:val="24"/>
              </w:rPr>
              <w:t>4、镜头采用无畸变设计，保证拍摄画面无畸变，减少畸变校正造成的图像质量损失。</w:t>
            </w:r>
          </w:p>
          <w:p w14:paraId="209261D7">
            <w:pPr>
              <w:wordWrap w:val="0"/>
              <w:spacing w:line="360" w:lineRule="auto"/>
              <w:rPr>
                <w:rFonts w:ascii="Arial" w:hAnsi="Arial" w:eastAsia="宋体" w:cs="Arial"/>
                <w:sz w:val="24"/>
              </w:rPr>
            </w:pPr>
            <w:r>
              <w:rPr>
                <w:rFonts w:hint="eastAsia" w:ascii="Arial" w:hAnsi="Arial" w:eastAsia="宋体" w:cs="Arial"/>
                <w:sz w:val="24"/>
              </w:rPr>
              <w:t>5、全景画面与特写画面采用同系列图像传感器和图像处理器，确保两者图像输出亮度、颜色、风格等保持一致。</w:t>
            </w:r>
          </w:p>
          <w:p w14:paraId="42096263">
            <w:pPr>
              <w:wordWrap w:val="0"/>
              <w:spacing w:line="360" w:lineRule="auto"/>
              <w:rPr>
                <w:rFonts w:ascii="Arial" w:hAnsi="Arial" w:eastAsia="宋体" w:cs="Arial"/>
                <w:sz w:val="24"/>
              </w:rPr>
            </w:pPr>
            <w:r>
              <w:rPr>
                <w:rFonts w:hint="eastAsia" w:ascii="Arial" w:hAnsi="Arial" w:eastAsia="宋体" w:cs="Arial"/>
                <w:sz w:val="24"/>
              </w:rPr>
              <w:t>6、摄像机接口支持RJ45≥1路，Type-C≥1路，Line in接口≥1路。</w:t>
            </w:r>
          </w:p>
          <w:p w14:paraId="48FE8F68">
            <w:pPr>
              <w:wordWrap w:val="0"/>
              <w:spacing w:line="360" w:lineRule="auto"/>
              <w:rPr>
                <w:rFonts w:ascii="Arial" w:hAnsi="Arial" w:eastAsia="宋体" w:cs="Arial"/>
                <w:sz w:val="24"/>
              </w:rPr>
            </w:pPr>
            <w:r>
              <w:rPr>
                <w:rFonts w:hint="eastAsia" w:ascii="Arial" w:hAnsi="Arial" w:eastAsia="宋体" w:cs="Arial"/>
                <w:sz w:val="24"/>
              </w:rPr>
              <w:t>7、支持POE有线网络供电，只需要1路网线，即可实现供电及信号传输，支持同时输出特写和全景等多路画面。</w:t>
            </w:r>
          </w:p>
          <w:p w14:paraId="364AD60D">
            <w:pPr>
              <w:wordWrap w:val="0"/>
              <w:spacing w:line="360" w:lineRule="auto"/>
              <w:rPr>
                <w:rFonts w:ascii="Arial" w:hAnsi="Arial" w:eastAsia="宋体" w:cs="Arial"/>
                <w:sz w:val="24"/>
              </w:rPr>
            </w:pPr>
            <w:r>
              <w:rPr>
                <w:rFonts w:hint="eastAsia" w:ascii="Arial" w:hAnsi="Arial" w:eastAsia="宋体" w:cs="Arial"/>
                <w:sz w:val="24"/>
              </w:rPr>
              <w:t>8、支持合成不低于1920*1080的PGM画面，包含导播画面、教师全景画面、教师特写画面、学生全景画面、学生特写画面。</w:t>
            </w:r>
          </w:p>
        </w:tc>
        <w:tc>
          <w:tcPr>
            <w:tcW w:w="712" w:type="dxa"/>
            <w:vAlign w:val="center"/>
          </w:tcPr>
          <w:p w14:paraId="63C3013B">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73D04429">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台</w:t>
            </w:r>
          </w:p>
        </w:tc>
      </w:tr>
      <w:tr w14:paraId="48E90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194C603D">
            <w:pPr>
              <w:spacing w:line="360" w:lineRule="auto"/>
              <w:jc w:val="center"/>
              <w:rPr>
                <w:rFonts w:ascii="宋体" w:hAnsi="宋体" w:eastAsia="宋体" w:cs="宋体"/>
                <w:sz w:val="24"/>
                <w:szCs w:val="24"/>
              </w:rPr>
            </w:pPr>
            <w:r>
              <w:rPr>
                <w:rFonts w:hint="eastAsia" w:ascii="宋体" w:hAnsi="宋体" w:eastAsia="宋体" w:cs="宋体"/>
                <w:sz w:val="24"/>
                <w:szCs w:val="24"/>
              </w:rPr>
              <w:t>3</w:t>
            </w:r>
          </w:p>
        </w:tc>
        <w:tc>
          <w:tcPr>
            <w:tcW w:w="1023" w:type="dxa"/>
            <w:vAlign w:val="center"/>
          </w:tcPr>
          <w:p w14:paraId="59400CB6">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学生摄像机</w:t>
            </w:r>
          </w:p>
        </w:tc>
        <w:tc>
          <w:tcPr>
            <w:tcW w:w="6097" w:type="dxa"/>
            <w:vAlign w:val="center"/>
          </w:tcPr>
          <w:p w14:paraId="6C77C8E1">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1、镜头水平视场角≥80°。</w:t>
            </w:r>
          </w:p>
          <w:p w14:paraId="22BD274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2、摄像机采用一体化集成设计，支持4K超高</w:t>
            </w:r>
          </w:p>
          <w:p w14:paraId="3BE0C963">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清，最大可提供4K图像编码输出，同时向下兼容1080p，720p分辨率。</w:t>
            </w:r>
          </w:p>
          <w:p w14:paraId="4608978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3、内置图像识别跟踪算法，搭配隐藏式微型云</w:t>
            </w:r>
          </w:p>
          <w:p w14:paraId="3D182132">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台，保证清晰度的同时，也减小对课堂的干扰。</w:t>
            </w:r>
          </w:p>
          <w:p w14:paraId="0131B4C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4、镜头采用无畸变设计，保证拍摄画面无畸</w:t>
            </w:r>
          </w:p>
          <w:p w14:paraId="0956D09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变，减少畸变校正造成的图像质量损失。</w:t>
            </w:r>
          </w:p>
          <w:p w14:paraId="3BE718BF">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5、全景画面与特写画面采用同系列图像传感</w:t>
            </w:r>
          </w:p>
          <w:p w14:paraId="195B49E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器和图像处理器，确保两者图像输出亮度、颜色、风格等保持一致。</w:t>
            </w:r>
          </w:p>
          <w:p w14:paraId="744064D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6、摄像机接口支持RJ45≥1路，Type-C≥1路，</w:t>
            </w:r>
          </w:p>
          <w:p w14:paraId="29EBF6C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Line in接口≥1路。</w:t>
            </w:r>
          </w:p>
          <w:p w14:paraId="6867B9BE">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7、支持POE有线网络供电，只需要1路网线，</w:t>
            </w:r>
          </w:p>
          <w:p w14:paraId="3ADA484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即可实现供电及信号传输，支持同时输出特写和全景等多路画面。</w:t>
            </w:r>
          </w:p>
          <w:p w14:paraId="7E471FE5">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8、传感器尺寸 CMOS ≥ 1/2.8英寸。</w:t>
            </w:r>
          </w:p>
          <w:p w14:paraId="5211135E">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9、摄像机内嵌智能跟踪算法，无需单独安装定</w:t>
            </w:r>
          </w:p>
          <w:p w14:paraId="0C271203">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位跟踪主机及其他任何辅助拍摄设备，即可实现跟踪定位控制功能。</w:t>
            </w:r>
          </w:p>
          <w:p w14:paraId="5F32A66E">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10、系统应采用智能图像识别算法，高清摄</w:t>
            </w:r>
          </w:p>
          <w:p w14:paraId="573DC58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像机同时输出2路场景画面并分析计算，实现1台摄像机的2景位拍摄，通过导播跟踪系统，实现所有画面的自动导播切换：</w:t>
            </w:r>
          </w:p>
          <w:p w14:paraId="7EE32BBC">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a)学生起立发言时，首先切换为学生全景，再过渡为发言学生的特写画面，当多名学生站立时，自动切换到学生全景；</w:t>
            </w:r>
          </w:p>
          <w:p w14:paraId="2C82AF11">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b)学生跟踪具备人脸检测辅助识别功能。</w:t>
            </w:r>
          </w:p>
        </w:tc>
        <w:tc>
          <w:tcPr>
            <w:tcW w:w="712" w:type="dxa"/>
            <w:vAlign w:val="center"/>
          </w:tcPr>
          <w:p w14:paraId="2D9FD9E5">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2F4AFBAD">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台</w:t>
            </w:r>
          </w:p>
        </w:tc>
      </w:tr>
      <w:tr w14:paraId="2BFA6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7F75C3A8">
            <w:pPr>
              <w:spacing w:line="360" w:lineRule="auto"/>
              <w:jc w:val="center"/>
              <w:rPr>
                <w:rFonts w:ascii="宋体" w:hAnsi="宋体" w:eastAsia="宋体" w:cs="宋体"/>
                <w:sz w:val="24"/>
                <w:szCs w:val="24"/>
              </w:rPr>
            </w:pPr>
            <w:r>
              <w:rPr>
                <w:rFonts w:hint="eastAsia" w:ascii="宋体" w:hAnsi="宋体" w:eastAsia="宋体" w:cs="宋体"/>
                <w:sz w:val="24"/>
                <w:szCs w:val="24"/>
              </w:rPr>
              <w:t>4</w:t>
            </w:r>
          </w:p>
        </w:tc>
        <w:tc>
          <w:tcPr>
            <w:tcW w:w="1023" w:type="dxa"/>
            <w:vAlign w:val="center"/>
          </w:tcPr>
          <w:p w14:paraId="02BE6ADB">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阵列麦克风</w:t>
            </w:r>
          </w:p>
        </w:tc>
        <w:tc>
          <w:tcPr>
            <w:tcW w:w="6097" w:type="dxa"/>
            <w:vAlign w:val="center"/>
          </w:tcPr>
          <w:p w14:paraId="0E24795D">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1、麦克风采用≥4核的国产音频芯片。</w:t>
            </w:r>
          </w:p>
          <w:p w14:paraId="0D026D53">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2、麦克风频率响应范围不低于50Hz~16KHz。</w:t>
            </w:r>
          </w:p>
          <w:p w14:paraId="1FF583B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3、麦克风拾音半径≥8m。</w:t>
            </w:r>
          </w:p>
          <w:p w14:paraId="2A7AD89F">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4、麦克风信噪比≥68dB。</w:t>
            </w:r>
          </w:p>
          <w:p w14:paraId="4F8140C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5、麦克风声压级≥130dBSPL，10%THD@1 KHz。</w:t>
            </w:r>
          </w:p>
          <w:p w14:paraId="6A494A5A">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6、麦克风无需额外适配器供电，能够通过网线</w:t>
            </w:r>
          </w:p>
          <w:p w14:paraId="57AA970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实现麦克风供电、音频信号传输、参数调整。</w:t>
            </w:r>
          </w:p>
          <w:p w14:paraId="38769589">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7、麦克风具备≥1个状态指示灯，可显示麦克</w:t>
            </w:r>
          </w:p>
          <w:p w14:paraId="59E4C9E3">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风工作状态。</w:t>
            </w:r>
          </w:p>
          <w:p w14:paraId="4740ADC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8、麦克风采用标准1/4吋螺口，适配各种类型</w:t>
            </w:r>
          </w:p>
          <w:p w14:paraId="219556F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标准吊杆。</w:t>
            </w:r>
          </w:p>
          <w:p w14:paraId="5B789D42">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9、麦克风支持≥2个数字音频接口，每个接口</w:t>
            </w:r>
          </w:p>
          <w:p w14:paraId="7CF52E87">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都具备输入接口和输出接口能力，支持盲插。</w:t>
            </w:r>
          </w:p>
          <w:p w14:paraId="62C1BC0F">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10、麦克风支持≥1个Type-C接口。</w:t>
            </w:r>
          </w:p>
          <w:p w14:paraId="48AB2A1D">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w:t>
            </w:r>
            <w:r>
              <w:rPr>
                <w:rFonts w:hint="eastAsia" w:ascii="宋体" w:hAnsi="宋体" w:eastAsia="宋体" w:cs="宋体"/>
                <w:color w:val="000000"/>
                <w:sz w:val="24"/>
                <w:szCs w:val="24"/>
              </w:rPr>
              <w:t>麦克风内置≥8个硅麦传感器单元。</w:t>
            </w:r>
          </w:p>
        </w:tc>
        <w:tc>
          <w:tcPr>
            <w:tcW w:w="712" w:type="dxa"/>
            <w:vAlign w:val="center"/>
          </w:tcPr>
          <w:p w14:paraId="6D9C884E">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47D7EE62">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套</w:t>
            </w:r>
          </w:p>
        </w:tc>
      </w:tr>
      <w:tr w14:paraId="79096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07FCFC20">
            <w:pPr>
              <w:spacing w:line="360" w:lineRule="auto"/>
              <w:jc w:val="center"/>
              <w:rPr>
                <w:rFonts w:ascii="宋体" w:hAnsi="宋体" w:eastAsia="宋体" w:cs="宋体"/>
                <w:sz w:val="24"/>
                <w:szCs w:val="24"/>
              </w:rPr>
            </w:pPr>
            <w:r>
              <w:rPr>
                <w:rFonts w:hint="eastAsia" w:ascii="宋体" w:hAnsi="宋体" w:eastAsia="宋体" w:cs="宋体"/>
                <w:sz w:val="24"/>
                <w:szCs w:val="24"/>
              </w:rPr>
              <w:t>5</w:t>
            </w:r>
          </w:p>
        </w:tc>
        <w:tc>
          <w:tcPr>
            <w:tcW w:w="1023" w:type="dxa"/>
            <w:vAlign w:val="center"/>
          </w:tcPr>
          <w:p w14:paraId="51A2928A">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智能音频主机</w:t>
            </w:r>
          </w:p>
        </w:tc>
        <w:tc>
          <w:tcPr>
            <w:tcW w:w="6097" w:type="dxa"/>
            <w:vAlign w:val="center"/>
          </w:tcPr>
          <w:p w14:paraId="3BBD12C4">
            <w:pPr>
              <w:wordWrap w:val="0"/>
              <w:spacing w:line="360" w:lineRule="auto"/>
              <w:rPr>
                <w:rFonts w:ascii="Arial" w:hAnsi="Arial" w:eastAsia="宋体" w:cs="Arial"/>
                <w:sz w:val="24"/>
              </w:rPr>
            </w:pPr>
            <w:r>
              <w:rPr>
                <w:rFonts w:hint="eastAsia" w:ascii="Arial" w:hAnsi="Arial" w:eastAsia="宋体" w:cs="Arial"/>
                <w:sz w:val="24"/>
              </w:rPr>
              <w:t>1、采用铝合金面板；音频处理和数字功放采用</w:t>
            </w:r>
          </w:p>
          <w:p w14:paraId="61D692E2">
            <w:pPr>
              <w:wordWrap w:val="0"/>
              <w:spacing w:line="360" w:lineRule="auto"/>
              <w:rPr>
                <w:rFonts w:ascii="Arial" w:hAnsi="Arial" w:eastAsia="宋体" w:cs="Arial"/>
                <w:sz w:val="24"/>
              </w:rPr>
            </w:pPr>
            <w:r>
              <w:rPr>
                <w:rFonts w:hint="eastAsia" w:ascii="Arial" w:hAnsi="Arial" w:eastAsia="宋体" w:cs="Arial"/>
                <w:sz w:val="24"/>
              </w:rPr>
              <w:t>集成化纯嵌入式一体式设计,高度1U；</w:t>
            </w:r>
          </w:p>
          <w:p w14:paraId="31853D76">
            <w:pPr>
              <w:wordWrap w:val="0"/>
              <w:spacing w:line="360" w:lineRule="auto"/>
              <w:rPr>
                <w:rFonts w:ascii="Arial" w:hAnsi="Arial" w:eastAsia="宋体" w:cs="Arial"/>
                <w:sz w:val="24"/>
              </w:rPr>
            </w:pPr>
            <w:r>
              <w:rPr>
                <w:rFonts w:hint="eastAsia" w:ascii="Arial" w:hAnsi="Arial" w:eastAsia="宋体" w:cs="Arial"/>
                <w:sz w:val="24"/>
              </w:rPr>
              <w:t>2、宽电压开关电源供电，宽电压范围</w:t>
            </w:r>
          </w:p>
          <w:p w14:paraId="34DB7147">
            <w:pPr>
              <w:wordWrap w:val="0"/>
              <w:spacing w:line="360" w:lineRule="auto"/>
              <w:rPr>
                <w:rFonts w:ascii="Arial" w:hAnsi="Arial" w:eastAsia="宋体" w:cs="Arial"/>
                <w:sz w:val="24"/>
              </w:rPr>
            </w:pPr>
            <w:r>
              <w:rPr>
                <w:rFonts w:hint="eastAsia" w:ascii="Arial" w:hAnsi="Arial" w:eastAsia="宋体" w:cs="Arial"/>
                <w:sz w:val="24"/>
              </w:rPr>
              <w:t>AC120V-240V；</w:t>
            </w:r>
          </w:p>
          <w:p w14:paraId="315D925A">
            <w:pPr>
              <w:wordWrap w:val="0"/>
              <w:spacing w:line="360" w:lineRule="auto"/>
              <w:rPr>
                <w:rFonts w:ascii="Arial" w:hAnsi="Arial" w:eastAsia="宋体" w:cs="Arial"/>
                <w:sz w:val="24"/>
              </w:rPr>
            </w:pPr>
            <w:r>
              <w:rPr>
                <w:rFonts w:hint="eastAsia" w:ascii="Arial" w:hAnsi="Arial" w:eastAsia="宋体" w:cs="Arial"/>
                <w:sz w:val="24"/>
              </w:rPr>
              <w:t>3、前面板具有不小于2.0寸TFT彩色触控屏，支持校徽LOGO定制，可设置屏幕6位数字操控密码解锁；</w:t>
            </w:r>
          </w:p>
          <w:p w14:paraId="0E762DD5">
            <w:pPr>
              <w:wordWrap w:val="0"/>
              <w:spacing w:line="360" w:lineRule="auto"/>
              <w:rPr>
                <w:rFonts w:ascii="Arial" w:hAnsi="Arial" w:eastAsia="宋体" w:cs="Arial"/>
                <w:sz w:val="24"/>
              </w:rPr>
            </w:pPr>
            <w:r>
              <w:rPr>
                <w:rFonts w:hint="eastAsia" w:ascii="Arial" w:hAnsi="Arial" w:eastAsia="宋体" w:cs="Arial"/>
                <w:sz w:val="24"/>
              </w:rPr>
              <w:t>4、高清HD级数字功放芯片组。具有延时保护、</w:t>
            </w:r>
          </w:p>
          <w:p w14:paraId="72A13CE6">
            <w:pPr>
              <w:wordWrap w:val="0"/>
              <w:spacing w:line="360" w:lineRule="auto"/>
              <w:rPr>
                <w:rFonts w:ascii="Arial" w:hAnsi="Arial" w:eastAsia="宋体" w:cs="Arial"/>
                <w:sz w:val="24"/>
              </w:rPr>
            </w:pPr>
            <w:r>
              <w:rPr>
                <w:rFonts w:hint="eastAsia" w:ascii="Arial" w:hAnsi="Arial" w:eastAsia="宋体" w:cs="Arial"/>
                <w:sz w:val="24"/>
              </w:rPr>
              <w:t>短路过流保护、过热保护；</w:t>
            </w:r>
          </w:p>
          <w:p w14:paraId="1CBCA3E2">
            <w:pPr>
              <w:wordWrap w:val="0"/>
              <w:spacing w:line="360" w:lineRule="auto"/>
              <w:rPr>
                <w:rFonts w:ascii="Arial" w:hAnsi="Arial" w:eastAsia="宋体" w:cs="Arial"/>
                <w:sz w:val="24"/>
              </w:rPr>
            </w:pPr>
            <w:r>
              <w:rPr>
                <w:rFonts w:hint="eastAsia" w:ascii="Arial" w:hAnsi="Arial" w:eastAsia="宋体" w:cs="Arial"/>
                <w:sz w:val="24"/>
              </w:rPr>
              <w:t>5、主机采用ADSP数字信号处理器，主频≥</w:t>
            </w:r>
          </w:p>
          <w:p w14:paraId="00C39398">
            <w:pPr>
              <w:wordWrap w:val="0"/>
              <w:spacing w:line="360" w:lineRule="auto"/>
              <w:rPr>
                <w:rFonts w:ascii="Arial" w:hAnsi="Arial" w:eastAsia="宋体" w:cs="Arial"/>
                <w:sz w:val="24"/>
              </w:rPr>
            </w:pPr>
            <w:r>
              <w:rPr>
                <w:rFonts w:hint="eastAsia" w:ascii="Arial" w:hAnsi="Arial" w:eastAsia="宋体" w:cs="Arial"/>
                <w:sz w:val="24"/>
              </w:rPr>
              <w:t>800MHz，最大主频1000MHz；</w:t>
            </w:r>
          </w:p>
          <w:p w14:paraId="7C4FDF17">
            <w:pPr>
              <w:wordWrap w:val="0"/>
              <w:spacing w:line="360" w:lineRule="auto"/>
              <w:rPr>
                <w:rFonts w:ascii="Arial" w:hAnsi="Arial" w:eastAsia="宋体" w:cs="Arial"/>
                <w:sz w:val="24"/>
              </w:rPr>
            </w:pPr>
            <w:r>
              <w:rPr>
                <w:rFonts w:hint="eastAsia" w:ascii="Arial" w:hAnsi="Arial" w:eastAsia="宋体" w:cs="Arial"/>
                <w:sz w:val="24"/>
              </w:rPr>
              <w:t>6、主机前面板带USB接口，支持U盘录音功能，支持最大32GB,FAT32格式，最多可录音时长&gt;1000小时；</w:t>
            </w:r>
          </w:p>
          <w:p w14:paraId="42C9034C">
            <w:pPr>
              <w:wordWrap w:val="0"/>
              <w:spacing w:line="360" w:lineRule="auto"/>
              <w:rPr>
                <w:rFonts w:ascii="Arial" w:hAnsi="Arial" w:eastAsia="宋体" w:cs="Arial"/>
                <w:sz w:val="24"/>
              </w:rPr>
            </w:pPr>
            <w:r>
              <w:rPr>
                <w:rFonts w:hint="eastAsia" w:ascii="Arial" w:hAnsi="Arial" w:eastAsia="宋体" w:cs="Arial"/>
                <w:sz w:val="24"/>
              </w:rPr>
              <w:t>7、至少具有6路麦克风输入，3路线路输入，8路音频输出（其中2路音频输出到功放）4路GPIO逻辑接口可连接外置桌面控制面板，软件支持3组48V幻象电源开关控制；</w:t>
            </w:r>
          </w:p>
          <w:p w14:paraId="2BAF3E0F">
            <w:pPr>
              <w:wordWrap w:val="0"/>
              <w:spacing w:line="360" w:lineRule="auto"/>
              <w:rPr>
                <w:rFonts w:ascii="Arial" w:hAnsi="Arial" w:eastAsia="宋体" w:cs="Arial"/>
                <w:sz w:val="24"/>
              </w:rPr>
            </w:pPr>
            <w:r>
              <w:rPr>
                <w:rFonts w:hint="eastAsia" w:ascii="Arial" w:hAnsi="Arial" w:eastAsia="宋体" w:cs="Arial"/>
                <w:sz w:val="24"/>
              </w:rPr>
              <w:t>8、主机软件至少具有4级闪避器功能，可自定义设置输入通道优先级，可同时兼容吊麦、鹅颈话筒、手持话筒、无线话筒等设备；</w:t>
            </w:r>
          </w:p>
          <w:p w14:paraId="7D3123CE">
            <w:pPr>
              <w:wordWrap w:val="0"/>
              <w:spacing w:line="360" w:lineRule="auto"/>
              <w:rPr>
                <w:rFonts w:ascii="Arial" w:hAnsi="Arial" w:eastAsia="宋体" w:cs="Arial"/>
                <w:sz w:val="24"/>
              </w:rPr>
            </w:pPr>
            <w:r>
              <w:rPr>
                <w:rFonts w:hint="eastAsia" w:ascii="Arial" w:hAnsi="Arial" w:eastAsia="宋体" w:cs="Arial"/>
                <w:sz w:val="24"/>
              </w:rPr>
              <w:t>9、主机软件至少支持6路输入和8路输出实时动态电平表显示功能；支持分量音频矩阵；</w:t>
            </w:r>
          </w:p>
          <w:p w14:paraId="109D9FE3">
            <w:pPr>
              <w:wordWrap w:val="0"/>
              <w:spacing w:line="360" w:lineRule="auto"/>
              <w:rPr>
                <w:rFonts w:ascii="Arial" w:hAnsi="Arial" w:eastAsia="宋体" w:cs="Arial"/>
                <w:b/>
                <w:bCs/>
                <w:sz w:val="24"/>
              </w:rPr>
            </w:pPr>
            <w:r>
              <w:rPr>
                <w:rFonts w:hint="eastAsia" w:ascii="Arial" w:hAnsi="Arial" w:eastAsia="宋体" w:cs="Arial"/>
                <w:sz w:val="24"/>
              </w:rPr>
              <w:t>★10、主机软件至少具有6路输入8路输出音频矩阵管理功能，每路输入通道带支持扩展器、自动增益、参数均衡模块；每路输出通道带高低通、参数均衡、限幅器模块；软件支持反馈抑制、混音矩阵、闪避器、电平表功能模块；</w:t>
            </w:r>
            <w:r>
              <w:rPr>
                <w:rFonts w:hint="eastAsia" w:ascii="Arial" w:hAnsi="Arial" w:eastAsia="宋体" w:cs="Arial"/>
                <w:b/>
                <w:bCs/>
                <w:sz w:val="24"/>
              </w:rPr>
              <w:t>（</w:t>
            </w:r>
            <w:r>
              <w:rPr>
                <w:rFonts w:hint="eastAsia" w:ascii="宋体" w:hAnsi="宋体" w:eastAsia="宋体" w:cs="宋体"/>
                <w:b/>
                <w:bCs/>
                <w:color w:val="000000"/>
                <w:sz w:val="24"/>
                <w:szCs w:val="24"/>
              </w:rPr>
              <w:t>响应文件中须</w:t>
            </w:r>
            <w:r>
              <w:rPr>
                <w:rFonts w:hint="eastAsia" w:ascii="Arial" w:hAnsi="Arial" w:eastAsia="宋体" w:cs="Arial"/>
                <w:b/>
                <w:bCs/>
                <w:sz w:val="24"/>
              </w:rPr>
              <w:t>提供具有CNAS或CMA标识的第三方权威检测机构出具的检测报告复印件或扫描件)</w:t>
            </w:r>
          </w:p>
          <w:p w14:paraId="35DA83BD">
            <w:pPr>
              <w:wordWrap w:val="0"/>
              <w:spacing w:line="360" w:lineRule="auto"/>
              <w:rPr>
                <w:rFonts w:ascii="Arial" w:hAnsi="Arial" w:eastAsia="宋体" w:cs="Arial"/>
                <w:sz w:val="24"/>
              </w:rPr>
            </w:pPr>
            <w:r>
              <w:rPr>
                <w:rFonts w:hint="eastAsia" w:ascii="Arial" w:hAnsi="Arial" w:eastAsia="宋体" w:cs="Arial"/>
                <w:sz w:val="24"/>
              </w:rPr>
              <w:t>11、主机软件支持麦克风60段频谱实时显</w:t>
            </w:r>
          </w:p>
          <w:p w14:paraId="0285C5B7">
            <w:pPr>
              <w:wordWrap w:val="0"/>
              <w:spacing w:line="360" w:lineRule="auto"/>
              <w:rPr>
                <w:rFonts w:ascii="Arial" w:hAnsi="Arial" w:eastAsia="宋体" w:cs="Arial"/>
                <w:sz w:val="24"/>
              </w:rPr>
            </w:pPr>
            <w:r>
              <w:rPr>
                <w:rFonts w:hint="eastAsia" w:ascii="Arial" w:hAnsi="Arial" w:eastAsia="宋体" w:cs="Arial"/>
                <w:sz w:val="24"/>
              </w:rPr>
              <w:t>示分析功能，可指导房间频率均衡调试；主机软件可消除输入通道白噪声，白噪声最大下降9db；</w:t>
            </w:r>
          </w:p>
          <w:p w14:paraId="0F6DFF3E">
            <w:pPr>
              <w:wordWrap w:val="0"/>
              <w:spacing w:line="360" w:lineRule="auto"/>
              <w:rPr>
                <w:rFonts w:ascii="Arial" w:hAnsi="Arial" w:eastAsia="宋体" w:cs="Arial"/>
                <w:sz w:val="24"/>
              </w:rPr>
            </w:pPr>
            <w:r>
              <w:rPr>
                <w:rFonts w:hint="eastAsia" w:ascii="Arial" w:hAnsi="Arial" w:eastAsia="宋体" w:cs="Arial"/>
                <w:sz w:val="24"/>
              </w:rPr>
              <w:t>12、音频主机连接电脑音频输入输出，电脑</w:t>
            </w:r>
          </w:p>
          <w:p w14:paraId="48DF99B7">
            <w:pPr>
              <w:wordWrap w:val="0"/>
              <w:spacing w:line="360" w:lineRule="auto"/>
              <w:rPr>
                <w:rFonts w:ascii="Arial" w:hAnsi="Arial" w:eastAsia="宋体" w:cs="Arial"/>
                <w:sz w:val="24"/>
              </w:rPr>
            </w:pPr>
            <w:r>
              <w:rPr>
                <w:rFonts w:hint="eastAsia" w:ascii="Arial" w:hAnsi="Arial" w:eastAsia="宋体" w:cs="Arial"/>
                <w:sz w:val="24"/>
              </w:rPr>
              <w:t>连接外网，可通过腾讯会议、钉钉等实现远程音频互动和本地扩声，支持去混响、环境降噪、反馈抑制、网络回声抑制算法，支持本地扩声与远程互动同时进行；</w:t>
            </w:r>
          </w:p>
          <w:p w14:paraId="6696E9A2">
            <w:pPr>
              <w:wordWrap w:val="0"/>
              <w:spacing w:line="360" w:lineRule="auto"/>
              <w:rPr>
                <w:rFonts w:ascii="Arial" w:hAnsi="Arial" w:eastAsia="宋体" w:cs="Arial"/>
                <w:sz w:val="24"/>
              </w:rPr>
            </w:pPr>
            <w:r>
              <w:rPr>
                <w:rFonts w:hint="eastAsia" w:ascii="Arial" w:hAnsi="Arial" w:eastAsia="宋体" w:cs="Arial"/>
                <w:sz w:val="24"/>
              </w:rPr>
              <w:t>★13、具有双模式调试功能，内置软件同时</w:t>
            </w:r>
          </w:p>
          <w:p w14:paraId="6CA71E53">
            <w:pPr>
              <w:wordWrap w:val="0"/>
              <w:spacing w:line="360" w:lineRule="auto"/>
              <w:rPr>
                <w:rFonts w:ascii="Arial" w:hAnsi="Arial" w:eastAsia="宋体" w:cs="Arial"/>
                <w:b/>
                <w:bCs/>
                <w:sz w:val="24"/>
              </w:rPr>
            </w:pPr>
            <w:r>
              <w:rPr>
                <w:rFonts w:hint="eastAsia" w:ascii="Arial" w:hAnsi="Arial" w:eastAsia="宋体" w:cs="Arial"/>
                <w:sz w:val="24"/>
              </w:rPr>
              <w:t>支持至少16段参量均衡调试和软件AI一键调音，AI一键调音可根据扩声场景环境自动适配最佳参数；</w:t>
            </w:r>
            <w:r>
              <w:rPr>
                <w:rFonts w:hint="eastAsia" w:ascii="Arial" w:hAnsi="Arial" w:eastAsia="宋体" w:cs="Arial"/>
                <w:b/>
                <w:bCs/>
                <w:sz w:val="24"/>
              </w:rPr>
              <w:t>（</w:t>
            </w:r>
            <w:r>
              <w:rPr>
                <w:rFonts w:hint="eastAsia" w:ascii="宋体" w:hAnsi="宋体" w:eastAsia="宋体" w:cs="宋体"/>
                <w:b/>
                <w:bCs/>
                <w:color w:val="000000"/>
                <w:sz w:val="24"/>
                <w:szCs w:val="24"/>
              </w:rPr>
              <w:t>响应文件中须</w:t>
            </w:r>
            <w:r>
              <w:rPr>
                <w:rFonts w:hint="eastAsia" w:ascii="Arial" w:hAnsi="Arial" w:eastAsia="宋体" w:cs="Arial"/>
                <w:b/>
                <w:bCs/>
                <w:sz w:val="24"/>
              </w:rPr>
              <w:t>提供具有</w:t>
            </w:r>
            <w:r>
              <w:rPr>
                <w:rFonts w:ascii="Arial" w:hAnsi="Arial" w:eastAsia="宋体" w:cs="Arial"/>
                <w:b/>
                <w:bCs/>
                <w:sz w:val="24"/>
              </w:rPr>
              <w:t>CNAS</w:t>
            </w:r>
            <w:r>
              <w:rPr>
                <w:rFonts w:hint="eastAsia" w:ascii="Arial" w:hAnsi="Arial" w:eastAsia="宋体" w:cs="Arial"/>
                <w:b/>
                <w:bCs/>
                <w:sz w:val="24"/>
              </w:rPr>
              <w:t>或</w:t>
            </w:r>
            <w:r>
              <w:rPr>
                <w:rFonts w:ascii="Arial" w:hAnsi="Arial" w:eastAsia="宋体" w:cs="Arial"/>
                <w:b/>
                <w:bCs/>
                <w:sz w:val="24"/>
              </w:rPr>
              <w:t>CMA</w:t>
            </w:r>
            <w:r>
              <w:rPr>
                <w:rFonts w:hint="eastAsia" w:ascii="Arial" w:hAnsi="Arial" w:eastAsia="宋体" w:cs="Arial"/>
                <w:b/>
                <w:bCs/>
                <w:sz w:val="24"/>
              </w:rPr>
              <w:t>标识的第三方权威检测机构出具的检测报告复印件或扫描件</w:t>
            </w:r>
            <w:r>
              <w:rPr>
                <w:rFonts w:ascii="Arial" w:hAnsi="Arial" w:eastAsia="宋体" w:cs="Arial"/>
                <w:b/>
                <w:bCs/>
                <w:sz w:val="24"/>
              </w:rPr>
              <w:t>)</w:t>
            </w:r>
          </w:p>
          <w:p w14:paraId="43C5421E">
            <w:pPr>
              <w:wordWrap w:val="0"/>
              <w:spacing w:line="360" w:lineRule="auto"/>
              <w:rPr>
                <w:rFonts w:ascii="Arial" w:hAnsi="Arial" w:eastAsia="宋体" w:cs="Arial"/>
                <w:sz w:val="24"/>
              </w:rPr>
            </w:pPr>
            <w:r>
              <w:rPr>
                <w:rFonts w:hint="eastAsia" w:ascii="Arial" w:hAnsi="Arial" w:eastAsia="宋体" w:cs="Arial"/>
                <w:sz w:val="24"/>
              </w:rPr>
              <w:t>14、调试控制接口：支持RJ45网络调试和</w:t>
            </w:r>
          </w:p>
          <w:p w14:paraId="16622EBE">
            <w:pPr>
              <w:wordWrap w:val="0"/>
              <w:spacing w:line="360" w:lineRule="auto"/>
              <w:rPr>
                <w:rFonts w:ascii="Arial" w:hAnsi="Arial" w:eastAsia="宋体" w:cs="Arial"/>
                <w:sz w:val="24"/>
              </w:rPr>
            </w:pPr>
            <w:r>
              <w:rPr>
                <w:rFonts w:hint="eastAsia" w:ascii="Arial" w:hAnsi="Arial" w:eastAsia="宋体" w:cs="Arial"/>
                <w:sz w:val="24"/>
              </w:rPr>
              <w:t>RS232串口通讯；</w:t>
            </w:r>
          </w:p>
          <w:p w14:paraId="665C5A63">
            <w:pPr>
              <w:wordWrap w:val="0"/>
              <w:spacing w:line="360" w:lineRule="auto"/>
              <w:rPr>
                <w:rFonts w:ascii="Arial" w:hAnsi="Arial" w:eastAsia="宋体" w:cs="Arial"/>
                <w:sz w:val="24"/>
              </w:rPr>
            </w:pPr>
            <w:r>
              <w:rPr>
                <w:rFonts w:hint="eastAsia" w:ascii="Arial" w:hAnsi="Arial" w:eastAsia="宋体" w:cs="Arial"/>
                <w:sz w:val="24"/>
              </w:rPr>
              <w:t>15、软件支持局域网集中远程管理、查看设</w:t>
            </w:r>
          </w:p>
          <w:p w14:paraId="52BE041F">
            <w:pPr>
              <w:wordWrap w:val="0"/>
              <w:spacing w:line="360" w:lineRule="auto"/>
              <w:rPr>
                <w:rFonts w:ascii="Arial" w:hAnsi="Arial" w:eastAsia="宋体" w:cs="Arial"/>
                <w:sz w:val="24"/>
              </w:rPr>
            </w:pPr>
            <w:r>
              <w:rPr>
                <w:rFonts w:hint="eastAsia" w:ascii="Arial" w:hAnsi="Arial" w:eastAsia="宋体" w:cs="Arial"/>
                <w:sz w:val="24"/>
              </w:rPr>
              <w:t>备在线情况、版本信息，可远程管理音量或静音，支持网络远程升级；</w:t>
            </w:r>
          </w:p>
          <w:p w14:paraId="5E912558">
            <w:pPr>
              <w:wordWrap w:val="0"/>
              <w:spacing w:line="360" w:lineRule="auto"/>
              <w:rPr>
                <w:rFonts w:ascii="Arial" w:hAnsi="Arial" w:eastAsia="宋体" w:cs="Arial"/>
                <w:sz w:val="24"/>
              </w:rPr>
            </w:pPr>
            <w:r>
              <w:rPr>
                <w:rFonts w:hint="eastAsia" w:ascii="Arial" w:hAnsi="Arial" w:eastAsia="宋体" w:cs="Arial"/>
                <w:sz w:val="24"/>
              </w:rPr>
              <w:t>16、自动增益功能：至少在5米范围内扩声增益差＜2 dB；</w:t>
            </w:r>
          </w:p>
          <w:p w14:paraId="3F80D098">
            <w:pPr>
              <w:wordWrap w:val="0"/>
              <w:spacing w:line="360" w:lineRule="auto"/>
              <w:rPr>
                <w:rFonts w:ascii="Arial" w:hAnsi="Arial" w:eastAsia="宋体" w:cs="Arial"/>
                <w:sz w:val="24"/>
              </w:rPr>
            </w:pPr>
            <w:r>
              <w:rPr>
                <w:rFonts w:hint="eastAsia" w:ascii="Arial" w:hAnsi="Arial" w:eastAsia="宋体" w:cs="Arial"/>
                <w:sz w:val="24"/>
              </w:rPr>
              <w:t>17、具有空间去混响算法、环境降噪消除算</w:t>
            </w:r>
          </w:p>
          <w:p w14:paraId="7C33CCAA">
            <w:pPr>
              <w:wordWrap w:val="0"/>
              <w:spacing w:line="360" w:lineRule="auto"/>
              <w:rPr>
                <w:rFonts w:ascii="Arial" w:hAnsi="Arial" w:eastAsia="宋体" w:cs="Arial"/>
                <w:sz w:val="24"/>
              </w:rPr>
            </w:pPr>
            <w:r>
              <w:rPr>
                <w:rFonts w:hint="eastAsia" w:ascii="Arial" w:hAnsi="Arial" w:eastAsia="宋体" w:cs="Arial"/>
                <w:sz w:val="24"/>
              </w:rPr>
              <w:t>法、音乐去回声算法等功能；支持在扩声中消除音乐播放源，确保语音扩声不发生干扰，支持单声道和立体声AEC；</w:t>
            </w:r>
          </w:p>
          <w:p w14:paraId="4B7BFA0D">
            <w:pPr>
              <w:wordWrap w:val="0"/>
              <w:spacing w:line="360" w:lineRule="auto"/>
              <w:rPr>
                <w:rFonts w:ascii="Arial" w:hAnsi="Arial" w:eastAsia="宋体" w:cs="Arial"/>
                <w:sz w:val="24"/>
              </w:rPr>
            </w:pPr>
            <w:r>
              <w:rPr>
                <w:rFonts w:hint="eastAsia" w:ascii="Arial" w:hAnsi="Arial" w:eastAsia="宋体" w:cs="Arial"/>
                <w:sz w:val="24"/>
              </w:rPr>
              <w:t>18、信噪比：≥96dB；</w:t>
            </w:r>
          </w:p>
          <w:p w14:paraId="10D137BF">
            <w:pPr>
              <w:wordWrap w:val="0"/>
              <w:spacing w:line="360" w:lineRule="auto"/>
              <w:rPr>
                <w:rFonts w:ascii="Arial" w:hAnsi="Arial" w:eastAsia="宋体" w:cs="Arial"/>
                <w:sz w:val="24"/>
              </w:rPr>
            </w:pPr>
            <w:r>
              <w:rPr>
                <w:rFonts w:hint="eastAsia" w:ascii="Arial" w:hAnsi="Arial" w:eastAsia="宋体" w:cs="Arial"/>
                <w:sz w:val="24"/>
              </w:rPr>
              <w:t>19、功率放大器的输出功率≥2*120W；</w:t>
            </w:r>
          </w:p>
          <w:p w14:paraId="0B89EA6F">
            <w:pPr>
              <w:wordWrap w:val="0"/>
              <w:spacing w:line="360" w:lineRule="auto"/>
              <w:rPr>
                <w:rFonts w:ascii="Arial" w:hAnsi="Arial" w:eastAsia="宋体" w:cs="Arial"/>
                <w:sz w:val="24"/>
              </w:rPr>
            </w:pPr>
            <w:r>
              <w:rPr>
                <w:rFonts w:hint="eastAsia" w:ascii="Arial" w:hAnsi="Arial" w:eastAsia="宋体" w:cs="Arial"/>
                <w:sz w:val="24"/>
              </w:rPr>
              <w:t>20、频率响应：20Hz-20kHz（±2dB）；</w:t>
            </w:r>
          </w:p>
          <w:p w14:paraId="11818403">
            <w:pPr>
              <w:wordWrap w:val="0"/>
              <w:spacing w:line="360" w:lineRule="auto"/>
              <w:rPr>
                <w:rFonts w:ascii="Arial" w:hAnsi="Arial" w:eastAsia="宋体" w:cs="Arial"/>
                <w:sz w:val="24"/>
              </w:rPr>
            </w:pPr>
            <w:r>
              <w:rPr>
                <w:rFonts w:hint="eastAsia" w:ascii="Arial" w:hAnsi="Arial" w:eastAsia="宋体" w:cs="Arial"/>
                <w:sz w:val="24"/>
              </w:rPr>
              <w:t>21、总谐波失真（W-THD）：≤0.1%；</w:t>
            </w:r>
          </w:p>
          <w:p w14:paraId="0F07C461">
            <w:pPr>
              <w:wordWrap w:val="0"/>
              <w:spacing w:line="360" w:lineRule="auto"/>
              <w:rPr>
                <w:rFonts w:ascii="Arial" w:hAnsi="Arial" w:eastAsia="宋体" w:cs="Arial"/>
                <w:sz w:val="24"/>
              </w:rPr>
            </w:pPr>
            <w:r>
              <w:rPr>
                <w:rFonts w:hint="eastAsia" w:ascii="Arial" w:hAnsi="Arial" w:eastAsia="宋体" w:cs="Arial"/>
                <w:sz w:val="24"/>
              </w:rPr>
              <w:t>22、增益差：≤0.2dB；</w:t>
            </w:r>
          </w:p>
        </w:tc>
        <w:tc>
          <w:tcPr>
            <w:tcW w:w="712" w:type="dxa"/>
            <w:vAlign w:val="center"/>
          </w:tcPr>
          <w:p w14:paraId="11731003">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7944A827">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台</w:t>
            </w:r>
          </w:p>
        </w:tc>
      </w:tr>
      <w:tr w14:paraId="69CE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6F118C97">
            <w:pPr>
              <w:spacing w:line="360" w:lineRule="auto"/>
              <w:jc w:val="center"/>
              <w:rPr>
                <w:rFonts w:ascii="宋体" w:hAnsi="宋体" w:eastAsia="宋体" w:cs="宋体"/>
                <w:sz w:val="24"/>
                <w:szCs w:val="24"/>
              </w:rPr>
            </w:pPr>
            <w:r>
              <w:rPr>
                <w:rFonts w:hint="eastAsia" w:ascii="宋体" w:hAnsi="宋体" w:eastAsia="宋体" w:cs="宋体"/>
                <w:sz w:val="24"/>
                <w:szCs w:val="24"/>
              </w:rPr>
              <w:t>6</w:t>
            </w:r>
          </w:p>
        </w:tc>
        <w:tc>
          <w:tcPr>
            <w:tcW w:w="1023" w:type="dxa"/>
            <w:vAlign w:val="center"/>
          </w:tcPr>
          <w:p w14:paraId="40B1B0B6">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吊麦话筒</w:t>
            </w:r>
          </w:p>
        </w:tc>
        <w:tc>
          <w:tcPr>
            <w:tcW w:w="6097" w:type="dxa"/>
            <w:vAlign w:val="center"/>
          </w:tcPr>
          <w:p w14:paraId="72A272F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1、输出阻抗:250Ω±30%；</w:t>
            </w:r>
          </w:p>
          <w:p w14:paraId="617C469B">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2、灵敏度：不低于-35dB；</w:t>
            </w:r>
          </w:p>
          <w:p w14:paraId="18DA25D5">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3、麦克风表面具有型号指示灯，便于麦克风运</w:t>
            </w:r>
          </w:p>
          <w:p w14:paraId="4BD1CCE8">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行状态；</w:t>
            </w:r>
          </w:p>
          <w:p w14:paraId="009B3C7E">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4、频率响应（Frequency Response）：</w:t>
            </w:r>
          </w:p>
          <w:p w14:paraId="6DFB7DA5">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20-20KHZ；</w:t>
            </w:r>
          </w:p>
          <w:p w14:paraId="58DC2015">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5、最大声压级：不低于135dB SPL；</w:t>
            </w:r>
          </w:p>
          <w:p w14:paraId="7CD26D8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6、信噪比(SNR)：≥80dB；</w:t>
            </w:r>
          </w:p>
          <w:p w14:paraId="7C6CA2AF">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r>
              <w:rPr>
                <w:rFonts w:hint="eastAsia" w:ascii="宋体" w:hAnsi="宋体" w:eastAsia="宋体" w:cs="宋体"/>
                <w:color w:val="000000"/>
                <w:sz w:val="24"/>
                <w:szCs w:val="24"/>
              </w:rPr>
              <w:t>幻像供电：48V；</w:t>
            </w:r>
          </w:p>
        </w:tc>
        <w:tc>
          <w:tcPr>
            <w:tcW w:w="712" w:type="dxa"/>
            <w:vAlign w:val="center"/>
          </w:tcPr>
          <w:p w14:paraId="6030FDC8">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2BCBA3EF">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支</w:t>
            </w:r>
          </w:p>
        </w:tc>
      </w:tr>
      <w:tr w14:paraId="30883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43F7716F">
            <w:pPr>
              <w:spacing w:line="360" w:lineRule="auto"/>
              <w:jc w:val="center"/>
              <w:rPr>
                <w:rFonts w:ascii="宋体" w:hAnsi="宋体" w:eastAsia="宋体" w:cs="宋体"/>
                <w:sz w:val="24"/>
                <w:szCs w:val="24"/>
              </w:rPr>
            </w:pPr>
            <w:r>
              <w:rPr>
                <w:rFonts w:hint="eastAsia" w:ascii="宋体" w:hAnsi="宋体" w:eastAsia="宋体" w:cs="宋体"/>
                <w:sz w:val="24"/>
                <w:szCs w:val="24"/>
              </w:rPr>
              <w:t>7</w:t>
            </w:r>
          </w:p>
        </w:tc>
        <w:tc>
          <w:tcPr>
            <w:tcW w:w="1023" w:type="dxa"/>
            <w:vAlign w:val="center"/>
          </w:tcPr>
          <w:p w14:paraId="4AC5F9C0">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扩声音响</w:t>
            </w:r>
          </w:p>
        </w:tc>
        <w:tc>
          <w:tcPr>
            <w:tcW w:w="6097" w:type="dxa"/>
            <w:vAlign w:val="center"/>
          </w:tcPr>
          <w:p w14:paraId="241A7F1A">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1、室内壁挂式安装，角度可万向调节（可根据</w:t>
            </w:r>
          </w:p>
          <w:p w14:paraId="4048B691">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实际情况进行方向调整）；</w:t>
            </w:r>
          </w:p>
          <w:p w14:paraId="704BB89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2、三喇叭单元，须采用HIFI分频器；</w:t>
            </w:r>
          </w:p>
          <w:p w14:paraId="393BAC1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3、频率响应范围：50Hz-20kHz（-3dB）；</w:t>
            </w:r>
          </w:p>
          <w:p w14:paraId="6074D16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4、输入阻抗：约8 Ohm；</w:t>
            </w:r>
          </w:p>
          <w:p w14:paraId="36CA978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5、灵敏度：不低于87dB 1.0W/1m；</w:t>
            </w:r>
          </w:p>
          <w:p w14:paraId="4BF2122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6、额定输入功率：65W；</w:t>
            </w:r>
          </w:p>
          <w:p w14:paraId="5CD9F49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7、峰值输入功率：不低于260W；</w:t>
            </w:r>
          </w:p>
          <w:p w14:paraId="7CB1CF55">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r>
              <w:rPr>
                <w:rFonts w:hint="eastAsia" w:ascii="宋体" w:hAnsi="宋体" w:eastAsia="宋体" w:cs="宋体"/>
                <w:color w:val="000000"/>
                <w:sz w:val="24"/>
                <w:szCs w:val="24"/>
              </w:rPr>
              <w:t>覆盖角度：≥90°（H）× 60°（V）；</w:t>
            </w:r>
          </w:p>
        </w:tc>
        <w:tc>
          <w:tcPr>
            <w:tcW w:w="712" w:type="dxa"/>
            <w:vAlign w:val="center"/>
          </w:tcPr>
          <w:p w14:paraId="4CE2FD15">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0E1EDF21">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对</w:t>
            </w:r>
          </w:p>
        </w:tc>
      </w:tr>
      <w:tr w14:paraId="30ECF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7882163B">
            <w:pPr>
              <w:spacing w:line="360" w:lineRule="auto"/>
              <w:jc w:val="center"/>
              <w:rPr>
                <w:rFonts w:ascii="宋体" w:hAnsi="宋体" w:eastAsia="宋体" w:cs="宋体"/>
                <w:sz w:val="24"/>
                <w:szCs w:val="24"/>
              </w:rPr>
            </w:pPr>
            <w:r>
              <w:rPr>
                <w:rFonts w:hint="eastAsia" w:ascii="宋体" w:hAnsi="宋体" w:eastAsia="宋体" w:cs="宋体"/>
                <w:sz w:val="24"/>
                <w:szCs w:val="24"/>
              </w:rPr>
              <w:t>8</w:t>
            </w:r>
          </w:p>
        </w:tc>
        <w:tc>
          <w:tcPr>
            <w:tcW w:w="1023" w:type="dxa"/>
            <w:vAlign w:val="center"/>
          </w:tcPr>
          <w:p w14:paraId="40676B6D">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录播视频资源管理平台</w:t>
            </w:r>
          </w:p>
        </w:tc>
        <w:tc>
          <w:tcPr>
            <w:tcW w:w="6097" w:type="dxa"/>
            <w:vAlign w:val="center"/>
          </w:tcPr>
          <w:p w14:paraId="1C9BF47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1、系统采用模块化的架构设计B/S架构，通过</w:t>
            </w:r>
          </w:p>
          <w:p w14:paraId="72A2F61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浏览器就可实现直播、点播等功能。实现全网录播系统视频资源的生产管理、存储管理、使用管理等资源管理模式。</w:t>
            </w:r>
          </w:p>
          <w:p w14:paraId="1A980081">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2、提供用户自主注册功能，教师填写简单的账</w:t>
            </w:r>
          </w:p>
          <w:p w14:paraId="1DE52DC7">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户、密码等个人信息即可快速完成注册。注册完毕后由管理人员对申请人进行信息核对并开放对应功能。</w:t>
            </w:r>
          </w:p>
          <w:p w14:paraId="0716C4C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3、教师可以通过自主账号登录资源平台，对各</w:t>
            </w:r>
          </w:p>
          <w:p w14:paraId="7DB50406">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个学科视频进行点播观看、在线学习。</w:t>
            </w:r>
          </w:p>
          <w:p w14:paraId="5F11D7A9">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4、安全管理，后台可统一配置录播设备的登录</w:t>
            </w:r>
          </w:p>
          <w:p w14:paraId="02F76DFF">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密码，方便管理。</w:t>
            </w:r>
          </w:p>
          <w:p w14:paraId="23C682D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5、支持录播设备的统一管理，提供便利的远程</w:t>
            </w:r>
          </w:p>
          <w:p w14:paraId="4954CCBC">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监管功能，手机、Pad、电脑等设备连接公网后即可对各录播设备的状态进行实时监控、远程关机、重启等操作。</w:t>
            </w:r>
          </w:p>
          <w:p w14:paraId="51079139">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6、支持多级用户管理功能，用户数据支持新</w:t>
            </w:r>
          </w:p>
          <w:p w14:paraId="042C402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建、删除、修改等。</w:t>
            </w:r>
          </w:p>
          <w:p w14:paraId="0ACD47B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7、资源管理：教师可对自己的视频进行修改、</w:t>
            </w:r>
          </w:p>
          <w:p w14:paraId="0D13AB2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删除和提交操作。教师可点击播放视频资源，支持暂停、播放、停止和音量控制；可查看和修改视频资源的属性，包括资源的标题、授课老师、学科、学段和班级等。同时可通过关键词搜索到相关视频文件，快速找到目标资源。</w:t>
            </w:r>
          </w:p>
          <w:p w14:paraId="6A8ECAEA">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8、支持内/外网直播，直播界面可直观查询到</w:t>
            </w:r>
          </w:p>
          <w:p w14:paraId="251A57B3">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目前所有已开课的直播课堂，包括录播教室名称、直播课程或内容、直播时间等。</w:t>
            </w:r>
          </w:p>
          <w:p w14:paraId="2D1F09C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9、直播分享：用户可一键生成直播二维码或链</w:t>
            </w:r>
          </w:p>
          <w:p w14:paraId="1066AD84">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接，并进行分享，其他用户通过扫码或打开链接的方式，可免登录直接观看直播视频。</w:t>
            </w:r>
          </w:p>
          <w:p w14:paraId="306AC612">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10、支持直播集群技术，以支持系统的横向</w:t>
            </w:r>
          </w:p>
          <w:p w14:paraId="1408C29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拓展，随系统应用规模的拓展逐渐增加转发服务器以支持更大规模直播。平台支持不少于200点以上高清直播功能。</w:t>
            </w:r>
          </w:p>
          <w:p w14:paraId="075D7E7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11、课堂的直播、点播支持白板课件与课堂</w:t>
            </w:r>
          </w:p>
          <w:p w14:paraId="7D141B5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视频的联动功能：</w:t>
            </w:r>
          </w:p>
          <w:p w14:paraId="3631E1F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（1）与授课老师的白板课件进行同步翻页预览；</w:t>
            </w:r>
          </w:p>
          <w:p w14:paraId="0BEC1F8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（2）根据个人听课情况，也可对白板课件进行个性化的非同步翻页预览，与自己的学习进度保持一致；</w:t>
            </w:r>
          </w:p>
          <w:p w14:paraId="19697E9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（3）在听课的同时，可在白板课件上直接进行书写、擦除，方便听课端用户进行即时的板书记录。</w:t>
            </w:r>
          </w:p>
          <w:p w14:paraId="37F7E8F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12、平台资源支持本地下载，同时支持视频</w:t>
            </w:r>
          </w:p>
          <w:p w14:paraId="6BBA8D7C">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断点续传功能，在重新连接网络后无需重复下载。</w:t>
            </w:r>
          </w:p>
          <w:p w14:paraId="54CB39E7">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13、Flash播放器：支持基于Flash播放器</w:t>
            </w:r>
          </w:p>
          <w:p w14:paraId="13A2F6B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视频播放。</w:t>
            </w:r>
          </w:p>
          <w:p w14:paraId="3DC4F0F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14、无缓冲播放：支持视频直接拖拽播放，</w:t>
            </w:r>
          </w:p>
          <w:p w14:paraId="69DEB2F6">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不需缓冲。</w:t>
            </w:r>
          </w:p>
          <w:p w14:paraId="578A1471">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w:t>
            </w:r>
            <w:r>
              <w:rPr>
                <w:rFonts w:hint="eastAsia" w:ascii="宋体" w:hAnsi="宋体" w:eastAsia="宋体" w:cs="宋体"/>
                <w:color w:val="000000"/>
                <w:sz w:val="24"/>
                <w:szCs w:val="24"/>
              </w:rPr>
              <w:t>视频存储可外挂网络存储，支持DAS、</w:t>
            </w:r>
          </w:p>
          <w:p w14:paraId="66221671">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NAS、SAN等方式存储。</w:t>
            </w:r>
          </w:p>
        </w:tc>
        <w:tc>
          <w:tcPr>
            <w:tcW w:w="712" w:type="dxa"/>
            <w:vAlign w:val="center"/>
          </w:tcPr>
          <w:p w14:paraId="4D6CDBB6">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2539E762">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套</w:t>
            </w:r>
          </w:p>
        </w:tc>
      </w:tr>
      <w:tr w14:paraId="7AC35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4A218817">
            <w:pPr>
              <w:spacing w:line="360" w:lineRule="auto"/>
              <w:jc w:val="center"/>
              <w:rPr>
                <w:rFonts w:ascii="宋体" w:hAnsi="宋体" w:eastAsia="宋体" w:cs="宋体"/>
                <w:sz w:val="24"/>
                <w:szCs w:val="24"/>
              </w:rPr>
            </w:pPr>
            <w:r>
              <w:rPr>
                <w:rFonts w:hint="eastAsia" w:ascii="宋体" w:hAnsi="宋体" w:eastAsia="宋体" w:cs="宋体"/>
                <w:sz w:val="24"/>
                <w:szCs w:val="24"/>
              </w:rPr>
              <w:t>9</w:t>
            </w:r>
          </w:p>
        </w:tc>
        <w:tc>
          <w:tcPr>
            <w:tcW w:w="1023" w:type="dxa"/>
            <w:vAlign w:val="center"/>
          </w:tcPr>
          <w:p w14:paraId="527BE98D">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交换机</w:t>
            </w:r>
          </w:p>
        </w:tc>
        <w:tc>
          <w:tcPr>
            <w:tcW w:w="6097" w:type="dxa"/>
            <w:vAlign w:val="center"/>
          </w:tcPr>
          <w:p w14:paraId="7106C4DC">
            <w:pPr>
              <w:widowControl/>
              <w:numPr>
                <w:ilvl w:val="0"/>
                <w:numId w:val="4"/>
              </w:numPr>
              <w:spacing w:line="360" w:lineRule="auto"/>
              <w:jc w:val="left"/>
              <w:rPr>
                <w:rFonts w:ascii="宋体" w:hAnsi="宋体" w:eastAsia="宋体" w:cs="宋体"/>
                <w:color w:val="000000"/>
                <w:kern w:val="0"/>
                <w:sz w:val="24"/>
                <w:szCs w:val="24"/>
              </w:rPr>
            </w:pPr>
            <w:r>
              <w:rPr>
                <w:rFonts w:hint="eastAsia" w:ascii="宋体" w:hAnsi="宋体" w:eastAsia="宋体" w:cs="宋体"/>
                <w:color w:val="000000"/>
                <w:sz w:val="24"/>
                <w:szCs w:val="24"/>
              </w:rPr>
              <w:t>≥</w:t>
            </w:r>
            <w:r>
              <w:rPr>
                <w:rFonts w:hint="eastAsia" w:ascii="宋体" w:hAnsi="宋体" w:eastAsia="宋体" w:cs="宋体"/>
                <w:color w:val="000000"/>
                <w:kern w:val="0"/>
                <w:sz w:val="24"/>
                <w:szCs w:val="24"/>
              </w:rPr>
              <w:t>8口千兆交换机，直连交换机无需配置命令。</w:t>
            </w:r>
          </w:p>
        </w:tc>
        <w:tc>
          <w:tcPr>
            <w:tcW w:w="712" w:type="dxa"/>
            <w:vAlign w:val="center"/>
          </w:tcPr>
          <w:p w14:paraId="1298BF00">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5A1AFDD0">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个</w:t>
            </w:r>
          </w:p>
        </w:tc>
      </w:tr>
      <w:tr w14:paraId="638F1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05D4ED5B">
            <w:pPr>
              <w:spacing w:line="360" w:lineRule="auto"/>
              <w:jc w:val="center"/>
              <w:rPr>
                <w:rFonts w:ascii="宋体" w:hAnsi="宋体" w:eastAsia="宋体" w:cs="宋体"/>
                <w:sz w:val="24"/>
                <w:szCs w:val="24"/>
              </w:rPr>
            </w:pPr>
            <w:r>
              <w:rPr>
                <w:rFonts w:hint="eastAsia" w:ascii="宋体" w:hAnsi="宋体" w:eastAsia="宋体" w:cs="宋体"/>
                <w:sz w:val="24"/>
                <w:szCs w:val="24"/>
              </w:rPr>
              <w:t>10</w:t>
            </w:r>
          </w:p>
        </w:tc>
        <w:tc>
          <w:tcPr>
            <w:tcW w:w="1023" w:type="dxa"/>
            <w:vAlign w:val="center"/>
          </w:tcPr>
          <w:p w14:paraId="109611F3">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98吋智慧黑板</w:t>
            </w:r>
          </w:p>
        </w:tc>
        <w:tc>
          <w:tcPr>
            <w:tcW w:w="6097" w:type="dxa"/>
            <w:vAlign w:val="center"/>
          </w:tcPr>
          <w:p w14:paraId="4357447A">
            <w:pPr>
              <w:widowControl/>
              <w:snapToGrid w:val="0"/>
              <w:spacing w:line="360" w:lineRule="auto"/>
              <w:jc w:val="left"/>
              <w:textAlignment w:val="center"/>
              <w:rPr>
                <w:rFonts w:ascii="宋体" w:hAnsi="宋体" w:eastAsia="宋体" w:cs="宋体"/>
                <w:b/>
                <w:bCs/>
                <w:color w:val="000000"/>
                <w:sz w:val="24"/>
                <w:szCs w:val="24"/>
              </w:rPr>
            </w:pPr>
            <w:r>
              <w:rPr>
                <w:rFonts w:hint="eastAsia" w:ascii="宋体" w:hAnsi="宋体" w:eastAsia="宋体" w:cs="宋体"/>
                <w:b/>
                <w:bCs/>
                <w:color w:val="000000"/>
                <w:sz w:val="24"/>
                <w:szCs w:val="24"/>
              </w:rPr>
              <w:t>一、整机设计</w:t>
            </w:r>
          </w:p>
          <w:p w14:paraId="21B8846E">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1、整机采用全金属外壳，三拼接平面一体化设</w:t>
            </w:r>
          </w:p>
          <w:p w14:paraId="15BED1D4">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计，屏幕边缘采用圆角包边防护，整机背板采用金属材质。整机设备副屏支持磁吸附功能，可以满足带有磁吸的板擦等教具进行吸附在副屏上。</w:t>
            </w:r>
          </w:p>
          <w:p w14:paraId="1BC2B7E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2、整机屏幕采用98英寸超高清LED液晶显示</w:t>
            </w:r>
          </w:p>
          <w:p w14:paraId="30CF3320">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屏，显示比例≥16:9，分辨率不低于3840×2160。</w:t>
            </w:r>
          </w:p>
          <w:p w14:paraId="03F45067">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★3、整机内置扬声器，位于设备上边框，顶置</w:t>
            </w:r>
          </w:p>
          <w:p w14:paraId="1C9FF30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朝前发声，额定总功率不低于60W。整机上边框内置非独立摄像头，采用一体化集成设计，摄像头数量≥3个。</w:t>
            </w:r>
            <w:r>
              <w:rPr>
                <w:rFonts w:hint="eastAsia" w:ascii="宋体" w:hAnsi="宋体" w:eastAsia="宋体" w:cs="宋体"/>
                <w:b/>
                <w:bCs/>
                <w:color w:val="000000"/>
                <w:sz w:val="24"/>
                <w:szCs w:val="24"/>
              </w:rPr>
              <w:t>（响应文件中须提供具有CNAS或CMA标识的第三方权威检测机构出具的检测报告复印件或扫描件)</w:t>
            </w:r>
          </w:p>
          <w:p w14:paraId="4646104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4、整机内置非独立外扩展的8阵列麦克风，拾</w:t>
            </w:r>
          </w:p>
          <w:p w14:paraId="405183F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音角度≥180°，可用于对教室环境音频进行采集，拾音距离≥12m。</w:t>
            </w:r>
          </w:p>
          <w:p w14:paraId="3055ABA5">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5、整机支持5个自定义前置按键，“设置”、</w:t>
            </w:r>
          </w:p>
          <w:p w14:paraId="6895B43A">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音量-”，“音量+”，“录屏”，“护眼”按键，可通过自定义设置实现前置面板功能按键一键启用任一全局小工具（批注、截屏、计时、降半屏、放大镜、倒数日、日历）、快捷开关（节能模式、纸质护眼模式、经典护眼模式、自动亮度模式）。支持标准、听力、观影和AI空间感知音效模式，AI空间感知音效模式可通过内置麦克风采集教室物理环境声音，自动生成符合当前教室物理环境的频段、音量、音效。</w:t>
            </w:r>
          </w:p>
          <w:p w14:paraId="036A9F9B">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6、整机支持蓝牙Bluetooth 5.4标准。整机内</w:t>
            </w:r>
          </w:p>
          <w:p w14:paraId="3C6E9C9C">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置双WiFi6无线网卡（不接受外接），可实现Wi-Fi无线上网连接、AP无线热点发射。整机嵌入式系统版本≥Android 14，主频≥1.8GHz，内存≥2GB，存储空间≥8GB。</w:t>
            </w:r>
          </w:p>
          <w:p w14:paraId="6A9C9B06">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7、整机全通道支持纸质护眼模式，可实现画面</w:t>
            </w:r>
          </w:p>
          <w:p w14:paraId="7B6A136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纹理的实时调整；支持纸质纹理：牛皮纸、素描纸、宣纸、水彩纸、水纹纸；支持透明度调节；支持色温调节。整机支持色彩空间可选，包含标准模式和sRGB模式，在sRGB模式下可做到高色准△E≤1。</w:t>
            </w:r>
          </w:p>
          <w:p w14:paraId="0B38CCA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★8、整机侧边栏内置自习工具，通过整机麦克</w:t>
            </w:r>
          </w:p>
          <w:p w14:paraId="3F33B2E2">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风内置AI音频检测算法监测教室中学生音量大小，当学生音量大于阈值时，屏幕自动弹窗提醒进行自习纪律干预。整机侧边栏内置自习工具，通过整机麦克风内置AI音频检测算法监测教室中学生音量大小，当学生音量大于阈值时，屏幕自动弹窗提醒进行自习纪律干预。</w:t>
            </w:r>
            <w:r>
              <w:rPr>
                <w:rFonts w:hint="eastAsia" w:ascii="宋体" w:hAnsi="宋体" w:eastAsia="宋体" w:cs="宋体"/>
                <w:b/>
                <w:bCs/>
                <w:color w:val="000000"/>
                <w:sz w:val="24"/>
                <w:szCs w:val="24"/>
              </w:rPr>
              <w:t>（响应文件中须提供具有CNAS或CMA标识的第三方权威检测机构出具的检测报告复印件或扫描件)</w:t>
            </w:r>
          </w:p>
          <w:p w14:paraId="38DF761F">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9、整机支持发出频率为18kHz-22kHz超声波</w:t>
            </w:r>
          </w:p>
          <w:p w14:paraId="6FA7D03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信号，智能手机通过麦克风接收后，智能手机与整机无需在同一局域网内，可实现配对，一键投屏，用户无需手动输入投屏码或扫码获取投屏码。</w:t>
            </w:r>
          </w:p>
          <w:p w14:paraId="3E11DD69">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10、整机设备支持统一互通的用户身份认</w:t>
            </w:r>
          </w:p>
          <w:p w14:paraId="309C8B85">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证服务，账号登录后，打开教学白板软件教学应用工具时无需再次输入账号密码重复登录。整机设备教学桌面的教师登录账号后，可自动获取并在桌面显示最近使用的教学课件，点击课件可直接进入授课模式；并支持查看所有个人教学课件资源。</w:t>
            </w:r>
          </w:p>
          <w:p w14:paraId="14603670">
            <w:pPr>
              <w:widowControl/>
              <w:snapToGrid w:val="0"/>
              <w:spacing w:line="360" w:lineRule="auto"/>
              <w:jc w:val="left"/>
              <w:textAlignment w:val="center"/>
              <w:rPr>
                <w:rFonts w:ascii="宋体" w:hAnsi="宋体" w:eastAsia="宋体" w:cs="宋体"/>
                <w:b/>
                <w:bCs/>
                <w:color w:val="000000"/>
                <w:sz w:val="24"/>
                <w:szCs w:val="24"/>
              </w:rPr>
            </w:pPr>
            <w:r>
              <w:rPr>
                <w:rFonts w:hint="eastAsia" w:ascii="宋体" w:hAnsi="宋体" w:eastAsia="宋体" w:cs="宋体"/>
                <w:b/>
                <w:bCs/>
                <w:color w:val="000000"/>
                <w:sz w:val="24"/>
                <w:szCs w:val="24"/>
              </w:rPr>
              <w:t>二、电脑模块</w:t>
            </w:r>
          </w:p>
          <w:p w14:paraId="63AA5A1A">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11、CPU主频≥2.0Ghz，核心数≥8核，线</w:t>
            </w:r>
          </w:p>
          <w:p w14:paraId="56DCD2A1">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程数≥12线程。</w:t>
            </w:r>
          </w:p>
          <w:p w14:paraId="567F4F53">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12、内存：16GB或以上配置。硬盘：512GB</w:t>
            </w:r>
          </w:p>
          <w:p w14:paraId="20D7AEDF">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或以上固态硬盘。</w:t>
            </w:r>
          </w:p>
          <w:p w14:paraId="5DB3FEA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★13、采用按压式卡扣，无需工具就可快速</w:t>
            </w:r>
          </w:p>
          <w:p w14:paraId="4666E17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拆卸电脑模块。和整机的连接采用万兆级接口，传输速率≥10Gbps。</w:t>
            </w:r>
            <w:r>
              <w:rPr>
                <w:rFonts w:hint="eastAsia" w:ascii="宋体" w:hAnsi="宋体" w:eastAsia="宋体" w:cs="宋体"/>
                <w:b/>
                <w:bCs/>
                <w:color w:val="000000"/>
                <w:sz w:val="24"/>
                <w:szCs w:val="24"/>
              </w:rPr>
              <w:t>（响应文件中须提供具有CNAS或CMA标识的第三方权威检测机构出具的检测报告复印件或扫描件)</w:t>
            </w:r>
          </w:p>
          <w:p w14:paraId="31806C09">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14、具有独立非外扩展的视频输出接口：≥</w:t>
            </w:r>
          </w:p>
          <w:p w14:paraId="798B2C69">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1路HDMI 。具有独立非外扩展的电脑USB接口：≥3路USB。</w:t>
            </w:r>
          </w:p>
          <w:p w14:paraId="6F797F0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15、具有标准PC防盗锁孔。</w:t>
            </w:r>
          </w:p>
          <w:p w14:paraId="210E8593">
            <w:pPr>
              <w:widowControl/>
              <w:snapToGrid w:val="0"/>
              <w:spacing w:line="360" w:lineRule="auto"/>
              <w:jc w:val="left"/>
              <w:textAlignment w:val="center"/>
              <w:rPr>
                <w:rFonts w:ascii="宋体" w:hAnsi="宋体" w:eastAsia="宋体" w:cs="宋体"/>
                <w:b/>
                <w:bCs/>
                <w:color w:val="000000"/>
                <w:sz w:val="24"/>
                <w:szCs w:val="24"/>
              </w:rPr>
            </w:pPr>
            <w:r>
              <w:rPr>
                <w:rFonts w:hint="eastAsia" w:ascii="宋体" w:hAnsi="宋体" w:eastAsia="宋体" w:cs="宋体"/>
                <w:b/>
                <w:bCs/>
                <w:color w:val="000000"/>
                <w:sz w:val="24"/>
                <w:szCs w:val="24"/>
              </w:rPr>
              <w:t>三、教学资源软件</w:t>
            </w:r>
          </w:p>
          <w:p w14:paraId="6985C451">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16、采用备授课一体化框架设计，教师可根</w:t>
            </w:r>
          </w:p>
          <w:p w14:paraId="5013B1E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据教学场景自由切换类PPT界面的备课模式与触控交互教学模式，适用于教室、办公室等不同教学环境，便于教师教学使用。</w:t>
            </w:r>
          </w:p>
          <w:p w14:paraId="251ABA13">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17、能为教师提供云存储空间，教师可在个</w:t>
            </w:r>
          </w:p>
          <w:p w14:paraId="7D6AF9BF">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人云空间中上传存储互动课件、云教案和其他教学资源。教师可新建课件组或素材文件夹对教学资源进行个性化分类与标记。多媒体素材库的素材能插入互动课件，互动课件内的多媒体素材能在课件内直接上传至多媒体素材存储空间，实现了教师调用、采集教学素材。</w:t>
            </w:r>
          </w:p>
          <w:p w14:paraId="4A54ECAD">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18、互动教学课件支持定向精准分享：分享</w:t>
            </w:r>
          </w:p>
          <w:p w14:paraId="2794C3B3">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者可将互动课件、课件组精准推送至指定接收方账号云空间，接收方可在云空间接收并打开分享课件。</w:t>
            </w:r>
          </w:p>
          <w:p w14:paraId="64204B6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19、支持PPT原生解析，教师可将pptx格</w:t>
            </w:r>
          </w:p>
          <w:p w14:paraId="45421A98">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式的课件转化为互动教学课件，支持单份导入和批量文件夹导入两种导入方式，导入后保留PPT原文件中的文字、图片、表格对象及动画的可编辑性，并可为课件增加互动教学元素。</w:t>
            </w:r>
          </w:p>
          <w:p w14:paraId="75B3BE97">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20、采用3DwebGl技术进行研发，资源内容</w:t>
            </w:r>
          </w:p>
          <w:p w14:paraId="1FBEFF2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在云端服务器上，可在线更新资源内容，无需安装任何应用程序，可直接在教学白板软件中打开使用。</w:t>
            </w:r>
          </w:p>
          <w:p w14:paraId="37D940F4">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w:t>
            </w:r>
            <w:r>
              <w:rPr>
                <w:rFonts w:hint="eastAsia" w:ascii="宋体" w:hAnsi="宋体" w:eastAsia="宋体" w:cs="宋体"/>
                <w:color w:val="000000"/>
                <w:kern w:val="0"/>
                <w:sz w:val="24"/>
                <w:szCs w:val="24"/>
              </w:rPr>
              <w:t>21、</w:t>
            </w:r>
            <w:r>
              <w:rPr>
                <w:rFonts w:hint="eastAsia" w:ascii="宋体" w:hAnsi="宋体" w:eastAsia="宋体" w:cs="宋体"/>
                <w:color w:val="000000"/>
                <w:sz w:val="24"/>
                <w:szCs w:val="24"/>
              </w:rPr>
              <w:t>支持在线对PDF的文件进行转换格</w:t>
            </w:r>
          </w:p>
          <w:p w14:paraId="5140F64A">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式，转换为XLSX、DOCX、PPT；转换后文件内容的排布与源PDF保持基本一致；支持对转换后的文件进行编辑，包括(编辑文本、编辑表格、编辑图片)；支持提取视频的声音并转换成文字，自动识别出语气词，用户可选择删除，支持手动删除文字从而达到剪辑的目的。</w:t>
            </w:r>
            <w:r>
              <w:rPr>
                <w:rFonts w:hint="eastAsia" w:ascii="宋体" w:hAnsi="宋体" w:eastAsia="宋体" w:cs="宋体"/>
                <w:b/>
                <w:bCs/>
                <w:color w:val="000000"/>
                <w:sz w:val="24"/>
                <w:szCs w:val="24"/>
              </w:rPr>
              <w:t>（响应文件中须提供具有CNAS或CMA标识的第三方权威检测机构出具的检测报告复印件或扫描件)</w:t>
            </w:r>
          </w:p>
        </w:tc>
        <w:tc>
          <w:tcPr>
            <w:tcW w:w="712" w:type="dxa"/>
            <w:vAlign w:val="center"/>
          </w:tcPr>
          <w:p w14:paraId="5B078716">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0B461DD4">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套</w:t>
            </w:r>
          </w:p>
        </w:tc>
      </w:tr>
      <w:tr w14:paraId="20D27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5589C940">
            <w:pPr>
              <w:spacing w:line="360" w:lineRule="auto"/>
              <w:jc w:val="center"/>
              <w:rPr>
                <w:rFonts w:ascii="宋体" w:hAnsi="宋体" w:eastAsia="宋体" w:cs="宋体"/>
                <w:sz w:val="24"/>
                <w:szCs w:val="24"/>
              </w:rPr>
            </w:pPr>
            <w:r>
              <w:rPr>
                <w:rFonts w:hint="eastAsia" w:ascii="宋体" w:hAnsi="宋体" w:eastAsia="宋体" w:cs="宋体"/>
                <w:sz w:val="24"/>
                <w:szCs w:val="24"/>
              </w:rPr>
              <w:t>11</w:t>
            </w:r>
          </w:p>
        </w:tc>
        <w:tc>
          <w:tcPr>
            <w:tcW w:w="1023" w:type="dxa"/>
            <w:vAlign w:val="center"/>
          </w:tcPr>
          <w:p w14:paraId="12466305">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智能升降讲台</w:t>
            </w:r>
          </w:p>
        </w:tc>
        <w:tc>
          <w:tcPr>
            <w:tcW w:w="6097" w:type="dxa"/>
            <w:vAlign w:val="center"/>
          </w:tcPr>
          <w:p w14:paraId="4FCAB27F">
            <w:pPr>
              <w:widowControl/>
              <w:snapToGrid w:val="0"/>
              <w:spacing w:line="360" w:lineRule="auto"/>
              <w:ind w:left="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讲台参数需求：</w:t>
            </w:r>
          </w:p>
          <w:p w14:paraId="4635E04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1、讲桌为钢木结合设计,采用冷轧钢板桌体,</w:t>
            </w:r>
          </w:p>
          <w:p w14:paraId="71B586B1">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钢版厚度≥1.0mm；讲桌采用双层木质桌面设计，上下层桌体木板厚度≥18mm。</w:t>
            </w:r>
          </w:p>
          <w:p w14:paraId="5ADFA879">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2、升降立柱最大承重为≥120kg，讲桌具备垂</w:t>
            </w:r>
          </w:p>
          <w:p w14:paraId="62E1C226">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直平面水平位置≥110N推力位移仍不超过5mm的移动。</w:t>
            </w:r>
          </w:p>
          <w:p w14:paraId="4791B08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3、讲桌尺寸设计为长×宽×高≥1210mm×</w:t>
            </w:r>
          </w:p>
          <w:p w14:paraId="46283D9C">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670mm×880mm，讲台桌面支持升降功能，水平桌面支持电动升降功能，1080mm≥水平桌面距地高度≥780mm，根据人体工学设计，水平桌面高度合适教师站、坐教学。</w:t>
            </w:r>
          </w:p>
          <w:p w14:paraId="0212D9FE">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4、底部机柜尺寸设计为长×宽×高≥1100mm</w:t>
            </w:r>
          </w:p>
          <w:p w14:paraId="4C7D7E6F">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 xml:space="preserve">×540mm×520mm，机柜容量≥10U,可适装标准19英寸系列网络、通讯类产品，机柜内部带有标准机架和标准电脑主机空间，主机柜门带有磁吸式小门，无需打开柜门即可开关电脑。机柜门采用大面积散热孔设计，易于柜内设备的通风散热，避免设备损坏。前后门都可以打开，方便设备安装及维护，前后门只需要一把钥匙管理； </w:t>
            </w:r>
          </w:p>
          <w:p w14:paraId="10409017">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5、讲桌具有升降控制器设计，至少具备水平桌</w:t>
            </w:r>
          </w:p>
          <w:p w14:paraId="3459BF34">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面距地高度LED数字显示、上升按键、下降按键；还具有一键调节水平桌面到出厂默认适合教师坐姿的高度和一键调节水平桌面到出厂默认适合教师站姿的高度，且均为独立按键，不与任何其他功能键复用，出厂即可使用，无需任何现场部署设置；</w:t>
            </w:r>
          </w:p>
          <w:p w14:paraId="46EB418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★6、讲桌支持桌面同品牌讲台屏体控制升降</w:t>
            </w:r>
          </w:p>
          <w:p w14:paraId="57E42081">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无需使用升降控制器物理按键操作，并可通过软件与老师账号绑定记录老师独有的升降高度数据。</w:t>
            </w:r>
            <w:r>
              <w:rPr>
                <w:rFonts w:hint="eastAsia" w:ascii="宋体" w:hAnsi="宋体" w:eastAsia="宋体" w:cs="宋体"/>
                <w:b/>
                <w:bCs/>
                <w:color w:val="000000"/>
                <w:sz w:val="24"/>
                <w:szCs w:val="24"/>
              </w:rPr>
              <w:t>（响应文件中须提供具有CNAS或CMA标识的第三方权威检测机构出具的检测报告复印件或扫描件)</w:t>
            </w:r>
          </w:p>
          <w:p w14:paraId="54A36F90">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7、升降电机支持过流过压保护、遇阻反弹保</w:t>
            </w:r>
          </w:p>
          <w:p w14:paraId="2E1B01F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护。</w:t>
            </w:r>
          </w:p>
          <w:p w14:paraId="2AA8986D">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8、讲台正面支持学校进行LOGO定制。</w:t>
            </w:r>
          </w:p>
          <w:p w14:paraId="15CD11C9">
            <w:pPr>
              <w:widowControl/>
              <w:snapToGrid w:val="0"/>
              <w:spacing w:line="360" w:lineRule="auto"/>
              <w:ind w:left="420"/>
              <w:jc w:val="left"/>
              <w:textAlignment w:val="center"/>
              <w:rPr>
                <w:rFonts w:ascii="宋体" w:hAnsi="宋体" w:eastAsia="宋体" w:cs="宋体"/>
                <w:b/>
                <w:bCs/>
                <w:color w:val="000000"/>
                <w:sz w:val="24"/>
                <w:szCs w:val="24"/>
              </w:rPr>
            </w:pPr>
            <w:r>
              <w:rPr>
                <w:rFonts w:hint="eastAsia" w:ascii="宋体" w:hAnsi="宋体" w:eastAsia="宋体" w:cs="宋体"/>
                <w:b/>
                <w:bCs/>
                <w:color w:val="000000"/>
                <w:sz w:val="24"/>
                <w:szCs w:val="24"/>
              </w:rPr>
              <w:t>触控屏需求参数：</w:t>
            </w:r>
          </w:p>
          <w:p w14:paraId="3EAC269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9、屏体的屏幕采用≥23.8英寸电容触摸屏，</w:t>
            </w:r>
          </w:p>
          <w:p w14:paraId="7DB70BE0">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采用防眩光钢化玻璃面板，厚度≥2mm；支持≥10点触控；支持屏幕手动角度调节，可实现与桌面形成20°至80°角度调节；</w:t>
            </w:r>
          </w:p>
          <w:p w14:paraId="25CE4550">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r>
              <w:rPr>
                <w:rFonts w:hint="eastAsia" w:ascii="宋体" w:hAnsi="宋体" w:eastAsia="宋体" w:cs="宋体"/>
                <w:color w:val="000000"/>
                <w:sz w:val="24"/>
                <w:szCs w:val="24"/>
              </w:rPr>
              <w:t>屏体侧面具有物理实体快捷按键≥6</w:t>
            </w:r>
          </w:p>
          <w:p w14:paraId="2AEBFE86">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个，按键功能包括对屏幕一键开/关屏幕、对匹配的大屏（如智慧黑板）进行一键熄屏以及一键音量加、一键音量减。</w:t>
            </w:r>
          </w:p>
        </w:tc>
        <w:tc>
          <w:tcPr>
            <w:tcW w:w="712" w:type="dxa"/>
            <w:vAlign w:val="center"/>
          </w:tcPr>
          <w:p w14:paraId="4679C37C">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2E7F3F27">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套</w:t>
            </w:r>
          </w:p>
        </w:tc>
      </w:tr>
      <w:tr w14:paraId="54EA9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193A4627">
            <w:pPr>
              <w:spacing w:line="360" w:lineRule="auto"/>
              <w:jc w:val="center"/>
              <w:rPr>
                <w:rFonts w:ascii="宋体" w:hAnsi="宋体" w:eastAsia="宋体" w:cs="宋体"/>
                <w:sz w:val="24"/>
                <w:szCs w:val="24"/>
              </w:rPr>
            </w:pPr>
            <w:r>
              <w:rPr>
                <w:rFonts w:hint="eastAsia" w:ascii="宋体" w:hAnsi="宋体" w:eastAsia="宋体" w:cs="宋体"/>
                <w:sz w:val="24"/>
                <w:szCs w:val="24"/>
              </w:rPr>
              <w:t>12</w:t>
            </w:r>
          </w:p>
        </w:tc>
        <w:tc>
          <w:tcPr>
            <w:tcW w:w="1023" w:type="dxa"/>
            <w:vAlign w:val="center"/>
          </w:tcPr>
          <w:p w14:paraId="03750FE1">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木挡板条形折叠桌</w:t>
            </w:r>
          </w:p>
        </w:tc>
        <w:tc>
          <w:tcPr>
            <w:tcW w:w="6097" w:type="dxa"/>
            <w:vAlign w:val="center"/>
          </w:tcPr>
          <w:p w14:paraId="1257B187">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1、台面板采用优质刨花板，甲醛释放量≤</w:t>
            </w:r>
          </w:p>
          <w:p w14:paraId="11E97772">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0.124mg/m3，静曲强度≤11.0Mpa，弹性模量≤1600Mpa，内胶合强度≤0.35Mpa，表面胶合强度≤0.80Mpa，2h吸水厚度膨胀率≤8.0%；等所有参数均符合国家最新E1级环保标准。长≥1200mm，宽≥400mm，桌面厚度≥25mm，桌子高度≥750MM，面粘三聚氰胺胶面，采用优质PVC封边条，厚度1.5mm，耐干热、耐磨、耐开裂、耐老化、耐冷热循环性、耐光色牢度均合格，台面形状是长条形。</w:t>
            </w:r>
          </w:p>
          <w:p w14:paraId="533821A1">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2、前挡板：挡板尺寸≥940MM*340MM，厚度≥</w:t>
            </w:r>
          </w:p>
          <w:p w14:paraId="21FF3CE0">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15mm，采用优质PVC封边条，厚度≥1.0mm。</w:t>
            </w:r>
          </w:p>
          <w:p w14:paraId="5A936CE2">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3、台面托架采用优质冷轧钢板经冲压折弯工</w:t>
            </w:r>
          </w:p>
          <w:p w14:paraId="44442FB6">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艺一体而成，表面采用防锈静电喷涂处理,实用牢固。</w:t>
            </w:r>
          </w:p>
          <w:p w14:paraId="05415D9C">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4、配置优质PP一体成型旋钮开关，任何一侧</w:t>
            </w:r>
          </w:p>
          <w:p w14:paraId="3A727186">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 xml:space="preserve">只需轻轻一扭便可折叠。 </w:t>
            </w:r>
          </w:p>
          <w:p w14:paraId="3A1A86AD">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5、脚管采用优质蛋型冷轧钢管,前后脚跨度为</w:t>
            </w:r>
          </w:p>
          <w:p w14:paraId="4D469358">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480MM，表面采用防锈静电喷涂处理及塑料配件，整体牢固耐用。</w:t>
            </w:r>
          </w:p>
          <w:p w14:paraId="356F42BD">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6、书网采用优质≥φ14MM圆管，长度≥</w:t>
            </w:r>
          </w:p>
          <w:p w14:paraId="04D9A892">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940MM(厚度≥0.8mm)经塑料件与圆管组合成型表面采用防锈静电喷涂处理。</w:t>
            </w:r>
          </w:p>
          <w:p w14:paraId="7B7831CC">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r>
              <w:rPr>
                <w:rFonts w:hint="eastAsia" w:ascii="宋体" w:hAnsi="宋体" w:eastAsia="宋体" w:cs="宋体"/>
                <w:color w:val="000000"/>
                <w:sz w:val="24"/>
                <w:szCs w:val="24"/>
              </w:rPr>
              <w:t>采用人体工程理念，接缝齐整，过渡自然;</w:t>
            </w:r>
          </w:p>
          <w:p w14:paraId="2E4FA10B">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台架有旋钮拆叠装置，脚轮采用≥φ50MM  PVC万向脚轮带刹车。</w:t>
            </w:r>
          </w:p>
        </w:tc>
        <w:tc>
          <w:tcPr>
            <w:tcW w:w="712" w:type="dxa"/>
            <w:vAlign w:val="center"/>
          </w:tcPr>
          <w:p w14:paraId="4A1A8EFA">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28</w:t>
            </w:r>
          </w:p>
        </w:tc>
        <w:tc>
          <w:tcPr>
            <w:tcW w:w="725" w:type="dxa"/>
            <w:vAlign w:val="center"/>
          </w:tcPr>
          <w:p w14:paraId="2056CCFD">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张</w:t>
            </w:r>
          </w:p>
        </w:tc>
      </w:tr>
      <w:tr w14:paraId="7E6FD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01BB96E3">
            <w:pPr>
              <w:spacing w:line="360" w:lineRule="auto"/>
              <w:jc w:val="center"/>
              <w:rPr>
                <w:rFonts w:ascii="宋体" w:hAnsi="宋体" w:eastAsia="宋体" w:cs="宋体"/>
                <w:sz w:val="24"/>
                <w:szCs w:val="24"/>
              </w:rPr>
            </w:pPr>
            <w:r>
              <w:rPr>
                <w:rFonts w:hint="eastAsia" w:ascii="宋体" w:hAnsi="宋体" w:eastAsia="宋体" w:cs="宋体"/>
                <w:sz w:val="24"/>
                <w:szCs w:val="24"/>
              </w:rPr>
              <w:t>13</w:t>
            </w:r>
          </w:p>
        </w:tc>
        <w:tc>
          <w:tcPr>
            <w:tcW w:w="1023" w:type="dxa"/>
            <w:vAlign w:val="center"/>
          </w:tcPr>
          <w:p w14:paraId="0B6D60BB">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学生椅子</w:t>
            </w:r>
          </w:p>
        </w:tc>
        <w:tc>
          <w:tcPr>
            <w:tcW w:w="6097" w:type="dxa"/>
            <w:vAlign w:val="center"/>
          </w:tcPr>
          <w:p w14:paraId="49E844B3">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1、规格尺寸：≥640mm*440mm*820mm；</w:t>
            </w:r>
          </w:p>
          <w:p w14:paraId="79D57AA2">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2、靠背框架采用PP材质，质地轻、抗裂性强、</w:t>
            </w:r>
          </w:p>
          <w:p w14:paraId="75CAB101">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耐腐蚀、耐老化、无毒环保。靠背网布采用涤纶材料，固定靠背。</w:t>
            </w:r>
          </w:p>
          <w:p w14:paraId="2C2FEB5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3、坐垫采用切割海绵，坐垫木板采用胶水桉木</w:t>
            </w:r>
          </w:p>
          <w:p w14:paraId="085A0C56">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单板胶合板，坐垫卡扣固定件采用pp材质。</w:t>
            </w:r>
          </w:p>
          <w:p w14:paraId="10F2B5BA">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4、座布采用长丝pp+纤维材质；</w:t>
            </w:r>
          </w:p>
          <w:p w14:paraId="05C475D0">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r>
              <w:rPr>
                <w:rFonts w:hint="eastAsia" w:ascii="宋体" w:hAnsi="宋体" w:eastAsia="宋体" w:cs="宋体"/>
                <w:color w:val="000000"/>
                <w:sz w:val="24"/>
                <w:szCs w:val="24"/>
              </w:rPr>
              <w:t>铁框架：椅架采用32mmX20mm，壁厚1.2MM</w:t>
            </w:r>
          </w:p>
          <w:p w14:paraId="4C35EF98">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优质冷轧钢管，椅架中间采用直径19圆管壁厚1.5mm做横梁连接，使椅架更加牢固稳定，安装坐垫不变形；椅架焊接采用全自动机械手焊接，焊口精确牢固；脚轮：采用φ50MM普通尼龙材质+PVC，静音设置，移动时不会发出噪音。</w:t>
            </w:r>
          </w:p>
        </w:tc>
        <w:tc>
          <w:tcPr>
            <w:tcW w:w="712" w:type="dxa"/>
            <w:vAlign w:val="center"/>
          </w:tcPr>
          <w:p w14:paraId="671DE1F5">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56</w:t>
            </w:r>
          </w:p>
        </w:tc>
        <w:tc>
          <w:tcPr>
            <w:tcW w:w="725" w:type="dxa"/>
            <w:vAlign w:val="center"/>
          </w:tcPr>
          <w:p w14:paraId="09965740">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把</w:t>
            </w:r>
          </w:p>
        </w:tc>
      </w:tr>
      <w:tr w14:paraId="4D098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077B4E0A">
            <w:pPr>
              <w:spacing w:line="360" w:lineRule="auto"/>
              <w:jc w:val="center"/>
              <w:rPr>
                <w:rFonts w:ascii="宋体" w:hAnsi="宋体" w:eastAsia="宋体" w:cs="宋体"/>
                <w:sz w:val="24"/>
                <w:szCs w:val="24"/>
              </w:rPr>
            </w:pPr>
            <w:r>
              <w:rPr>
                <w:rFonts w:hint="eastAsia" w:ascii="宋体" w:hAnsi="宋体" w:eastAsia="宋体" w:cs="宋体"/>
                <w:sz w:val="24"/>
                <w:szCs w:val="24"/>
              </w:rPr>
              <w:t>14</w:t>
            </w:r>
          </w:p>
        </w:tc>
        <w:tc>
          <w:tcPr>
            <w:tcW w:w="1023" w:type="dxa"/>
            <w:vAlign w:val="center"/>
          </w:tcPr>
          <w:p w14:paraId="516B337E">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书架</w:t>
            </w:r>
          </w:p>
        </w:tc>
        <w:tc>
          <w:tcPr>
            <w:tcW w:w="6097" w:type="dxa"/>
            <w:vAlign w:val="center"/>
          </w:tcPr>
          <w:p w14:paraId="6C5F0724">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1、长度≥3700mm深度≥300mm高度≥2000mm</w:t>
            </w:r>
          </w:p>
          <w:p w14:paraId="18B98EB8">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2、材质：选用环保免漆板木材，经过防虫防腐</w:t>
            </w:r>
          </w:p>
          <w:p w14:paraId="72A1A91D">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处理</w:t>
            </w:r>
          </w:p>
          <w:p w14:paraId="1A36836D">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3、产品风格：现代简约</w:t>
            </w:r>
          </w:p>
          <w:p w14:paraId="0583CC6B">
            <w:pPr>
              <w:widowControl/>
              <w:snapToGrid w:val="0"/>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4、五金配件：优质五金配件。</w:t>
            </w:r>
          </w:p>
          <w:p w14:paraId="53DABE31">
            <w:pPr>
              <w:widowControl/>
              <w:snapToGrid w:val="0"/>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r>
              <w:rPr>
                <w:rFonts w:hint="eastAsia" w:ascii="宋体" w:hAnsi="宋体" w:eastAsia="宋体" w:cs="宋体"/>
                <w:color w:val="000000"/>
                <w:sz w:val="24"/>
                <w:szCs w:val="24"/>
              </w:rPr>
              <w:t>粘胶：环保胶粘剂，符合GB18586-2001标</w:t>
            </w:r>
          </w:p>
          <w:p w14:paraId="459A854B">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准。</w:t>
            </w:r>
          </w:p>
        </w:tc>
        <w:tc>
          <w:tcPr>
            <w:tcW w:w="712" w:type="dxa"/>
            <w:vAlign w:val="center"/>
          </w:tcPr>
          <w:p w14:paraId="3C8E7E07">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2</w:t>
            </w:r>
          </w:p>
        </w:tc>
        <w:tc>
          <w:tcPr>
            <w:tcW w:w="725" w:type="dxa"/>
            <w:vAlign w:val="center"/>
          </w:tcPr>
          <w:p w14:paraId="3C51F2D7">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组</w:t>
            </w:r>
          </w:p>
        </w:tc>
      </w:tr>
      <w:tr w14:paraId="7750B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4B495C07">
            <w:pPr>
              <w:spacing w:line="360" w:lineRule="auto"/>
              <w:jc w:val="center"/>
              <w:rPr>
                <w:rFonts w:ascii="宋体" w:hAnsi="宋体" w:eastAsia="宋体" w:cs="宋体"/>
                <w:sz w:val="24"/>
                <w:szCs w:val="24"/>
              </w:rPr>
            </w:pPr>
            <w:r>
              <w:rPr>
                <w:rFonts w:hint="eastAsia" w:ascii="宋体" w:hAnsi="宋体" w:eastAsia="宋体" w:cs="宋体"/>
                <w:sz w:val="24"/>
                <w:szCs w:val="24"/>
              </w:rPr>
              <w:t>15</w:t>
            </w:r>
          </w:p>
        </w:tc>
        <w:tc>
          <w:tcPr>
            <w:tcW w:w="1023" w:type="dxa"/>
            <w:vAlign w:val="center"/>
          </w:tcPr>
          <w:p w14:paraId="485E6D2B">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环境测评</w:t>
            </w:r>
          </w:p>
        </w:tc>
        <w:tc>
          <w:tcPr>
            <w:tcW w:w="6097" w:type="dxa"/>
            <w:vAlign w:val="center"/>
          </w:tcPr>
          <w:p w14:paraId="092229F5">
            <w:pPr>
              <w:widowControl/>
              <w:numPr>
                <w:ilvl w:val="0"/>
                <w:numId w:val="5"/>
              </w:numPr>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室内甲醛有害气体检测费</w:t>
            </w:r>
          </w:p>
        </w:tc>
        <w:tc>
          <w:tcPr>
            <w:tcW w:w="712" w:type="dxa"/>
            <w:vAlign w:val="center"/>
          </w:tcPr>
          <w:p w14:paraId="33373399">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5DFBF818">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项</w:t>
            </w:r>
          </w:p>
        </w:tc>
      </w:tr>
      <w:tr w14:paraId="76229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63D510CE">
            <w:pPr>
              <w:spacing w:line="360" w:lineRule="auto"/>
              <w:jc w:val="center"/>
              <w:rPr>
                <w:rFonts w:ascii="宋体" w:hAnsi="宋体" w:eastAsia="宋体" w:cs="宋体"/>
                <w:sz w:val="24"/>
                <w:szCs w:val="24"/>
              </w:rPr>
            </w:pPr>
            <w:r>
              <w:rPr>
                <w:rFonts w:hint="eastAsia" w:ascii="宋体" w:hAnsi="宋体" w:eastAsia="宋体" w:cs="宋体"/>
                <w:sz w:val="24"/>
                <w:szCs w:val="24"/>
              </w:rPr>
              <w:t>16</w:t>
            </w:r>
          </w:p>
        </w:tc>
        <w:tc>
          <w:tcPr>
            <w:tcW w:w="1023" w:type="dxa"/>
            <w:vAlign w:val="center"/>
          </w:tcPr>
          <w:p w14:paraId="47BAA391">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一拖二空调</w:t>
            </w:r>
          </w:p>
        </w:tc>
        <w:tc>
          <w:tcPr>
            <w:tcW w:w="6097" w:type="dxa"/>
            <w:vAlign w:val="center"/>
          </w:tcPr>
          <w:p w14:paraId="2CDB40E2">
            <w:pPr>
              <w:widowControl/>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1、中央空调≥10匹，一拖二天花机；</w:t>
            </w:r>
          </w:p>
          <w:p w14:paraId="6ED4C983">
            <w:pPr>
              <w:widowControl/>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2、制热量≥28000W，制冷量≥25000W；</w:t>
            </w:r>
          </w:p>
          <w:p w14:paraId="10A79B7F">
            <w:pPr>
              <w:widowControl/>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3、制冷功率≥7950W，制热功率≥7800W；</w:t>
            </w:r>
          </w:p>
          <w:p w14:paraId="633C12BD">
            <w:pPr>
              <w:widowControl/>
              <w:spacing w:line="360" w:lineRule="auto"/>
              <w:ind w:left="420" w:hanging="420"/>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4、变频冷暖二级能效；</w:t>
            </w:r>
          </w:p>
          <w:p w14:paraId="3A26663B">
            <w:pPr>
              <w:widowControl/>
              <w:spacing w:line="360" w:lineRule="auto"/>
              <w:ind w:left="420" w:hanging="420"/>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r>
              <w:rPr>
                <w:rFonts w:hint="eastAsia" w:ascii="宋体" w:hAnsi="宋体" w:eastAsia="宋体" w:cs="宋体"/>
                <w:color w:val="000000"/>
                <w:sz w:val="24"/>
                <w:szCs w:val="24"/>
              </w:rPr>
              <w:t>包含所有管道及辅材</w:t>
            </w:r>
          </w:p>
        </w:tc>
        <w:tc>
          <w:tcPr>
            <w:tcW w:w="712" w:type="dxa"/>
            <w:vAlign w:val="center"/>
          </w:tcPr>
          <w:p w14:paraId="07D9C794">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0C73AA0F">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套</w:t>
            </w:r>
          </w:p>
        </w:tc>
      </w:tr>
      <w:tr w14:paraId="63416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1BC5F673">
            <w:pPr>
              <w:spacing w:line="360" w:lineRule="auto"/>
              <w:jc w:val="center"/>
              <w:rPr>
                <w:rFonts w:ascii="宋体" w:hAnsi="宋体" w:eastAsia="宋体" w:cs="宋体"/>
                <w:sz w:val="24"/>
                <w:szCs w:val="24"/>
              </w:rPr>
            </w:pPr>
            <w:r>
              <w:rPr>
                <w:rFonts w:hint="eastAsia" w:ascii="宋体" w:hAnsi="宋体" w:eastAsia="宋体" w:cs="宋体"/>
                <w:sz w:val="24"/>
                <w:szCs w:val="24"/>
              </w:rPr>
              <w:t>17</w:t>
            </w:r>
          </w:p>
        </w:tc>
        <w:tc>
          <w:tcPr>
            <w:tcW w:w="1023" w:type="dxa"/>
            <w:vAlign w:val="center"/>
          </w:tcPr>
          <w:p w14:paraId="720714A6">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顶面处理</w:t>
            </w:r>
          </w:p>
        </w:tc>
        <w:tc>
          <w:tcPr>
            <w:tcW w:w="6097" w:type="dxa"/>
            <w:vAlign w:val="center"/>
          </w:tcPr>
          <w:p w14:paraId="3802325F">
            <w:pPr>
              <w:widowControl/>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基层处理加原顶面喷黑约156平方；</w:t>
            </w:r>
          </w:p>
        </w:tc>
        <w:tc>
          <w:tcPr>
            <w:tcW w:w="712" w:type="dxa"/>
            <w:vAlign w:val="center"/>
          </w:tcPr>
          <w:p w14:paraId="17F8C92E">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5EA6100C">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项</w:t>
            </w:r>
          </w:p>
        </w:tc>
      </w:tr>
      <w:tr w14:paraId="4C4A1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20F45425">
            <w:pPr>
              <w:spacing w:line="360" w:lineRule="auto"/>
              <w:jc w:val="center"/>
              <w:rPr>
                <w:rFonts w:ascii="宋体" w:hAnsi="宋体" w:eastAsia="宋体" w:cs="宋体"/>
                <w:sz w:val="24"/>
                <w:szCs w:val="24"/>
              </w:rPr>
            </w:pPr>
            <w:r>
              <w:rPr>
                <w:rFonts w:hint="eastAsia" w:ascii="宋体" w:hAnsi="宋体" w:eastAsia="宋体" w:cs="宋体"/>
                <w:sz w:val="24"/>
                <w:szCs w:val="24"/>
              </w:rPr>
              <w:t>18</w:t>
            </w:r>
          </w:p>
        </w:tc>
        <w:tc>
          <w:tcPr>
            <w:tcW w:w="1023" w:type="dxa"/>
            <w:vAlign w:val="center"/>
          </w:tcPr>
          <w:p w14:paraId="4FCE6694">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吊顶</w:t>
            </w:r>
          </w:p>
        </w:tc>
        <w:tc>
          <w:tcPr>
            <w:tcW w:w="6097" w:type="dxa"/>
            <w:vAlign w:val="center"/>
          </w:tcPr>
          <w:p w14:paraId="3D81172B">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走边石膏板吊顶约44.5平方；</w:t>
            </w:r>
          </w:p>
          <w:p w14:paraId="17120B5E">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石膏板平顶吊顶及石膏板上腻子粉加乳胶漆一项，约14平方；</w:t>
            </w:r>
          </w:p>
          <w:p w14:paraId="57F0C564">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中间方通吊顶约93平方；</w:t>
            </w:r>
          </w:p>
        </w:tc>
        <w:tc>
          <w:tcPr>
            <w:tcW w:w="712" w:type="dxa"/>
            <w:vAlign w:val="center"/>
          </w:tcPr>
          <w:p w14:paraId="007AB80B">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68ABBBCF">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项</w:t>
            </w:r>
          </w:p>
        </w:tc>
      </w:tr>
      <w:tr w14:paraId="6CE21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3CE35FB1">
            <w:pPr>
              <w:spacing w:line="360" w:lineRule="auto"/>
              <w:jc w:val="center"/>
              <w:rPr>
                <w:rFonts w:ascii="宋体" w:hAnsi="宋体" w:eastAsia="宋体" w:cs="宋体"/>
                <w:sz w:val="24"/>
                <w:szCs w:val="24"/>
              </w:rPr>
            </w:pPr>
            <w:r>
              <w:rPr>
                <w:rFonts w:hint="eastAsia" w:ascii="宋体" w:hAnsi="宋体" w:eastAsia="宋体" w:cs="宋体"/>
                <w:sz w:val="24"/>
                <w:szCs w:val="24"/>
              </w:rPr>
              <w:t>19</w:t>
            </w:r>
          </w:p>
        </w:tc>
        <w:tc>
          <w:tcPr>
            <w:tcW w:w="1023" w:type="dxa"/>
            <w:vAlign w:val="center"/>
          </w:tcPr>
          <w:p w14:paraId="389649C4">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灯具及线路敷设</w:t>
            </w:r>
          </w:p>
        </w:tc>
        <w:tc>
          <w:tcPr>
            <w:tcW w:w="6097" w:type="dxa"/>
            <w:vAlign w:val="center"/>
          </w:tcPr>
          <w:p w14:paraId="3C0B6755">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长条灯约27套，灯具及讲台区域信息化设备电路敷设；</w:t>
            </w:r>
          </w:p>
        </w:tc>
        <w:tc>
          <w:tcPr>
            <w:tcW w:w="712" w:type="dxa"/>
            <w:vAlign w:val="center"/>
          </w:tcPr>
          <w:p w14:paraId="2E62A04C">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7F071544">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项</w:t>
            </w:r>
          </w:p>
        </w:tc>
      </w:tr>
      <w:tr w14:paraId="59197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4C54D615">
            <w:pPr>
              <w:spacing w:line="360" w:lineRule="auto"/>
              <w:jc w:val="center"/>
              <w:rPr>
                <w:rFonts w:ascii="宋体" w:hAnsi="宋体" w:eastAsia="宋体" w:cs="宋体"/>
                <w:sz w:val="24"/>
                <w:szCs w:val="24"/>
              </w:rPr>
            </w:pPr>
            <w:r>
              <w:rPr>
                <w:rFonts w:hint="eastAsia" w:ascii="宋体" w:hAnsi="宋体" w:eastAsia="宋体" w:cs="宋体"/>
                <w:sz w:val="24"/>
                <w:szCs w:val="24"/>
              </w:rPr>
              <w:t>20</w:t>
            </w:r>
          </w:p>
        </w:tc>
        <w:tc>
          <w:tcPr>
            <w:tcW w:w="1023" w:type="dxa"/>
            <w:vAlign w:val="center"/>
          </w:tcPr>
          <w:p w14:paraId="52A7877D">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墙面处理</w:t>
            </w:r>
          </w:p>
        </w:tc>
        <w:tc>
          <w:tcPr>
            <w:tcW w:w="6097" w:type="dxa"/>
            <w:vAlign w:val="center"/>
          </w:tcPr>
          <w:p w14:paraId="1E6A8D91">
            <w:pPr>
              <w:widowControl/>
              <w:snapToGrid w:val="0"/>
              <w:spacing w:line="36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墙面龙骨框架打底，内安装隔音棉，阻燃板饰面，墙面竹木纤维护墙板，约78平方</w:t>
            </w:r>
          </w:p>
          <w:p w14:paraId="76BD2F92">
            <w:pPr>
              <w:widowControl/>
              <w:snapToGrid w:val="0"/>
              <w:spacing w:line="360" w:lineRule="auto"/>
              <w:jc w:val="left"/>
              <w:textAlignment w:val="center"/>
              <w:rPr>
                <w:rFonts w:ascii="宋体" w:hAnsi="宋体" w:eastAsia="宋体" w:cs="宋体"/>
                <w:color w:val="000000"/>
                <w:kern w:val="0"/>
                <w:sz w:val="24"/>
                <w:szCs w:val="24"/>
              </w:rPr>
            </w:pPr>
          </w:p>
        </w:tc>
        <w:tc>
          <w:tcPr>
            <w:tcW w:w="712" w:type="dxa"/>
            <w:vAlign w:val="center"/>
          </w:tcPr>
          <w:p w14:paraId="095CFDD6">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0DD1D6C6">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项</w:t>
            </w:r>
          </w:p>
        </w:tc>
      </w:tr>
      <w:tr w14:paraId="5454D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43CAB94D">
            <w:pPr>
              <w:spacing w:line="360" w:lineRule="auto"/>
              <w:jc w:val="center"/>
              <w:rPr>
                <w:rFonts w:ascii="宋体" w:hAnsi="宋体" w:eastAsia="宋体" w:cs="宋体"/>
                <w:sz w:val="24"/>
                <w:szCs w:val="24"/>
              </w:rPr>
            </w:pPr>
            <w:r>
              <w:rPr>
                <w:rFonts w:hint="eastAsia" w:ascii="宋体" w:hAnsi="宋体" w:eastAsia="宋体" w:cs="宋体"/>
                <w:sz w:val="24"/>
                <w:szCs w:val="24"/>
              </w:rPr>
              <w:t>21</w:t>
            </w:r>
          </w:p>
        </w:tc>
        <w:tc>
          <w:tcPr>
            <w:tcW w:w="1023" w:type="dxa"/>
            <w:vAlign w:val="center"/>
          </w:tcPr>
          <w:p w14:paraId="39E7A79C">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地面处理</w:t>
            </w:r>
          </w:p>
        </w:tc>
        <w:tc>
          <w:tcPr>
            <w:tcW w:w="6097" w:type="dxa"/>
            <w:vAlign w:val="center"/>
          </w:tcPr>
          <w:p w14:paraId="480C8DFC">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地面自流平及PVC塑胶地板,塑胶地板厚度≥2mm，约125平方；</w:t>
            </w:r>
          </w:p>
        </w:tc>
        <w:tc>
          <w:tcPr>
            <w:tcW w:w="712" w:type="dxa"/>
            <w:vAlign w:val="center"/>
          </w:tcPr>
          <w:p w14:paraId="107D3342">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132D432F">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项</w:t>
            </w:r>
          </w:p>
        </w:tc>
      </w:tr>
      <w:tr w14:paraId="7EF25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4E9958D1">
            <w:pPr>
              <w:spacing w:line="360" w:lineRule="auto"/>
              <w:jc w:val="center"/>
              <w:rPr>
                <w:rFonts w:ascii="宋体" w:hAnsi="宋体" w:eastAsia="宋体" w:cs="宋体"/>
                <w:sz w:val="24"/>
                <w:szCs w:val="24"/>
              </w:rPr>
            </w:pPr>
            <w:r>
              <w:rPr>
                <w:rFonts w:hint="eastAsia" w:ascii="宋体" w:hAnsi="宋体" w:eastAsia="宋体" w:cs="宋体"/>
                <w:sz w:val="24"/>
                <w:szCs w:val="24"/>
              </w:rPr>
              <w:t>22</w:t>
            </w:r>
          </w:p>
        </w:tc>
        <w:tc>
          <w:tcPr>
            <w:tcW w:w="1023" w:type="dxa"/>
            <w:vAlign w:val="center"/>
          </w:tcPr>
          <w:p w14:paraId="3AC6EF7C">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sz w:val="24"/>
                <w:szCs w:val="24"/>
              </w:rPr>
              <w:t>窗帘盒及窗帘</w:t>
            </w:r>
          </w:p>
        </w:tc>
        <w:tc>
          <w:tcPr>
            <w:tcW w:w="6097" w:type="dxa"/>
            <w:vAlign w:val="center"/>
          </w:tcPr>
          <w:p w14:paraId="3F60E42D">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窗帘盒约20米及遮光窗帘1批，覆盖本教室；</w:t>
            </w:r>
          </w:p>
        </w:tc>
        <w:tc>
          <w:tcPr>
            <w:tcW w:w="712" w:type="dxa"/>
            <w:vAlign w:val="center"/>
          </w:tcPr>
          <w:p w14:paraId="58325F25">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1</w:t>
            </w:r>
          </w:p>
        </w:tc>
        <w:tc>
          <w:tcPr>
            <w:tcW w:w="725" w:type="dxa"/>
            <w:vAlign w:val="center"/>
          </w:tcPr>
          <w:p w14:paraId="1236517E">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sz w:val="24"/>
                <w:szCs w:val="24"/>
              </w:rPr>
              <w:t>项</w:t>
            </w:r>
          </w:p>
        </w:tc>
      </w:tr>
      <w:tr w14:paraId="221BC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33B8038D">
            <w:pPr>
              <w:spacing w:line="360" w:lineRule="auto"/>
              <w:jc w:val="center"/>
              <w:rPr>
                <w:rFonts w:ascii="宋体" w:hAnsi="宋体" w:eastAsia="宋体" w:cs="宋体"/>
                <w:sz w:val="24"/>
                <w:szCs w:val="24"/>
              </w:rPr>
            </w:pPr>
            <w:r>
              <w:rPr>
                <w:rFonts w:hint="eastAsia" w:ascii="宋体" w:hAnsi="宋体" w:eastAsia="宋体" w:cs="宋体"/>
                <w:sz w:val="24"/>
                <w:szCs w:val="24"/>
              </w:rPr>
              <w:t>23</w:t>
            </w:r>
          </w:p>
        </w:tc>
        <w:tc>
          <w:tcPr>
            <w:tcW w:w="1023" w:type="dxa"/>
            <w:vAlign w:val="center"/>
          </w:tcPr>
          <w:p w14:paraId="4F04D6FE">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系统集成安装</w:t>
            </w:r>
          </w:p>
        </w:tc>
        <w:tc>
          <w:tcPr>
            <w:tcW w:w="6097" w:type="dxa"/>
            <w:vAlign w:val="center"/>
          </w:tcPr>
          <w:p w14:paraId="5B5F4471">
            <w:pPr>
              <w:widowControl/>
              <w:snapToGrid w:val="0"/>
              <w:spacing w:line="36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包含录播系统及扩声系统的安装调试，弱电敷设。弱电线包括：讲台到大屏的反向触控线及HDMI线。</w:t>
            </w:r>
          </w:p>
          <w:p w14:paraId="36C55D15">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优质国标管材、辅材以及设备安装调试，设备安装要求规范、美观，无安全隐患。弱电点位的敷设、水晶头的制作，线路的测试、标识标签的制作，各种设备应连接无误、图像清晰、信号准确无误、系统运行可靠；重要产品由原厂专业工程师进行安装调试并培训，使管理人员能正常使用和熟练掌握；包含培训等相关费用；装饰建筑垃圾清运及保洁。</w:t>
            </w:r>
          </w:p>
        </w:tc>
        <w:tc>
          <w:tcPr>
            <w:tcW w:w="712" w:type="dxa"/>
            <w:vAlign w:val="center"/>
          </w:tcPr>
          <w:p w14:paraId="16633541">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1</w:t>
            </w:r>
          </w:p>
        </w:tc>
        <w:tc>
          <w:tcPr>
            <w:tcW w:w="725" w:type="dxa"/>
            <w:vAlign w:val="center"/>
          </w:tcPr>
          <w:p w14:paraId="26E6AF74">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项</w:t>
            </w:r>
          </w:p>
        </w:tc>
      </w:tr>
      <w:tr w14:paraId="22197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vAlign w:val="center"/>
          </w:tcPr>
          <w:p w14:paraId="509D8CD4">
            <w:pPr>
              <w:spacing w:line="360" w:lineRule="auto"/>
              <w:jc w:val="center"/>
              <w:rPr>
                <w:rFonts w:ascii="宋体" w:hAnsi="宋体" w:eastAsia="宋体" w:cs="宋体"/>
                <w:sz w:val="24"/>
                <w:szCs w:val="24"/>
              </w:rPr>
            </w:pPr>
            <w:r>
              <w:rPr>
                <w:rFonts w:hint="eastAsia" w:ascii="宋体" w:hAnsi="宋体" w:eastAsia="宋体" w:cs="宋体"/>
                <w:sz w:val="24"/>
                <w:szCs w:val="24"/>
              </w:rPr>
              <w:t>24</w:t>
            </w:r>
          </w:p>
        </w:tc>
        <w:tc>
          <w:tcPr>
            <w:tcW w:w="1023" w:type="dxa"/>
            <w:vAlign w:val="center"/>
          </w:tcPr>
          <w:p w14:paraId="07CD5AE8">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现有家具拆装</w:t>
            </w:r>
          </w:p>
        </w:tc>
        <w:tc>
          <w:tcPr>
            <w:tcW w:w="6097" w:type="dxa"/>
            <w:vAlign w:val="center"/>
          </w:tcPr>
          <w:p w14:paraId="5978AE54">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对教室现有的18套学生学习工位进行拆装（移动至其他房间）</w:t>
            </w:r>
          </w:p>
        </w:tc>
        <w:tc>
          <w:tcPr>
            <w:tcW w:w="712" w:type="dxa"/>
            <w:vAlign w:val="center"/>
          </w:tcPr>
          <w:p w14:paraId="23211177">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1</w:t>
            </w:r>
          </w:p>
        </w:tc>
        <w:tc>
          <w:tcPr>
            <w:tcW w:w="725" w:type="dxa"/>
            <w:vAlign w:val="center"/>
          </w:tcPr>
          <w:p w14:paraId="0D9AA45A">
            <w:pPr>
              <w:widowControl/>
              <w:snapToGrid w:val="0"/>
              <w:spacing w:line="360" w:lineRule="auto"/>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lang w:bidi="ar"/>
              </w:rPr>
              <w:t>项</w:t>
            </w:r>
          </w:p>
        </w:tc>
      </w:tr>
    </w:tbl>
    <w:p w14:paraId="5DDAFD05">
      <w:pPr>
        <w:wordWrap w:val="0"/>
        <w:spacing w:line="440" w:lineRule="exact"/>
        <w:ind w:firstLine="437"/>
        <w:rPr>
          <w:rFonts w:ascii="Arial" w:hAnsi="Arial" w:eastAsia="宋体" w:cs="Arial"/>
          <w:b/>
          <w:bCs/>
          <w:sz w:val="28"/>
          <w:szCs w:val="28"/>
        </w:rPr>
      </w:pPr>
      <w:r>
        <w:rPr>
          <w:rFonts w:ascii="Arial" w:hAnsi="Arial" w:eastAsia="宋体" w:cs="Arial"/>
          <w:b/>
          <w:bCs/>
          <w:sz w:val="28"/>
          <w:szCs w:val="28"/>
        </w:rPr>
        <w:t>三、报价要求</w:t>
      </w:r>
    </w:p>
    <w:p w14:paraId="2B139855">
      <w:r>
        <w:rPr>
          <w:rFonts w:ascii="Times New Roman" w:hAnsi="Times New Roman" w:eastAsia="宋体" w:cs="Times New Roman"/>
          <w:sz w:val="24"/>
          <w:szCs w:val="18"/>
        </w:rPr>
        <w:t>本项目报总价，报价即完成本项目所需内容的所有费用，</w:t>
      </w:r>
      <w:r>
        <w:rPr>
          <w:rFonts w:hint="eastAsia" w:ascii="Times New Roman" w:hAnsi="Times New Roman" w:eastAsia="宋体" w:cs="Times New Roman"/>
          <w:sz w:val="24"/>
          <w:szCs w:val="18"/>
        </w:rPr>
        <w:t>成交后</w:t>
      </w:r>
      <w:r>
        <w:rPr>
          <w:rFonts w:ascii="Times New Roman" w:hAnsi="Times New Roman" w:eastAsia="宋体" w:cs="Times New Roman"/>
          <w:sz w:val="24"/>
          <w:szCs w:val="18"/>
        </w:rPr>
        <w:t>采购人不再另行支付任何费用，</w:t>
      </w:r>
      <w:r>
        <w:rPr>
          <w:rFonts w:hint="eastAsia" w:ascii="Times New Roman" w:hAnsi="Times New Roman" w:eastAsia="宋体" w:cs="Times New Roman"/>
          <w:sz w:val="24"/>
          <w:szCs w:val="18"/>
        </w:rPr>
        <w:t>响应</w:t>
      </w:r>
      <w:r>
        <w:rPr>
          <w:rFonts w:ascii="Times New Roman" w:hAnsi="Times New Roman" w:eastAsia="宋体" w:cs="Times New Roman"/>
          <w:sz w:val="24"/>
          <w:szCs w:val="18"/>
        </w:rPr>
        <w:t>分项报价表中须明确列出所投产品所含货物名称、品牌、型号规格、原产地及生产厂商，否则可能导致</w:t>
      </w:r>
      <w:r>
        <w:rPr>
          <w:rFonts w:hint="eastAsia" w:ascii="Times New Roman" w:hAnsi="Times New Roman" w:eastAsia="宋体" w:cs="Times New Roman"/>
          <w:sz w:val="24"/>
          <w:szCs w:val="18"/>
        </w:rPr>
        <w:t>响应</w:t>
      </w:r>
      <w:r>
        <w:rPr>
          <w:rFonts w:ascii="Times New Roman" w:hAnsi="Times New Roman" w:eastAsia="宋体" w:cs="Times New Roman"/>
          <w:sz w:val="24"/>
          <w:szCs w:val="18"/>
        </w:rPr>
        <w:t>无效</w:t>
      </w:r>
      <w:r>
        <w:rPr>
          <w:rFonts w:ascii="Times New Roman" w:hAnsi="Times New Roman" w:eastAsia="宋体" w:cs="Times New Roman"/>
          <w:bCs/>
          <w:sz w:val="24"/>
          <w:szCs w:val="18"/>
        </w:rPr>
        <w:t>。</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829B5"/>
    <w:multiLevelType w:val="multilevel"/>
    <w:tmpl w:val="23F829B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6B77D0F"/>
    <w:multiLevelType w:val="multilevel"/>
    <w:tmpl w:val="26B77D0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A2455A1"/>
    <w:multiLevelType w:val="multilevel"/>
    <w:tmpl w:val="5A2455A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0EF74FF"/>
    <w:multiLevelType w:val="multilevel"/>
    <w:tmpl w:val="60EF74F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41B3561"/>
    <w:multiLevelType w:val="multilevel"/>
    <w:tmpl w:val="641B356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D57E9C"/>
    <w:rsid w:val="54D57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微软简标宋" w:hAnsi="@微软简标宋" w:eastAsia="@微软简标宋" w:cs="@微软简标宋"/>
      <w:szCs w:val="24"/>
      <w:lang w:val="zh-CN"/>
    </w:rPr>
  </w:style>
  <w:style w:type="paragraph" w:styleId="3">
    <w:name w:val="Body Text Indent"/>
    <w:basedOn w:val="1"/>
    <w:next w:val="4"/>
    <w:qFormat/>
    <w:uiPriority w:val="99"/>
    <w:pPr>
      <w:ind w:firstLine="645"/>
    </w:pPr>
    <w:rPr>
      <w:rFonts w:ascii="楷体_GB2312" w:eastAsia="楷体_GB2312"/>
      <w:sz w:val="32"/>
    </w:rPr>
  </w:style>
  <w:style w:type="paragraph" w:styleId="4">
    <w:name w:val="envelope return"/>
    <w:basedOn w:val="1"/>
    <w:qFormat/>
    <w:uiPriority w:val="99"/>
    <w:pPr>
      <w:snapToGrid w:val="0"/>
    </w:pPr>
    <w:rPr>
      <w:rFonts w:ascii="Arial" w:hAnsi="Arial" w:cs="Arial"/>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qFormat/>
    <w:uiPriority w:val="99"/>
    <w:pPr>
      <w:ind w:left="420" w:firstLine="420" w:firstLineChars="200"/>
    </w:pPr>
    <w:rPr>
      <w:rFonts w:ascii="Times New Roman" w:cs="Times New Roman"/>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amp;L"/>
    <w:basedOn w:val="5"/>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2025-09-09T03:53:00Z</dcterms:created>
  <dc:creator>森</dc:creator>
  <cp:lastModifiedBy>森</cp:lastModifiedBy>
  <dcterms:modified xsi:type="dcterms:W3CDTF">2025-09-09T03:54:46Z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0ADBFCB9D0CE436EB0B56D38F346C693_11</vt:lpwstr>
  </property>
  <property fmtid="{D5CDD505-2E9C-101B-9397-08002B2CF9AE}" pid="4" name="KSOTemplateDocerSaveRecord">
    <vt:lpwstr>eyJoZGlkIjoiOTc3M2Y5NzIzMDFlZjAyY2Q4Njk5ODkyYjFjNzBiNTQiLCJ1c2VySWQiOiI0MzAwMTYzNzkifQ==</vt:lpwstr>
  </property>
</Properties>
</file>