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90F86">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3FCA61F7">
      <w:pPr>
        <w:spacing w:line="360" w:lineRule="auto"/>
        <w:jc w:val="left"/>
        <w:rPr>
          <w:rFonts w:hint="eastAsia" w:ascii="宋体" w:hAnsi="宋体" w:cs="宋体"/>
          <w:b/>
          <w:sz w:val="24"/>
          <w:szCs w:val="24"/>
        </w:rPr>
      </w:pPr>
      <w:r>
        <w:rPr>
          <w:rFonts w:hint="eastAsia" w:ascii="宋体" w:hAnsi="宋体" w:cs="宋体"/>
          <w:b/>
          <w:sz w:val="24"/>
          <w:szCs w:val="24"/>
        </w:rPr>
        <w:t>前注：</w:t>
      </w:r>
    </w:p>
    <w:p w14:paraId="53D98F84">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5234FF2F">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0CBA4510">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供有关技术证明资料，未提供的可能导致响应无效；</w:t>
      </w:r>
    </w:p>
    <w:p w14:paraId="4427735C">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01139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557D58A">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1527D86C">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684BACEA">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11D89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4B9D5D40">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16F8DEFB">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681A41D5">
            <w:pPr>
              <w:spacing w:line="360" w:lineRule="auto"/>
              <w:jc w:val="left"/>
              <w:rPr>
                <w:rFonts w:hint="eastAsia" w:ascii="宋体" w:hAnsi="宋体" w:cs="宋体"/>
                <w:sz w:val="24"/>
              </w:rPr>
            </w:pPr>
            <w:r>
              <w:rPr>
                <w:rFonts w:hint="eastAsia" w:ascii="宋体" w:hAnsi="宋体" w:cs="宋体"/>
                <w:sz w:val="24"/>
              </w:rPr>
              <w:t>每批次供货验收合格后，一次性支付已供货物的全部货款。</w:t>
            </w:r>
            <w:r>
              <w:rPr>
                <w:rFonts w:hint="eastAsia" w:ascii="宋体" w:hAnsi="宋体" w:cs="宋体"/>
                <w:b/>
                <w:bCs/>
                <w:sz w:val="24"/>
              </w:rPr>
              <w:t xml:space="preserve">注：一次性付清当月货物价款前参选人须根据当月所付价款开具100%全额有效的发票。 </w:t>
            </w:r>
          </w:p>
        </w:tc>
      </w:tr>
      <w:tr w14:paraId="12ED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07523D32">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07F21CE0">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42F71D3B">
            <w:pPr>
              <w:spacing w:line="360" w:lineRule="auto"/>
              <w:jc w:val="left"/>
              <w:rPr>
                <w:rFonts w:hint="eastAsia" w:ascii="宋体" w:hAnsi="宋体" w:cs="宋体"/>
                <w:sz w:val="24"/>
              </w:rPr>
            </w:pPr>
            <w:r>
              <w:rPr>
                <w:rFonts w:hint="eastAsia" w:ascii="宋体" w:hAnsi="宋体" w:cs="宋体"/>
                <w:sz w:val="24"/>
                <w:szCs w:val="24"/>
              </w:rPr>
              <w:t>安徽医科大学梅山路校区实验动物中心（合肥市蜀山区梅山路8</w:t>
            </w:r>
            <w:r>
              <w:rPr>
                <w:rFonts w:ascii="宋体" w:hAnsi="宋体" w:cs="宋体"/>
                <w:sz w:val="24"/>
                <w:szCs w:val="24"/>
              </w:rPr>
              <w:t>1</w:t>
            </w:r>
            <w:r>
              <w:rPr>
                <w:rFonts w:hint="eastAsia" w:ascii="宋体" w:hAnsi="宋体" w:cs="宋体"/>
                <w:sz w:val="24"/>
                <w:szCs w:val="24"/>
              </w:rPr>
              <w:t>号）、安徽医科大学新医科中心（新校区）模式动物中心（安徽省合肥市肥西县金寨南路与深圳路交口东南侧）或比选人指定地点</w:t>
            </w:r>
            <w:r>
              <w:rPr>
                <w:rFonts w:hint="eastAsia" w:ascii="宋体" w:hAnsi="宋体" w:cs="宋体"/>
                <w:sz w:val="24"/>
              </w:rPr>
              <w:t xml:space="preserve">。 </w:t>
            </w:r>
          </w:p>
        </w:tc>
      </w:tr>
      <w:tr w14:paraId="5BA10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ACF5773">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7926906B">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22731891">
            <w:pPr>
              <w:spacing w:line="360" w:lineRule="auto"/>
              <w:jc w:val="left"/>
              <w:rPr>
                <w:rFonts w:hint="eastAsia" w:ascii="宋体" w:hAnsi="宋体" w:cs="宋体"/>
                <w:sz w:val="24"/>
              </w:rPr>
            </w:pPr>
            <w:r>
              <w:rPr>
                <w:rFonts w:hint="eastAsia" w:ascii="宋体" w:hAnsi="宋体" w:cs="宋体"/>
                <w:color w:val="000000"/>
                <w:sz w:val="24"/>
              </w:rPr>
              <w:t>按比选人要求分批供货（供货周期约一年），比选人提前一周通知供货商，每批次数量约在100-200只（以比选人实际通知数量为准），同时每批次提供相应的实验动物质量合格证。参选人须严格按照比选人通知时间要求交货，不得影响比选人授课安排，如出现交货延误情况，由参选人承担相应的教学事故赔偿费用。</w:t>
            </w:r>
          </w:p>
        </w:tc>
      </w:tr>
      <w:tr w14:paraId="3C733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3F9AFDB">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15F94E6C">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3CE52DBE">
            <w:pPr>
              <w:spacing w:line="360" w:lineRule="auto"/>
              <w:jc w:val="left"/>
              <w:rPr>
                <w:rFonts w:ascii="宋体" w:hAnsi="宋体" w:cs="宋体"/>
                <w:sz w:val="24"/>
              </w:rPr>
            </w:pPr>
            <w:r>
              <w:rPr>
                <w:rFonts w:hint="eastAsia" w:ascii="宋体" w:hAnsi="宋体" w:cs="宋体"/>
                <w:sz w:val="24"/>
              </w:rPr>
              <w:t>每批供货完成验收合格后</w:t>
            </w:r>
            <w:r>
              <w:rPr>
                <w:rFonts w:ascii="宋体" w:hAnsi="宋体" w:cs="宋体"/>
                <w:sz w:val="24"/>
              </w:rPr>
              <w:t>10</w:t>
            </w:r>
            <w:r>
              <w:rPr>
                <w:rFonts w:hint="eastAsia" w:ascii="宋体" w:hAnsi="宋体" w:cs="宋体"/>
                <w:sz w:val="24"/>
              </w:rPr>
              <w:t xml:space="preserve">个日历日。 </w:t>
            </w:r>
          </w:p>
        </w:tc>
      </w:tr>
    </w:tbl>
    <w:p w14:paraId="31781402">
      <w:pPr>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二、货物需求表</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1749"/>
        <w:gridCol w:w="2117"/>
        <w:gridCol w:w="2283"/>
        <w:gridCol w:w="1750"/>
      </w:tblGrid>
      <w:tr w14:paraId="529E6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0" w:type="auto"/>
            <w:noWrap w:val="0"/>
            <w:vAlign w:val="center"/>
          </w:tcPr>
          <w:p w14:paraId="10707D47">
            <w:pPr>
              <w:spacing w:line="360" w:lineRule="auto"/>
              <w:jc w:val="center"/>
              <w:rPr>
                <w:rFonts w:hint="eastAsia" w:ascii="宋体" w:hAnsi="宋体" w:cs="宋体"/>
                <w:b/>
                <w:bCs/>
                <w:color w:val="000000"/>
                <w:sz w:val="24"/>
                <w:szCs w:val="24"/>
              </w:rPr>
            </w:pPr>
            <w:r>
              <w:rPr>
                <w:rFonts w:hint="eastAsia" w:ascii="宋体" w:hAnsi="宋体" w:cs="宋体"/>
                <w:b/>
                <w:bCs/>
                <w:color w:val="000000"/>
                <w:sz w:val="24"/>
                <w:szCs w:val="24"/>
              </w:rPr>
              <w:t>序号</w:t>
            </w:r>
          </w:p>
        </w:tc>
        <w:tc>
          <w:tcPr>
            <w:tcW w:w="1749" w:type="dxa"/>
            <w:noWrap w:val="0"/>
            <w:vAlign w:val="center"/>
          </w:tcPr>
          <w:p w14:paraId="7F0FC457">
            <w:pPr>
              <w:spacing w:line="360" w:lineRule="auto"/>
              <w:jc w:val="center"/>
              <w:rPr>
                <w:rFonts w:hint="eastAsia" w:ascii="宋体" w:hAnsi="宋体" w:cs="宋体"/>
                <w:b/>
                <w:bCs/>
                <w:color w:val="000000"/>
                <w:sz w:val="24"/>
                <w:szCs w:val="24"/>
              </w:rPr>
            </w:pPr>
            <w:r>
              <w:rPr>
                <w:rFonts w:hint="eastAsia" w:ascii="宋体" w:hAnsi="宋体" w:cs="宋体"/>
                <w:b/>
                <w:bCs/>
                <w:color w:val="000000"/>
                <w:sz w:val="24"/>
                <w:szCs w:val="24"/>
              </w:rPr>
              <w:t>货物名称</w:t>
            </w:r>
          </w:p>
        </w:tc>
        <w:tc>
          <w:tcPr>
            <w:tcW w:w="2117" w:type="dxa"/>
            <w:noWrap w:val="0"/>
            <w:vAlign w:val="center"/>
          </w:tcPr>
          <w:p w14:paraId="11C51872">
            <w:pPr>
              <w:spacing w:line="360" w:lineRule="auto"/>
              <w:jc w:val="center"/>
              <w:rPr>
                <w:rFonts w:hint="eastAsia" w:ascii="宋体" w:hAnsi="宋体" w:cs="宋体"/>
                <w:b/>
                <w:bCs/>
                <w:color w:val="000000"/>
                <w:sz w:val="24"/>
                <w:szCs w:val="24"/>
              </w:rPr>
            </w:pPr>
            <w:r>
              <w:rPr>
                <w:rFonts w:hint="eastAsia" w:ascii="宋体" w:hAnsi="宋体" w:cs="宋体"/>
                <w:b/>
                <w:bCs/>
                <w:color w:val="000000"/>
                <w:sz w:val="24"/>
                <w:szCs w:val="24"/>
              </w:rPr>
              <w:t>暂定数量及单位</w:t>
            </w:r>
          </w:p>
        </w:tc>
        <w:tc>
          <w:tcPr>
            <w:tcW w:w="2283" w:type="dxa"/>
            <w:noWrap w:val="0"/>
            <w:vAlign w:val="top"/>
          </w:tcPr>
          <w:p w14:paraId="4FE3034B">
            <w:pPr>
              <w:spacing w:line="360" w:lineRule="auto"/>
              <w:jc w:val="center"/>
              <w:rPr>
                <w:rFonts w:hint="eastAsia" w:ascii="宋体" w:hAnsi="宋体" w:cs="宋体"/>
                <w:b/>
                <w:bCs/>
                <w:color w:val="000000"/>
                <w:sz w:val="24"/>
                <w:szCs w:val="24"/>
              </w:rPr>
            </w:pPr>
            <w:r>
              <w:rPr>
                <w:rFonts w:hint="eastAsia" w:ascii="宋体" w:hAnsi="宋体" w:cs="宋体"/>
                <w:b/>
                <w:bCs/>
                <w:color w:val="000000"/>
                <w:sz w:val="24"/>
                <w:szCs w:val="24"/>
              </w:rPr>
              <w:t>所属行业</w:t>
            </w:r>
          </w:p>
        </w:tc>
        <w:tc>
          <w:tcPr>
            <w:tcW w:w="1750" w:type="dxa"/>
            <w:noWrap w:val="0"/>
            <w:vAlign w:val="top"/>
          </w:tcPr>
          <w:p w14:paraId="1EF0299D">
            <w:pPr>
              <w:spacing w:line="360" w:lineRule="auto"/>
              <w:jc w:val="center"/>
              <w:rPr>
                <w:rFonts w:hint="eastAsia" w:ascii="宋体" w:hAnsi="宋体" w:cs="宋体"/>
                <w:b/>
                <w:bCs/>
                <w:color w:val="000000"/>
                <w:sz w:val="24"/>
                <w:szCs w:val="24"/>
              </w:rPr>
            </w:pPr>
            <w:r>
              <w:rPr>
                <w:rFonts w:hint="eastAsia" w:ascii="宋体" w:hAnsi="宋体" w:cs="宋体"/>
                <w:b/>
                <w:bCs/>
                <w:color w:val="FF0000"/>
                <w:sz w:val="24"/>
                <w:szCs w:val="24"/>
              </w:rPr>
              <w:t>单价最高限价（元/只）</w:t>
            </w:r>
          </w:p>
        </w:tc>
      </w:tr>
      <w:tr w14:paraId="75772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0" w:type="auto"/>
            <w:noWrap w:val="0"/>
            <w:vAlign w:val="center"/>
          </w:tcPr>
          <w:p w14:paraId="5B0751E5">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c>
          <w:tcPr>
            <w:tcW w:w="1749" w:type="dxa"/>
            <w:noWrap w:val="0"/>
            <w:vAlign w:val="center"/>
          </w:tcPr>
          <w:p w14:paraId="264A8D72">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新西兰兔</w:t>
            </w:r>
          </w:p>
        </w:tc>
        <w:tc>
          <w:tcPr>
            <w:tcW w:w="2117" w:type="dxa"/>
            <w:noWrap w:val="0"/>
            <w:vAlign w:val="center"/>
          </w:tcPr>
          <w:p w14:paraId="1847A8EE">
            <w:pPr>
              <w:spacing w:line="360" w:lineRule="auto"/>
              <w:jc w:val="center"/>
              <w:rPr>
                <w:rFonts w:hint="eastAsia" w:ascii="宋体" w:hAnsi="宋体" w:cs="宋体"/>
                <w:color w:val="000000"/>
                <w:sz w:val="24"/>
                <w:szCs w:val="24"/>
              </w:rPr>
            </w:pPr>
            <w:r>
              <w:rPr>
                <w:rFonts w:hint="eastAsia" w:ascii="宋体" w:hAnsi="宋体" w:cs="宋体"/>
                <w:color w:val="FF0000"/>
                <w:sz w:val="24"/>
                <w:szCs w:val="24"/>
              </w:rPr>
              <w:t>约</w:t>
            </w:r>
            <w:r>
              <w:rPr>
                <w:rFonts w:hint="eastAsia" w:ascii="宋体" w:hAnsi="宋体" w:cs="宋体"/>
                <w:color w:val="000000"/>
                <w:sz w:val="24"/>
                <w:szCs w:val="24"/>
              </w:rPr>
              <w:t>4700只</w:t>
            </w:r>
          </w:p>
        </w:tc>
        <w:tc>
          <w:tcPr>
            <w:tcW w:w="2283" w:type="dxa"/>
            <w:noWrap w:val="0"/>
            <w:vAlign w:val="top"/>
          </w:tcPr>
          <w:p w14:paraId="4CBC972B">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农、林、牧、渔业</w:t>
            </w:r>
          </w:p>
        </w:tc>
        <w:tc>
          <w:tcPr>
            <w:tcW w:w="1750" w:type="dxa"/>
            <w:noWrap w:val="0"/>
            <w:vAlign w:val="center"/>
          </w:tcPr>
          <w:p w14:paraId="4F3A6FB5">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63元/只</w:t>
            </w:r>
          </w:p>
        </w:tc>
      </w:tr>
    </w:tbl>
    <w:p w14:paraId="7896D467">
      <w:pPr>
        <w:spacing w:line="360" w:lineRule="auto"/>
        <w:ind w:firstLine="437"/>
        <w:jc w:val="left"/>
        <w:rPr>
          <w:rFonts w:hint="eastAsia" w:ascii="宋体" w:hAnsi="宋体" w:cs="宋体"/>
          <w:b/>
          <w:sz w:val="24"/>
          <w:szCs w:val="24"/>
        </w:rPr>
      </w:pPr>
      <w:r>
        <w:rPr>
          <w:rFonts w:hint="eastAsia" w:ascii="宋体" w:hAnsi="宋体" w:cs="宋体"/>
          <w:b/>
          <w:sz w:val="24"/>
          <w:szCs w:val="24"/>
        </w:rPr>
        <w:t>三、货物要求</w:t>
      </w:r>
    </w:p>
    <w:p w14:paraId="1BC56007">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实验用新西兰兔4700只，具体标准如下：</w:t>
      </w:r>
    </w:p>
    <w:p w14:paraId="37FABDFF">
      <w:pPr>
        <w:spacing w:line="360" w:lineRule="auto"/>
        <w:ind w:firstLine="437"/>
        <w:jc w:val="left"/>
        <w:rPr>
          <w:rFonts w:hint="eastAsia" w:ascii="宋体" w:hAnsi="宋体" w:cs="宋体"/>
          <w:sz w:val="24"/>
          <w:szCs w:val="24"/>
        </w:rPr>
      </w:pPr>
      <w:r>
        <w:rPr>
          <w:rFonts w:hint="eastAsia" w:ascii="宋体" w:hAnsi="宋体" w:cs="宋体"/>
          <w:sz w:val="24"/>
          <w:szCs w:val="24"/>
        </w:rPr>
        <w:t>1、质量标准：身体健康，无伤残，无传染病，无皮肤病。卖方所有销售的动物必须经过正规的免疫程序，不携带人兽共患病和传染病，如因实验兔携带疾病而引发的生物安全事故由卖方承担所有责任和赔偿费用，每批次送达十天内死亡率不得超过5%，若超过5%，则死亡部分中选人需等价或等数量进行赔偿。</w:t>
      </w:r>
    </w:p>
    <w:p w14:paraId="6960A5B8">
      <w:pPr>
        <w:spacing w:line="360" w:lineRule="auto"/>
        <w:ind w:firstLine="437"/>
        <w:jc w:val="left"/>
        <w:rPr>
          <w:rFonts w:hint="eastAsia" w:ascii="宋体" w:hAnsi="宋体" w:cs="宋体"/>
          <w:sz w:val="24"/>
          <w:szCs w:val="24"/>
        </w:rPr>
      </w:pPr>
      <w:r>
        <w:rPr>
          <w:rFonts w:hint="eastAsia" w:ascii="宋体" w:hAnsi="宋体" w:cs="宋体"/>
          <w:sz w:val="24"/>
          <w:szCs w:val="24"/>
        </w:rPr>
        <w:t>2、重量标准：体重要求2.00-2.5Kg，不在此重量范围内的货物招标人拒绝收货。</w:t>
      </w:r>
    </w:p>
    <w:p w14:paraId="00A6135E">
      <w:pPr>
        <w:spacing w:line="360" w:lineRule="auto"/>
        <w:ind w:firstLine="437"/>
        <w:jc w:val="left"/>
        <w:rPr>
          <w:rFonts w:hint="eastAsia" w:ascii="宋体" w:hAnsi="宋体" w:cs="宋体"/>
          <w:sz w:val="24"/>
          <w:szCs w:val="24"/>
        </w:rPr>
      </w:pPr>
      <w:r>
        <w:rPr>
          <w:rFonts w:hint="eastAsia" w:ascii="宋体" w:hAnsi="宋体" w:cs="宋体"/>
          <w:sz w:val="24"/>
          <w:szCs w:val="24"/>
        </w:rPr>
        <w:t>3、交货期限：参选人需按比选人要求分批供货，比选人提前一周通知参选人，每批次数量约在100-200只（以比选人实际通知数量为准），同时每批次提供相应的实验动物质量合格证。参选人需严格按照比选人通知时间要求交货，不得影响采购人授课安排，如出现交货延误情况，由卖方承担相应的教学事故赔偿费用。</w:t>
      </w:r>
    </w:p>
    <w:p w14:paraId="2D2D9A28">
      <w:pPr>
        <w:spacing w:line="360" w:lineRule="auto"/>
        <w:ind w:firstLine="437"/>
        <w:jc w:val="left"/>
        <w:rPr>
          <w:rFonts w:hint="eastAsia" w:ascii="宋体" w:hAnsi="宋体" w:cs="宋体"/>
          <w:sz w:val="24"/>
          <w:szCs w:val="24"/>
        </w:rPr>
      </w:pPr>
      <w:r>
        <w:rPr>
          <w:rFonts w:hint="eastAsia" w:ascii="宋体" w:hAnsi="宋体" w:cs="宋体"/>
          <w:sz w:val="24"/>
          <w:szCs w:val="24"/>
        </w:rPr>
        <w:t>4、交货地点：安徽医科大学梅山路校区实验动物中心（合肥市蜀山区梅山路8</w:t>
      </w:r>
      <w:r>
        <w:rPr>
          <w:rFonts w:ascii="宋体" w:hAnsi="宋体" w:cs="宋体"/>
          <w:sz w:val="24"/>
          <w:szCs w:val="24"/>
        </w:rPr>
        <w:t>1</w:t>
      </w:r>
      <w:r>
        <w:rPr>
          <w:rFonts w:hint="eastAsia" w:ascii="宋体" w:hAnsi="宋体" w:cs="宋体"/>
          <w:sz w:val="24"/>
          <w:szCs w:val="24"/>
        </w:rPr>
        <w:t>号）、安徽医科大学新医科中心（新校区）模式动物中心（安徽省合肥市肥西县金寨南路与深圳路交口东南侧）或比选人指定地点。</w:t>
      </w:r>
    </w:p>
    <w:p w14:paraId="639F7AD9">
      <w:pPr>
        <w:spacing w:line="360" w:lineRule="auto"/>
        <w:ind w:firstLine="437"/>
        <w:jc w:val="left"/>
        <w:rPr>
          <w:rFonts w:hint="eastAsia" w:ascii="宋体" w:hAnsi="宋体" w:cs="宋体"/>
          <w:sz w:val="24"/>
          <w:szCs w:val="24"/>
        </w:rPr>
      </w:pPr>
      <w:r>
        <w:rPr>
          <w:rFonts w:hint="eastAsia" w:ascii="宋体" w:hAnsi="宋体" w:cs="宋体"/>
          <w:sz w:val="24"/>
          <w:szCs w:val="24"/>
        </w:rPr>
        <w:t>5、运输及保险费用：卖方承担。</w:t>
      </w:r>
    </w:p>
    <w:p w14:paraId="05805B6D">
      <w:pPr>
        <w:spacing w:line="360" w:lineRule="auto"/>
        <w:ind w:firstLine="437"/>
        <w:jc w:val="left"/>
        <w:rPr>
          <w:rFonts w:hint="eastAsia" w:ascii="宋体" w:hAnsi="宋体" w:cs="宋体"/>
          <w:sz w:val="24"/>
          <w:szCs w:val="24"/>
        </w:rPr>
      </w:pPr>
      <w:r>
        <w:rPr>
          <w:rFonts w:hint="eastAsia" w:ascii="宋体" w:hAnsi="宋体" w:cs="宋体"/>
          <w:sz w:val="24"/>
          <w:szCs w:val="24"/>
        </w:rPr>
        <w:t>6、负责卸货到指定地点。</w:t>
      </w:r>
    </w:p>
    <w:p w14:paraId="72EE9EA1">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四、报价要求</w:t>
      </w:r>
    </w:p>
    <w:p w14:paraId="12BB2305">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1.本项目报综合单价（</w:t>
      </w:r>
      <w:r>
        <w:rPr>
          <w:rFonts w:hint="eastAsia" w:ascii="宋体" w:hAnsi="宋体" w:cs="宋体"/>
          <w:b/>
          <w:bCs/>
          <w:color w:val="000000"/>
          <w:sz w:val="24"/>
          <w:szCs w:val="24"/>
          <w:u w:val="single"/>
        </w:rPr>
        <w:t xml:space="preserve">   </w:t>
      </w:r>
      <w:r>
        <w:rPr>
          <w:rFonts w:hint="eastAsia" w:ascii="宋体" w:hAnsi="宋体" w:cs="宋体"/>
          <w:b/>
          <w:bCs/>
          <w:color w:val="000000"/>
          <w:sz w:val="24"/>
          <w:szCs w:val="24"/>
        </w:rPr>
        <w:t>元/只），即每只兔子所需要支付的费用。上述货物需求表中的数量为暂定量，项目根据实际发生数量和参选人所报中选综合单价据实结算（中选后，综合单价不变）。参选人按比选人要求分批供货、据实结算，累计结算总金额不超过预算金额，参选人须综合考虑中选后可能出现的实际供货量与比选文件暂定量之间的差距。</w:t>
      </w:r>
    </w:p>
    <w:p w14:paraId="3CCD51A4">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2.上述货物需求表中的“最高单价限价（元/只）”为产品所报综合单价的最高限价，产品最终报价单价不得超过最高限单价，否则将导致响应无效，任何有选择的报价将不予接受。</w:t>
      </w:r>
    </w:p>
    <w:p w14:paraId="01C6F66F">
      <w:r>
        <w:rPr>
          <w:rFonts w:hint="eastAsia" w:ascii="宋体" w:hAnsi="宋体" w:cs="宋体"/>
          <w:bCs/>
          <w:color w:val="000000"/>
          <w:sz w:val="24"/>
          <w:szCs w:val="24"/>
        </w:rPr>
        <w:t>3.综合单价包含产品、供货、运输、保险、税费等为完成各包所发生的一切费用。</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043AE"/>
    <w:rsid w:val="7F304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2025-09-02T07:26:00Z</dcterms:created>
  <dc:creator>森</dc:creator>
  <cp:lastModifiedBy>森</cp:lastModifiedBy>
  <dcterms:modified xsi:type="dcterms:W3CDTF">2025-09-02T07:26:46Z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ACB60E5834CD4D6B97E44A61EB13E45C_11</vt:lpwstr>
  </property>
  <property fmtid="{D5CDD505-2E9C-101B-9397-08002B2CF9AE}" pid="4" name="KSOTemplateDocerSaveRecord">
    <vt:lpwstr>eyJoZGlkIjoiOTc3M2Y5NzIzMDFlZjAyY2Q4Njk5ODkyYjFjNzBiNTQiLCJ1c2VySWQiOiI0MzAwMTYzNzkifQ==</vt:lpwstr>
  </property>
</Properties>
</file>