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47AF8E">
      <w:pPr>
        <w:spacing w:line="360" w:lineRule="auto"/>
        <w:jc w:val="center"/>
        <w:outlineLvl w:val="1"/>
        <w:rPr>
          <w:rFonts w:hint="eastAsia" w:ascii="宋体" w:hAnsi="宋体" w:cs="宋体"/>
          <w:b/>
          <w:sz w:val="28"/>
        </w:rPr>
      </w:pPr>
      <w:bookmarkStart w:id="0" w:name="_Toc18464"/>
      <w:r>
        <w:rPr>
          <w:rFonts w:hint="eastAsia" w:ascii="宋体" w:hAnsi="宋体" w:cs="宋体"/>
          <w:b/>
          <w:sz w:val="28"/>
        </w:rPr>
        <w:t>第三章  采购需求</w:t>
      </w:r>
      <w:bookmarkEnd w:id="0"/>
    </w:p>
    <w:p w14:paraId="4D22FB3D">
      <w:pPr>
        <w:spacing w:line="360" w:lineRule="auto"/>
        <w:jc w:val="left"/>
        <w:rPr>
          <w:rFonts w:hint="eastAsia" w:ascii="宋体" w:hAnsi="宋体" w:cs="宋体"/>
          <w:b/>
          <w:sz w:val="24"/>
          <w:szCs w:val="24"/>
        </w:rPr>
      </w:pPr>
      <w:r>
        <w:rPr>
          <w:rFonts w:hint="eastAsia" w:ascii="宋体" w:hAnsi="宋体" w:cs="宋体"/>
          <w:b/>
          <w:sz w:val="24"/>
          <w:szCs w:val="24"/>
        </w:rPr>
        <w:t>前注：</w:t>
      </w:r>
    </w:p>
    <w:p w14:paraId="66C92129">
      <w:pPr>
        <w:spacing w:line="360" w:lineRule="auto"/>
        <w:ind w:firstLine="437"/>
        <w:jc w:val="left"/>
        <w:rPr>
          <w:rFonts w:hint="eastAsia" w:ascii="宋体" w:hAnsi="宋体" w:cs="宋体"/>
          <w:sz w:val="24"/>
          <w:szCs w:val="24"/>
        </w:rPr>
      </w:pPr>
      <w:r>
        <w:rPr>
          <w:rFonts w:hint="eastAsia" w:ascii="宋体" w:hAnsi="宋体" w:cs="宋体"/>
          <w:sz w:val="24"/>
          <w:szCs w:val="24"/>
        </w:rPr>
        <w:t>1.本说明中提出的技术方案仅为参考，如无明确限制，参选人可以进行优化，提供满足用户实际需要的更优（或者性能实质上不低于的）技术方案，且此方案须经评审小组评审认可；</w:t>
      </w:r>
    </w:p>
    <w:p w14:paraId="2509D826">
      <w:pPr>
        <w:spacing w:line="360" w:lineRule="auto"/>
        <w:ind w:firstLine="437"/>
        <w:jc w:val="left"/>
        <w:rPr>
          <w:rFonts w:hint="eastAsia" w:ascii="宋体" w:hAnsi="宋体" w:cs="宋体"/>
          <w:sz w:val="24"/>
          <w:szCs w:val="24"/>
        </w:rPr>
      </w:pPr>
      <w:r>
        <w:rPr>
          <w:rFonts w:hint="eastAsia" w:ascii="宋体" w:hAnsi="宋体" w:cs="宋体"/>
          <w:sz w:val="24"/>
          <w:szCs w:val="24"/>
        </w:rPr>
        <w:t>2.为鼓励不同品牌的充分竞争，如某设备的某技术参数或要求属于个别品牌专有，则该技术参数及要求不具有限制性，参选人可对该参数或要求进行适当调整，并应当说明调整的理由，且此调整须经评审小组评审认可；</w:t>
      </w:r>
    </w:p>
    <w:p w14:paraId="51939FBA">
      <w:pPr>
        <w:spacing w:line="360" w:lineRule="auto"/>
        <w:ind w:firstLine="437"/>
        <w:jc w:val="left"/>
        <w:rPr>
          <w:rFonts w:hint="eastAsia" w:ascii="宋体" w:hAnsi="宋体" w:cs="宋体"/>
          <w:sz w:val="24"/>
          <w:szCs w:val="24"/>
        </w:rPr>
      </w:pPr>
      <w:r>
        <w:rPr>
          <w:rFonts w:hint="eastAsia" w:ascii="宋体" w:hAnsi="宋体" w:cs="宋体"/>
          <w:sz w:val="24"/>
          <w:szCs w:val="24"/>
        </w:rPr>
        <w:t>3.为有助于参选人选择参选产品，项目说明中可能提供了推荐品牌（或型号）、参考品牌（或型号）等，这些品牌（或型号）仅供参考，并无限制性。参选人可以选择性能不低于推荐（或参考）的品牌（或型号）的其他品牌产品，但比选时应当</w:t>
      </w:r>
      <w:r>
        <w:rPr>
          <w:rFonts w:hint="eastAsia" w:ascii="宋体" w:hAnsi="宋体" w:cs="宋体"/>
          <w:sz w:val="24"/>
          <w:szCs w:val="24"/>
          <w:lang w:eastAsia="zh-CN"/>
        </w:rPr>
        <w:t>提供</w:t>
      </w:r>
      <w:r>
        <w:rPr>
          <w:rFonts w:hint="eastAsia" w:ascii="宋体" w:hAnsi="宋体" w:cs="宋体"/>
          <w:sz w:val="24"/>
          <w:szCs w:val="24"/>
        </w:rPr>
        <w:t>有关技术证明资料，未提供的可能导致响应无效；</w:t>
      </w:r>
    </w:p>
    <w:p w14:paraId="7B29CB03">
      <w:pPr>
        <w:spacing w:line="360" w:lineRule="auto"/>
        <w:ind w:firstLine="437"/>
        <w:jc w:val="left"/>
        <w:rPr>
          <w:rFonts w:hint="eastAsia" w:ascii="宋体" w:hAnsi="宋体" w:cs="宋体"/>
          <w:b/>
          <w:sz w:val="24"/>
          <w:szCs w:val="24"/>
        </w:rPr>
      </w:pPr>
      <w:r>
        <w:rPr>
          <w:rFonts w:hint="eastAsia" w:ascii="宋体" w:hAnsi="宋体" w:cs="宋体"/>
          <w:sz w:val="24"/>
          <w:szCs w:val="24"/>
        </w:rPr>
        <w:t>4.下列采购需求中标注进口产品的货物均已履行相关论证手续，经核准采购进口产品，但不限制满足参选文件要求的国内产品参与竞争。未标注进口产品的货物均为拒绝采购进口产品。</w:t>
      </w:r>
      <w:r>
        <w:rPr>
          <w:rFonts w:hint="eastAsia" w:ascii="宋体" w:hAnsi="宋体" w:cs="宋体"/>
          <w:b/>
          <w:sz w:val="24"/>
          <w:szCs w:val="24"/>
        </w:rPr>
        <w:br w:type="page"/>
      </w:r>
      <w:r>
        <w:rPr>
          <w:rFonts w:hint="eastAsia" w:ascii="宋体" w:hAnsi="宋体" w:cs="宋体"/>
          <w:b/>
          <w:sz w:val="24"/>
          <w:szCs w:val="24"/>
        </w:rPr>
        <w:t xml:space="preserve">    一、采购需求前附表</w:t>
      </w:r>
    </w:p>
    <w:tbl>
      <w:tblPr>
        <w:tblStyle w:val="2"/>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34"/>
        <w:gridCol w:w="5776"/>
      </w:tblGrid>
      <w:tr w14:paraId="69B4F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218A43CA">
            <w:pPr>
              <w:jc w:val="center"/>
              <w:rPr>
                <w:rFonts w:hint="eastAsia" w:ascii="宋体" w:hAnsi="宋体" w:cs="宋体"/>
                <w:b/>
                <w:sz w:val="24"/>
              </w:rPr>
            </w:pPr>
            <w:r>
              <w:rPr>
                <w:rFonts w:hint="eastAsia" w:ascii="宋体" w:hAnsi="宋体" w:cs="宋体"/>
                <w:b/>
                <w:sz w:val="24"/>
              </w:rPr>
              <w:t>序号</w:t>
            </w:r>
          </w:p>
        </w:tc>
        <w:tc>
          <w:tcPr>
            <w:tcW w:w="2034" w:type="dxa"/>
            <w:noWrap w:val="0"/>
            <w:vAlign w:val="center"/>
          </w:tcPr>
          <w:p w14:paraId="1C67E81F">
            <w:pPr>
              <w:spacing w:line="360" w:lineRule="auto"/>
              <w:jc w:val="center"/>
              <w:rPr>
                <w:rFonts w:hint="eastAsia" w:ascii="宋体" w:hAnsi="宋体" w:cs="宋体"/>
                <w:b/>
                <w:kern w:val="0"/>
                <w:sz w:val="24"/>
                <w:szCs w:val="28"/>
              </w:rPr>
            </w:pPr>
            <w:r>
              <w:rPr>
                <w:rFonts w:hint="eastAsia" w:ascii="宋体" w:hAnsi="宋体" w:cs="宋体"/>
                <w:b/>
                <w:kern w:val="0"/>
                <w:sz w:val="24"/>
                <w:szCs w:val="28"/>
              </w:rPr>
              <w:t>条款名称</w:t>
            </w:r>
          </w:p>
        </w:tc>
        <w:tc>
          <w:tcPr>
            <w:tcW w:w="5776" w:type="dxa"/>
            <w:noWrap w:val="0"/>
            <w:vAlign w:val="center"/>
          </w:tcPr>
          <w:p w14:paraId="4F037670">
            <w:pPr>
              <w:spacing w:line="360" w:lineRule="auto"/>
              <w:jc w:val="center"/>
              <w:rPr>
                <w:rFonts w:hint="eastAsia" w:ascii="宋体" w:hAnsi="宋体" w:cs="宋体"/>
                <w:b/>
                <w:kern w:val="0"/>
                <w:sz w:val="24"/>
                <w:szCs w:val="28"/>
              </w:rPr>
            </w:pPr>
            <w:r>
              <w:rPr>
                <w:rFonts w:hint="eastAsia" w:ascii="宋体" w:hAnsi="宋体" w:cs="宋体"/>
                <w:b/>
                <w:kern w:val="0"/>
                <w:sz w:val="24"/>
                <w:szCs w:val="28"/>
              </w:rPr>
              <w:t>内容、说明与要求</w:t>
            </w:r>
          </w:p>
        </w:tc>
      </w:tr>
      <w:tr w14:paraId="5AC1D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2551CFAF">
            <w:pPr>
              <w:jc w:val="center"/>
              <w:rPr>
                <w:rFonts w:hint="eastAsia" w:ascii="宋体" w:hAnsi="宋体" w:cs="宋体"/>
                <w:bCs/>
                <w:sz w:val="24"/>
              </w:rPr>
            </w:pPr>
            <w:r>
              <w:rPr>
                <w:rFonts w:hint="eastAsia" w:ascii="宋体" w:hAnsi="宋体" w:cs="宋体"/>
                <w:bCs/>
                <w:sz w:val="24"/>
              </w:rPr>
              <w:t>1</w:t>
            </w:r>
          </w:p>
        </w:tc>
        <w:tc>
          <w:tcPr>
            <w:tcW w:w="2034" w:type="dxa"/>
            <w:noWrap w:val="0"/>
            <w:vAlign w:val="center"/>
          </w:tcPr>
          <w:p w14:paraId="6E339DF1">
            <w:pPr>
              <w:spacing w:line="360" w:lineRule="auto"/>
              <w:jc w:val="center"/>
              <w:rPr>
                <w:rFonts w:hint="eastAsia" w:ascii="宋体" w:hAnsi="宋体" w:cs="宋体"/>
                <w:bCs/>
                <w:kern w:val="0"/>
                <w:sz w:val="24"/>
                <w:szCs w:val="28"/>
              </w:rPr>
            </w:pPr>
            <w:r>
              <w:rPr>
                <w:rFonts w:hint="eastAsia" w:ascii="宋体" w:hAnsi="宋体"/>
                <w:bCs/>
                <w:kern w:val="0"/>
                <w:sz w:val="24"/>
                <w:szCs w:val="28"/>
              </w:rPr>
              <w:t>付款方式</w:t>
            </w:r>
          </w:p>
        </w:tc>
        <w:tc>
          <w:tcPr>
            <w:tcW w:w="5776" w:type="dxa"/>
            <w:noWrap w:val="0"/>
            <w:vAlign w:val="center"/>
          </w:tcPr>
          <w:p w14:paraId="11741BC6">
            <w:pPr>
              <w:spacing w:line="360" w:lineRule="auto"/>
              <w:jc w:val="left"/>
              <w:rPr>
                <w:rFonts w:hint="eastAsia" w:ascii="宋体" w:hAnsi="宋体" w:cs="宋体"/>
                <w:sz w:val="24"/>
              </w:rPr>
            </w:pPr>
            <w:r>
              <w:rPr>
                <w:rFonts w:hint="eastAsia" w:ascii="宋体" w:hAnsi="宋体" w:cs="宋体"/>
                <w:sz w:val="24"/>
                <w:lang w:eastAsia="zh-CN"/>
              </w:rPr>
              <w:t>设备安装调试完毕且经验收合格正常使用后一次性付清全部合同价款。</w:t>
            </w:r>
          </w:p>
        </w:tc>
      </w:tr>
      <w:tr w14:paraId="14E8B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7F037377">
            <w:pPr>
              <w:jc w:val="center"/>
              <w:rPr>
                <w:rFonts w:hint="eastAsia" w:ascii="宋体" w:hAnsi="宋体" w:cs="宋体"/>
                <w:bCs/>
                <w:sz w:val="24"/>
              </w:rPr>
            </w:pPr>
            <w:r>
              <w:rPr>
                <w:rFonts w:hint="eastAsia" w:ascii="宋体" w:hAnsi="宋体" w:cs="宋体"/>
                <w:bCs/>
                <w:sz w:val="24"/>
              </w:rPr>
              <w:t>2</w:t>
            </w:r>
          </w:p>
        </w:tc>
        <w:tc>
          <w:tcPr>
            <w:tcW w:w="2034" w:type="dxa"/>
            <w:noWrap w:val="0"/>
            <w:vAlign w:val="center"/>
          </w:tcPr>
          <w:p w14:paraId="524A9300">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供货及安装地点</w:t>
            </w:r>
          </w:p>
        </w:tc>
        <w:tc>
          <w:tcPr>
            <w:tcW w:w="5776" w:type="dxa"/>
            <w:noWrap w:val="0"/>
            <w:vAlign w:val="center"/>
          </w:tcPr>
          <w:p w14:paraId="3004CF2E">
            <w:pPr>
              <w:spacing w:line="360" w:lineRule="auto"/>
              <w:jc w:val="left"/>
              <w:rPr>
                <w:rFonts w:hint="eastAsia" w:ascii="宋体" w:hAnsi="宋体" w:cs="宋体"/>
                <w:sz w:val="24"/>
              </w:rPr>
            </w:pPr>
            <w:r>
              <w:rPr>
                <w:rFonts w:hint="eastAsia" w:ascii="宋体" w:hAnsi="宋体" w:eastAsia="宋体"/>
                <w:b w:val="0"/>
                <w:color w:val="auto"/>
                <w:sz w:val="24"/>
                <w:highlight w:val="none"/>
              </w:rPr>
              <w:t>安徽医科大学新医科中心</w:t>
            </w:r>
            <w:r>
              <w:rPr>
                <w:rFonts w:hint="eastAsia" w:ascii="宋体" w:hAnsi="宋体" w:eastAsia="宋体"/>
                <w:b w:val="0"/>
                <w:color w:val="auto"/>
                <w:sz w:val="24"/>
                <w:highlight w:val="none"/>
                <w:lang w:val="en-US" w:eastAsia="zh-CN"/>
              </w:rPr>
              <w:t>或</w:t>
            </w:r>
            <w:r>
              <w:rPr>
                <w:rFonts w:hint="eastAsia" w:ascii="宋体" w:hAnsi="宋体" w:eastAsia="宋体"/>
                <w:b w:val="0"/>
                <w:color w:val="auto"/>
                <w:sz w:val="24"/>
                <w:highlight w:val="none"/>
              </w:rPr>
              <w:t>采购人指定地点</w:t>
            </w:r>
            <w:r>
              <w:rPr>
                <w:rFonts w:hint="eastAsia" w:ascii="宋体" w:hAnsi="宋体" w:cs="宋体"/>
                <w:bCs/>
                <w:kern w:val="0"/>
                <w:sz w:val="24"/>
                <w:szCs w:val="28"/>
              </w:rPr>
              <w:t>。</w:t>
            </w:r>
          </w:p>
        </w:tc>
      </w:tr>
      <w:tr w14:paraId="04260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0A502023">
            <w:pPr>
              <w:jc w:val="center"/>
              <w:rPr>
                <w:rFonts w:hint="eastAsia" w:ascii="宋体" w:hAnsi="宋体" w:cs="宋体"/>
                <w:bCs/>
                <w:sz w:val="24"/>
              </w:rPr>
            </w:pPr>
            <w:r>
              <w:rPr>
                <w:rFonts w:hint="eastAsia" w:ascii="宋体" w:hAnsi="宋体" w:cs="宋体"/>
                <w:bCs/>
                <w:sz w:val="24"/>
              </w:rPr>
              <w:t>3</w:t>
            </w:r>
          </w:p>
        </w:tc>
        <w:tc>
          <w:tcPr>
            <w:tcW w:w="2034" w:type="dxa"/>
            <w:noWrap w:val="0"/>
            <w:vAlign w:val="center"/>
          </w:tcPr>
          <w:p w14:paraId="46DCBB4F">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供货及安装期限</w:t>
            </w:r>
          </w:p>
        </w:tc>
        <w:tc>
          <w:tcPr>
            <w:tcW w:w="5776" w:type="dxa"/>
            <w:noWrap w:val="0"/>
            <w:vAlign w:val="center"/>
          </w:tcPr>
          <w:p w14:paraId="196EC912">
            <w:pPr>
              <w:spacing w:line="360" w:lineRule="auto"/>
              <w:jc w:val="left"/>
              <w:rPr>
                <w:rFonts w:hint="eastAsia" w:ascii="宋体" w:hAnsi="宋体" w:cs="宋体"/>
                <w:sz w:val="24"/>
              </w:rPr>
            </w:pPr>
            <w:r>
              <w:rPr>
                <w:rFonts w:hint="eastAsia" w:ascii="宋体" w:hAnsi="宋体" w:cs="宋体"/>
                <w:color w:val="auto"/>
                <w:sz w:val="24"/>
                <w:szCs w:val="24"/>
                <w:lang w:eastAsia="zh-CN"/>
              </w:rPr>
              <w:t>合同签订后</w:t>
            </w:r>
            <w:r>
              <w:rPr>
                <w:rFonts w:hint="eastAsia" w:ascii="宋体" w:hAnsi="宋体" w:cs="宋体"/>
                <w:color w:val="auto"/>
                <w:sz w:val="24"/>
                <w:szCs w:val="24"/>
                <w:lang w:val="en-US" w:eastAsia="zh-CN"/>
              </w:rPr>
              <w:t>60</w:t>
            </w:r>
            <w:r>
              <w:rPr>
                <w:rFonts w:hint="eastAsia" w:ascii="宋体" w:hAnsi="宋体" w:cs="宋体"/>
                <w:color w:val="auto"/>
                <w:sz w:val="24"/>
                <w:szCs w:val="24"/>
                <w:lang w:eastAsia="zh-CN"/>
              </w:rPr>
              <w:t>个日历日内完成供货及安装</w:t>
            </w:r>
            <w:r>
              <w:rPr>
                <w:rFonts w:hint="eastAsia" w:ascii="宋体" w:hAnsi="宋体" w:cs="宋体"/>
                <w:color w:val="auto"/>
                <w:sz w:val="24"/>
                <w:szCs w:val="24"/>
              </w:rPr>
              <w:t>。</w:t>
            </w:r>
          </w:p>
        </w:tc>
      </w:tr>
      <w:tr w14:paraId="716D4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6F41769D">
            <w:pPr>
              <w:jc w:val="center"/>
              <w:rPr>
                <w:rFonts w:hint="eastAsia" w:ascii="宋体" w:hAnsi="宋体" w:cs="宋体"/>
                <w:bCs/>
                <w:sz w:val="24"/>
              </w:rPr>
            </w:pPr>
            <w:r>
              <w:rPr>
                <w:rFonts w:hint="eastAsia" w:ascii="宋体" w:hAnsi="宋体" w:cs="宋体"/>
                <w:bCs/>
                <w:sz w:val="24"/>
              </w:rPr>
              <w:t>4</w:t>
            </w:r>
          </w:p>
        </w:tc>
        <w:tc>
          <w:tcPr>
            <w:tcW w:w="2034" w:type="dxa"/>
            <w:noWrap w:val="0"/>
            <w:vAlign w:val="center"/>
          </w:tcPr>
          <w:p w14:paraId="62D1C60E">
            <w:pPr>
              <w:spacing w:line="360" w:lineRule="auto"/>
              <w:jc w:val="center"/>
              <w:rPr>
                <w:rFonts w:hint="eastAsia" w:ascii="宋体" w:hAnsi="宋体" w:cs="宋体"/>
                <w:bCs/>
                <w:kern w:val="0"/>
                <w:sz w:val="24"/>
                <w:szCs w:val="28"/>
              </w:rPr>
            </w:pPr>
            <w:r>
              <w:rPr>
                <w:rFonts w:hint="eastAsia" w:ascii="宋体" w:hAnsi="宋体"/>
                <w:bCs/>
                <w:kern w:val="0"/>
                <w:sz w:val="24"/>
                <w:szCs w:val="28"/>
              </w:rPr>
              <w:t>免费质保期</w:t>
            </w:r>
          </w:p>
        </w:tc>
        <w:tc>
          <w:tcPr>
            <w:tcW w:w="5776" w:type="dxa"/>
            <w:noWrap w:val="0"/>
            <w:vAlign w:val="center"/>
          </w:tcPr>
          <w:p w14:paraId="5533BACF">
            <w:pPr>
              <w:spacing w:line="360" w:lineRule="auto"/>
              <w:jc w:val="left"/>
              <w:rPr>
                <w:rFonts w:hint="default" w:ascii="宋体" w:hAnsi="宋体" w:eastAsia="宋体" w:cs="宋体"/>
                <w:sz w:val="24"/>
                <w:lang w:val="en-US" w:eastAsia="zh-CN"/>
              </w:rPr>
            </w:pPr>
            <w:r>
              <w:rPr>
                <w:rFonts w:hint="eastAsia" w:ascii="宋体" w:hAnsi="宋体" w:eastAsia="宋体" w:cs="宋体"/>
                <w:i w:val="0"/>
                <w:iCs w:val="0"/>
                <w:color w:val="000000"/>
                <w:kern w:val="0"/>
                <w:sz w:val="24"/>
                <w:szCs w:val="24"/>
                <w:u w:val="none"/>
                <w:lang w:val="en-US" w:eastAsia="zh-CN" w:bidi="ar"/>
              </w:rPr>
              <w:t>工业除湿机自验收合格之日开始计算整机质保3年，其压缩机质保5年；细胞计数仪自验收合格之日开始计算3年；</w:t>
            </w:r>
            <w:r>
              <w:rPr>
                <w:rFonts w:hint="eastAsia" w:ascii="宋体" w:hAnsi="宋体" w:eastAsia="宋体" w:cs="宋体"/>
                <w:i w:val="0"/>
                <w:iCs w:val="0"/>
                <w:color w:val="000000"/>
                <w:kern w:val="0"/>
                <w:sz w:val="24"/>
                <w:szCs w:val="24"/>
                <w:highlight w:val="none"/>
                <w:u w:val="none"/>
                <w:lang w:val="en-US" w:eastAsia="zh-CN" w:bidi="ar"/>
              </w:rPr>
              <w:t>全能型动物监护仓自验收合格之日开始计算2年；</w:t>
            </w:r>
            <w:r>
              <w:rPr>
                <w:rFonts w:hint="eastAsia" w:ascii="宋体" w:hAnsi="宋体" w:eastAsia="宋体" w:cs="宋体"/>
                <w:b w:val="0"/>
                <w:sz w:val="24"/>
                <w:szCs w:val="24"/>
                <w:highlight w:val="none"/>
              </w:rPr>
              <w:t>其他设备自验收合格之日起开始计算</w:t>
            </w:r>
            <w:r>
              <w:rPr>
                <w:rFonts w:hint="eastAsia" w:ascii="宋体" w:hAnsi="宋体" w:eastAsia="宋体" w:cs="宋体"/>
                <w:b w:val="0"/>
                <w:sz w:val="24"/>
                <w:szCs w:val="24"/>
                <w:highlight w:val="none"/>
                <w:lang w:val="en-US" w:eastAsia="zh-CN"/>
              </w:rPr>
              <w:t>1</w:t>
            </w:r>
            <w:r>
              <w:rPr>
                <w:rFonts w:hint="eastAsia" w:ascii="宋体" w:hAnsi="宋体" w:eastAsia="宋体" w:cs="宋体"/>
                <w:b w:val="0"/>
                <w:sz w:val="24"/>
                <w:szCs w:val="24"/>
                <w:highlight w:val="none"/>
              </w:rPr>
              <w:t>年。</w:t>
            </w:r>
            <w:r>
              <w:rPr>
                <w:rFonts w:hint="eastAsia" w:ascii="宋体" w:hAnsi="宋体" w:cs="宋体"/>
                <w:b/>
                <w:bCs w:val="0"/>
                <w:kern w:val="0"/>
                <w:sz w:val="24"/>
                <w:szCs w:val="28"/>
                <w:lang w:val="en-US" w:eastAsia="zh-CN"/>
              </w:rPr>
              <w:t>货物需求中另有要求的，以采购需求为准。</w:t>
            </w:r>
          </w:p>
        </w:tc>
      </w:tr>
    </w:tbl>
    <w:p w14:paraId="787A3B2A">
      <w:pPr>
        <w:spacing w:line="360" w:lineRule="auto"/>
        <w:ind w:firstLine="437"/>
        <w:jc w:val="left"/>
        <w:rPr>
          <w:rFonts w:hint="default" w:ascii="宋体" w:hAnsi="宋体" w:eastAsia="宋体" w:cs="宋体"/>
          <w:b/>
          <w:sz w:val="24"/>
          <w:szCs w:val="24"/>
          <w:lang w:val="en-US" w:eastAsia="zh-CN"/>
        </w:rPr>
      </w:pPr>
      <w:r>
        <w:rPr>
          <w:rFonts w:hint="eastAsia" w:ascii="宋体" w:hAnsi="宋体" w:cs="宋体"/>
          <w:b/>
          <w:sz w:val="24"/>
          <w:szCs w:val="24"/>
          <w:lang w:val="en-US" w:eastAsia="zh-CN"/>
        </w:rPr>
        <w:t>二、项目概况</w:t>
      </w:r>
    </w:p>
    <w:p w14:paraId="2A6593B7">
      <w:pPr>
        <w:spacing w:line="360" w:lineRule="auto"/>
        <w:ind w:firstLine="437"/>
        <w:jc w:val="left"/>
        <w:rPr>
          <w:rFonts w:hint="eastAsia" w:ascii="宋体" w:hAnsi="宋体" w:eastAsia="宋体" w:cs="宋体"/>
          <w:sz w:val="24"/>
          <w:szCs w:val="24"/>
          <w:lang w:val="en-US" w:eastAsia="zh-CN"/>
        </w:rPr>
      </w:pPr>
      <w:r>
        <w:rPr>
          <w:rFonts w:hint="eastAsia" w:ascii="宋体" w:hAnsi="宋体" w:eastAsia="宋体" w:cs="宋体"/>
          <w:sz w:val="24"/>
          <w:szCs w:val="24"/>
        </w:rPr>
        <w:t>为支撑</w:t>
      </w:r>
      <w:r>
        <w:rPr>
          <w:rFonts w:hint="eastAsia" w:ascii="宋体" w:hAnsi="宋体" w:eastAsia="宋体" w:cs="宋体"/>
          <w:sz w:val="24"/>
          <w:szCs w:val="24"/>
          <w:lang w:eastAsia="zh-CN"/>
        </w:rPr>
        <w:t>护理学院在</w:t>
      </w:r>
      <w:r>
        <w:rPr>
          <w:rFonts w:hint="eastAsia" w:ascii="宋体" w:hAnsi="宋体" w:eastAsia="宋体" w:cs="宋体"/>
          <w:sz w:val="24"/>
          <w:szCs w:val="24"/>
        </w:rPr>
        <w:t>新医科中心护理科研平台建设，满足院内多学科课题组在慢病康复、肿瘤护理</w:t>
      </w:r>
      <w:r>
        <w:rPr>
          <w:rFonts w:hint="eastAsia" w:ascii="宋体" w:hAnsi="宋体" w:eastAsia="宋体" w:cs="宋体"/>
          <w:sz w:val="24"/>
          <w:szCs w:val="24"/>
          <w:lang w:eastAsia="zh-CN"/>
        </w:rPr>
        <w:t>、</w:t>
      </w:r>
      <w:r>
        <w:rPr>
          <w:rFonts w:hint="eastAsia" w:ascii="宋体" w:hAnsi="宋体" w:eastAsia="宋体" w:cs="宋体"/>
          <w:sz w:val="24"/>
          <w:szCs w:val="24"/>
        </w:rPr>
        <w:t>基础医学、分子生物学、等领域的科研需求，现计划采购</w:t>
      </w:r>
      <w:r>
        <w:rPr>
          <w:rFonts w:hint="eastAsia" w:ascii="宋体" w:hAnsi="宋体" w:eastAsia="宋体" w:cs="宋体"/>
          <w:sz w:val="24"/>
          <w:szCs w:val="24"/>
          <w:lang w:val="en-US" w:eastAsia="zh-CN"/>
        </w:rPr>
        <w:t>12</w:t>
      </w:r>
      <w:r>
        <w:rPr>
          <w:rFonts w:hint="eastAsia" w:ascii="宋体" w:hAnsi="宋体" w:eastAsia="宋体" w:cs="宋体"/>
          <w:sz w:val="24"/>
          <w:szCs w:val="24"/>
        </w:rPr>
        <w:t>台/</w:t>
      </w:r>
      <w:r>
        <w:rPr>
          <w:rFonts w:hint="eastAsia" w:ascii="宋体" w:hAnsi="宋体" w:eastAsia="宋体" w:cs="宋体"/>
          <w:sz w:val="24"/>
          <w:szCs w:val="24"/>
          <w:lang w:eastAsia="zh-CN"/>
        </w:rPr>
        <w:t>件</w:t>
      </w:r>
      <w:r>
        <w:rPr>
          <w:rFonts w:hint="eastAsia" w:ascii="宋体" w:hAnsi="宋体" w:eastAsia="宋体" w:cs="宋体"/>
          <w:sz w:val="24"/>
          <w:szCs w:val="24"/>
        </w:rPr>
        <w:t>科研仪器设备‌。</w:t>
      </w:r>
      <w:r>
        <w:rPr>
          <w:rFonts w:hint="eastAsia" w:ascii="宋体" w:hAnsi="宋体" w:eastAsia="宋体" w:cs="宋体"/>
          <w:sz w:val="24"/>
          <w:szCs w:val="24"/>
          <w:lang w:eastAsia="zh-CN"/>
        </w:rPr>
        <w:t>包括：包括大小鼠跑轮节律监测系统、全能型动物监护仓、呼吸门控-闭环迷走神经调控系统、细胞计数仪、工业除湿机和电极帽</w:t>
      </w:r>
      <w:r>
        <w:rPr>
          <w:rFonts w:hint="eastAsia" w:ascii="宋体" w:hAnsi="宋体" w:eastAsia="宋体" w:cs="宋体"/>
          <w:sz w:val="24"/>
          <w:szCs w:val="24"/>
          <w:lang w:val="en-US" w:eastAsia="zh-CN"/>
        </w:rPr>
        <w:t>，</w:t>
      </w:r>
      <w:r>
        <w:rPr>
          <w:rFonts w:hint="eastAsia" w:ascii="宋体" w:hAnsi="宋体" w:eastAsia="宋体" w:cs="宋体"/>
          <w:sz w:val="24"/>
          <w:szCs w:val="24"/>
        </w:rPr>
        <w:t>本批设备将重点解决当前科研平台基础仪器短缺问题，提升实验数据精准性，支撑高水平科研成果产出，助力学科交叉融合发展。</w:t>
      </w:r>
    </w:p>
    <w:p w14:paraId="495CF6B7">
      <w:pPr>
        <w:spacing w:line="360" w:lineRule="auto"/>
        <w:ind w:firstLine="437"/>
        <w:jc w:val="left"/>
        <w:rPr>
          <w:rFonts w:hint="eastAsia" w:ascii="宋体" w:hAnsi="宋体" w:cs="宋体"/>
          <w:b/>
          <w:sz w:val="24"/>
          <w:szCs w:val="24"/>
        </w:rPr>
      </w:pPr>
      <w:r>
        <w:rPr>
          <w:rFonts w:hint="eastAsia" w:ascii="宋体" w:hAnsi="宋体" w:cs="宋体"/>
          <w:b/>
          <w:sz w:val="24"/>
          <w:szCs w:val="24"/>
          <w:lang w:val="en-US" w:eastAsia="zh-CN"/>
        </w:rPr>
        <w:t>三</w:t>
      </w:r>
      <w:r>
        <w:rPr>
          <w:rFonts w:hint="eastAsia" w:ascii="宋体" w:hAnsi="宋体" w:cs="宋体"/>
          <w:b/>
          <w:sz w:val="24"/>
          <w:szCs w:val="24"/>
        </w:rPr>
        <w:t>、货物需求</w:t>
      </w:r>
    </w:p>
    <w:p w14:paraId="79AC6842">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（一）货物需求说明</w:t>
      </w:r>
    </w:p>
    <w:tbl>
      <w:tblPr>
        <w:tblStyle w:val="2"/>
        <w:tblW w:w="8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365"/>
        <w:gridCol w:w="5692"/>
      </w:tblGrid>
      <w:tr w14:paraId="0247F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9" w:type="dxa"/>
            <w:noWrap w:val="0"/>
            <w:vAlign w:val="center"/>
          </w:tcPr>
          <w:p w14:paraId="6F5440F5">
            <w:pPr>
              <w:spacing w:line="360" w:lineRule="auto"/>
              <w:jc w:val="center"/>
              <w:rPr>
                <w:rFonts w:ascii="宋体" w:hAnsi="宋体" w:eastAsia="宋体" w:cs="宋体"/>
                <w:b/>
                <w:sz w:val="24"/>
                <w:szCs w:val="18"/>
              </w:rPr>
            </w:pPr>
            <w:r>
              <w:rPr>
                <w:rFonts w:hint="eastAsia" w:ascii="宋体" w:hAnsi="宋体" w:eastAsia="宋体" w:cs="宋体"/>
                <w:b/>
                <w:sz w:val="24"/>
                <w:szCs w:val="18"/>
              </w:rPr>
              <w:t>标识重要性</w:t>
            </w:r>
          </w:p>
        </w:tc>
        <w:tc>
          <w:tcPr>
            <w:tcW w:w="1365" w:type="dxa"/>
            <w:noWrap w:val="0"/>
            <w:vAlign w:val="center"/>
          </w:tcPr>
          <w:p w14:paraId="026AEAD3">
            <w:pPr>
              <w:spacing w:line="360" w:lineRule="auto"/>
              <w:jc w:val="center"/>
              <w:rPr>
                <w:rFonts w:ascii="宋体" w:hAnsi="宋体" w:eastAsia="宋体" w:cs="宋体"/>
                <w:b/>
                <w:sz w:val="24"/>
                <w:szCs w:val="18"/>
              </w:rPr>
            </w:pPr>
            <w:r>
              <w:rPr>
                <w:rFonts w:hint="eastAsia" w:ascii="宋体" w:hAnsi="宋体" w:eastAsia="宋体" w:cs="宋体"/>
                <w:b/>
                <w:sz w:val="24"/>
                <w:szCs w:val="18"/>
              </w:rPr>
              <w:t>标识符号</w:t>
            </w:r>
          </w:p>
        </w:tc>
        <w:tc>
          <w:tcPr>
            <w:tcW w:w="5692" w:type="dxa"/>
            <w:noWrap w:val="0"/>
            <w:vAlign w:val="center"/>
          </w:tcPr>
          <w:p w14:paraId="74B4CE52">
            <w:pPr>
              <w:spacing w:line="360" w:lineRule="auto"/>
              <w:jc w:val="center"/>
              <w:rPr>
                <w:rFonts w:ascii="宋体" w:hAnsi="宋体" w:eastAsia="宋体" w:cs="宋体"/>
                <w:b/>
                <w:sz w:val="24"/>
                <w:szCs w:val="18"/>
              </w:rPr>
            </w:pPr>
            <w:r>
              <w:rPr>
                <w:rFonts w:hint="eastAsia" w:ascii="宋体" w:hAnsi="宋体" w:eastAsia="宋体" w:cs="宋体"/>
                <w:b/>
                <w:sz w:val="24"/>
                <w:szCs w:val="18"/>
              </w:rPr>
              <w:t>代表意思</w:t>
            </w:r>
          </w:p>
        </w:tc>
      </w:tr>
      <w:tr w14:paraId="2D591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38AE671F">
            <w:pPr>
              <w:spacing w:line="360" w:lineRule="auto"/>
              <w:jc w:val="center"/>
              <w:rPr>
                <w:rFonts w:ascii="宋体" w:hAnsi="宋体" w:eastAsia="宋体" w:cs="宋体"/>
                <w:b/>
                <w:bCs/>
                <w:sz w:val="24"/>
                <w:szCs w:val="18"/>
              </w:rPr>
            </w:pPr>
            <w:r>
              <w:rPr>
                <w:rFonts w:hint="eastAsia" w:ascii="宋体" w:hAnsi="宋体" w:eastAsia="宋体" w:cs="宋体"/>
                <w:b/>
                <w:bCs/>
                <w:sz w:val="24"/>
                <w:szCs w:val="18"/>
                <w:lang w:eastAsia="zh-CN"/>
              </w:rPr>
              <w:t>核心</w:t>
            </w:r>
            <w:r>
              <w:rPr>
                <w:rFonts w:hint="eastAsia" w:ascii="宋体" w:hAnsi="宋体" w:eastAsia="宋体" w:cs="宋体"/>
                <w:b/>
                <w:bCs/>
                <w:sz w:val="24"/>
                <w:szCs w:val="18"/>
              </w:rPr>
              <w:t>指标项</w:t>
            </w:r>
          </w:p>
        </w:tc>
        <w:tc>
          <w:tcPr>
            <w:tcW w:w="1365" w:type="dxa"/>
            <w:noWrap w:val="0"/>
            <w:vAlign w:val="center"/>
          </w:tcPr>
          <w:p w14:paraId="6FA830B3">
            <w:pPr>
              <w:spacing w:line="360" w:lineRule="auto"/>
              <w:jc w:val="center"/>
              <w:rPr>
                <w:rFonts w:ascii="宋体" w:hAnsi="宋体" w:eastAsia="宋体" w:cs="宋体"/>
                <w:b/>
                <w:bCs/>
                <w:sz w:val="24"/>
                <w:szCs w:val="18"/>
              </w:rPr>
            </w:pPr>
            <w:r>
              <w:rPr>
                <w:rFonts w:hint="eastAsia" w:ascii="宋体" w:hAnsi="宋体"/>
                <w:bCs/>
                <w:sz w:val="24"/>
                <w:szCs w:val="18"/>
              </w:rPr>
              <w:t>★</w:t>
            </w:r>
          </w:p>
        </w:tc>
        <w:tc>
          <w:tcPr>
            <w:tcW w:w="5692" w:type="dxa"/>
            <w:noWrap w:val="0"/>
            <w:vAlign w:val="center"/>
          </w:tcPr>
          <w:p w14:paraId="4BC37EE7">
            <w:pPr>
              <w:spacing w:line="360" w:lineRule="auto"/>
              <w:jc w:val="left"/>
              <w:rPr>
                <w:rFonts w:ascii="宋体" w:hAnsi="宋体" w:eastAsia="宋体" w:cs="宋体"/>
                <w:b/>
                <w:bCs/>
                <w:sz w:val="24"/>
                <w:szCs w:val="20"/>
              </w:rPr>
            </w:pPr>
            <w:r>
              <w:rPr>
                <w:rFonts w:hint="eastAsia" w:ascii="宋体" w:hAnsi="宋体" w:cs="宋体"/>
                <w:b/>
                <w:bCs/>
                <w:sz w:val="24"/>
                <w:szCs w:val="24"/>
              </w:rPr>
              <w:t>作为评分项，详见“第四章 评标方法和标准”中评分细则。</w:t>
            </w:r>
          </w:p>
        </w:tc>
      </w:tr>
      <w:tr w14:paraId="217C1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78E8C442">
            <w:pPr>
              <w:spacing w:line="360" w:lineRule="auto"/>
              <w:jc w:val="center"/>
              <w:rPr>
                <w:rFonts w:hint="default" w:ascii="宋体" w:hAnsi="宋体" w:eastAsia="宋体" w:cs="宋体"/>
                <w:b/>
                <w:bCs/>
                <w:sz w:val="24"/>
                <w:szCs w:val="18"/>
                <w:highlight w:val="none"/>
                <w:lang w:val="en-US" w:eastAsia="zh-CN"/>
              </w:rPr>
            </w:pPr>
            <w:r>
              <w:rPr>
                <w:rFonts w:hint="eastAsia" w:ascii="宋体" w:hAnsi="宋体" w:eastAsia="宋体" w:cs="宋体"/>
                <w:b/>
                <w:bCs/>
                <w:sz w:val="24"/>
                <w:szCs w:val="18"/>
                <w:highlight w:val="none"/>
                <w:lang w:val="en-US" w:eastAsia="zh-CN"/>
              </w:rPr>
              <w:t>无标识项</w:t>
            </w:r>
          </w:p>
        </w:tc>
        <w:tc>
          <w:tcPr>
            <w:tcW w:w="1365" w:type="dxa"/>
            <w:noWrap w:val="0"/>
            <w:vAlign w:val="center"/>
          </w:tcPr>
          <w:p w14:paraId="5C9E11F3">
            <w:pPr>
              <w:spacing w:line="360" w:lineRule="auto"/>
              <w:jc w:val="center"/>
              <w:rPr>
                <w:rFonts w:hint="eastAsia" w:ascii="仿宋" w:hAnsi="仿宋" w:eastAsia="仿宋" w:cs="仿宋"/>
                <w:b/>
                <w:bCs/>
                <w:color w:val="000000"/>
                <w:kern w:val="0"/>
                <w:sz w:val="24"/>
                <w:highlight w:val="none"/>
                <w:lang w:bidi="ar"/>
              </w:rPr>
            </w:pPr>
          </w:p>
        </w:tc>
        <w:tc>
          <w:tcPr>
            <w:tcW w:w="5692" w:type="dxa"/>
            <w:noWrap w:val="0"/>
            <w:vAlign w:val="center"/>
          </w:tcPr>
          <w:p w14:paraId="50E8FBA2">
            <w:pPr>
              <w:spacing w:line="360" w:lineRule="auto"/>
              <w:jc w:val="left"/>
              <w:rPr>
                <w:rFonts w:hint="eastAsia" w:ascii="宋体" w:hAnsi="宋体" w:eastAsia="宋体" w:cs="宋体"/>
                <w:b/>
                <w:bCs/>
                <w:sz w:val="24"/>
                <w:szCs w:val="20"/>
                <w:highlight w:val="none"/>
              </w:rPr>
            </w:pPr>
            <w:r>
              <w:rPr>
                <w:rFonts w:ascii="Arial" w:hAnsi="Arial" w:eastAsia="宋体" w:cs="Arial"/>
                <w:b/>
                <w:bCs/>
                <w:sz w:val="24"/>
                <w:szCs w:val="24"/>
                <w:highlight w:val="none"/>
              </w:rPr>
              <w:t>作为基础指标，</w:t>
            </w:r>
            <w:r>
              <w:rPr>
                <w:rFonts w:hint="eastAsia" w:ascii="Arial" w:hAnsi="Arial" w:eastAsia="宋体" w:cs="Arial"/>
                <w:b/>
                <w:bCs/>
                <w:color w:val="FF0000"/>
                <w:sz w:val="24"/>
                <w:szCs w:val="24"/>
                <w:highlight w:val="none"/>
                <w:lang w:val="en-US" w:eastAsia="zh-CN"/>
              </w:rPr>
              <w:t>5</w:t>
            </w:r>
            <w:r>
              <w:rPr>
                <w:rFonts w:ascii="Arial" w:hAnsi="Arial" w:eastAsia="宋体" w:cs="Arial"/>
                <w:b/>
                <w:bCs/>
                <w:color w:val="FF0000"/>
                <w:sz w:val="24"/>
                <w:szCs w:val="24"/>
                <w:highlight w:val="none"/>
              </w:rPr>
              <w:t>项以上</w:t>
            </w:r>
            <w:r>
              <w:rPr>
                <w:rFonts w:hint="eastAsia" w:ascii="Arial" w:hAnsi="Arial" w:eastAsia="宋体" w:cs="Arial"/>
                <w:b/>
                <w:bCs/>
                <w:color w:val="FF0000"/>
                <w:sz w:val="24"/>
                <w:szCs w:val="24"/>
                <w:highlight w:val="none"/>
                <w:lang w:eastAsia="zh-CN"/>
              </w:rPr>
              <w:t>（</w:t>
            </w:r>
            <w:r>
              <w:rPr>
                <w:rFonts w:hint="eastAsia" w:ascii="Arial" w:hAnsi="Arial" w:eastAsia="宋体" w:cs="Arial"/>
                <w:b/>
                <w:bCs/>
                <w:color w:val="FF0000"/>
                <w:sz w:val="24"/>
                <w:szCs w:val="24"/>
                <w:highlight w:val="none"/>
                <w:lang w:val="en-US" w:eastAsia="zh-CN"/>
              </w:rPr>
              <w:t>不含5项</w:t>
            </w:r>
            <w:r>
              <w:rPr>
                <w:rFonts w:hint="eastAsia" w:ascii="Arial" w:hAnsi="Arial" w:eastAsia="宋体" w:cs="Arial"/>
                <w:b/>
                <w:bCs/>
                <w:color w:val="FF0000"/>
                <w:sz w:val="24"/>
                <w:szCs w:val="24"/>
                <w:highlight w:val="none"/>
                <w:lang w:eastAsia="zh-CN"/>
              </w:rPr>
              <w:t>）</w:t>
            </w:r>
            <w:r>
              <w:rPr>
                <w:rFonts w:ascii="Arial" w:hAnsi="Arial" w:eastAsia="宋体" w:cs="Arial"/>
                <w:b/>
                <w:bCs/>
                <w:sz w:val="24"/>
                <w:szCs w:val="24"/>
                <w:highlight w:val="none"/>
              </w:rPr>
              <w:t>负偏离或未响应，将导致</w:t>
            </w:r>
            <w:r>
              <w:rPr>
                <w:rFonts w:hint="eastAsia" w:ascii="Arial" w:hAnsi="Arial" w:eastAsia="宋体" w:cs="Arial"/>
                <w:b/>
                <w:bCs/>
                <w:sz w:val="24"/>
                <w:szCs w:val="24"/>
                <w:highlight w:val="none"/>
                <w:lang w:val="en-US" w:eastAsia="zh-CN"/>
              </w:rPr>
              <w:t>响应</w:t>
            </w:r>
            <w:r>
              <w:rPr>
                <w:rFonts w:ascii="Arial" w:hAnsi="Arial" w:eastAsia="宋体" w:cs="Arial"/>
                <w:b/>
                <w:bCs/>
                <w:sz w:val="24"/>
                <w:szCs w:val="24"/>
                <w:highlight w:val="none"/>
              </w:rPr>
              <w:t>无效</w:t>
            </w:r>
            <w:r>
              <w:rPr>
                <w:rFonts w:hint="eastAsia" w:ascii="Arial" w:hAnsi="Arial" w:eastAsia="宋体" w:cs="Arial"/>
                <w:b/>
                <w:bCs/>
                <w:sz w:val="24"/>
                <w:szCs w:val="24"/>
                <w:highlight w:val="none"/>
                <w:lang w:eastAsia="zh-CN"/>
              </w:rPr>
              <w:t>。</w:t>
            </w:r>
          </w:p>
        </w:tc>
      </w:tr>
      <w:tr w14:paraId="57CD5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06" w:type="dxa"/>
            <w:gridSpan w:val="3"/>
            <w:noWrap w:val="0"/>
            <w:vAlign w:val="center"/>
          </w:tcPr>
          <w:p w14:paraId="138F0AEB">
            <w:pPr>
              <w:spacing w:line="360" w:lineRule="auto"/>
              <w:rPr>
                <w:rFonts w:hint="eastAsia" w:ascii="宋体" w:hAnsi="宋体" w:cs="宋体"/>
                <w:b/>
                <w:color w:val="000000"/>
                <w:sz w:val="24"/>
              </w:rPr>
            </w:pPr>
            <w:r>
              <w:rPr>
                <w:rFonts w:hint="eastAsia" w:ascii="宋体" w:hAnsi="宋体" w:cs="宋体"/>
                <w:b/>
                <w:sz w:val="24"/>
              </w:rPr>
              <w:t>注</w:t>
            </w:r>
            <w:r>
              <w:rPr>
                <w:rFonts w:hint="eastAsia" w:ascii="宋体" w:hAnsi="宋体" w:cs="宋体"/>
                <w:b/>
                <w:color w:val="000000"/>
                <w:sz w:val="24"/>
              </w:rPr>
              <w:t>：</w:t>
            </w:r>
          </w:p>
          <w:p w14:paraId="56AC7209">
            <w:pPr>
              <w:spacing w:line="360" w:lineRule="auto"/>
              <w:jc w:val="left"/>
              <w:rPr>
                <w:rFonts w:hint="eastAsia" w:ascii="宋体" w:hAnsi="宋体" w:cs="宋体"/>
                <w:b/>
                <w:bCs/>
                <w:color w:val="000000"/>
                <w:sz w:val="24"/>
                <w:szCs w:val="24"/>
              </w:rPr>
            </w:pPr>
            <w:r>
              <w:rPr>
                <w:rFonts w:hint="eastAsia" w:ascii="宋体" w:hAnsi="宋体" w:cs="宋体"/>
                <w:b/>
                <w:bCs/>
                <w:color w:val="000000"/>
                <w:sz w:val="24"/>
                <w:szCs w:val="24"/>
              </w:rPr>
              <w:t>（1）针对下表中标注★的指标项须在参选文件中提供证明材料予以佐证。</w:t>
            </w:r>
          </w:p>
          <w:p w14:paraId="0BD8225E">
            <w:pPr>
              <w:spacing w:line="360" w:lineRule="auto"/>
              <w:jc w:val="left"/>
              <w:rPr>
                <w:rFonts w:hint="eastAsia" w:ascii="宋体" w:hAnsi="宋体" w:cs="宋体"/>
                <w:b/>
                <w:color w:val="000000"/>
                <w:sz w:val="24"/>
                <w:szCs w:val="24"/>
                <w:lang w:val="zh-CN"/>
              </w:rPr>
            </w:pPr>
            <w:r>
              <w:rPr>
                <w:rFonts w:hint="eastAsia" w:ascii="宋体" w:hAnsi="宋体" w:cs="宋体"/>
                <w:b/>
                <w:color w:val="000000"/>
                <w:sz w:val="24"/>
                <w:szCs w:val="24"/>
              </w:rPr>
              <w:t>1.采购需求中</w:t>
            </w:r>
            <w:r>
              <w:rPr>
                <w:rFonts w:hint="eastAsia" w:ascii="宋体" w:hAnsi="宋体" w:cs="宋体"/>
                <w:b/>
                <w:color w:val="000000"/>
                <w:sz w:val="24"/>
                <w:szCs w:val="24"/>
                <w:lang w:val="zh-CN"/>
              </w:rPr>
              <w:t>明确要求提供</w:t>
            </w:r>
            <w:r>
              <w:rPr>
                <w:rFonts w:hint="eastAsia" w:ascii="宋体" w:hAnsi="宋体" w:cs="宋体"/>
                <w:b/>
                <w:color w:val="000000"/>
                <w:sz w:val="24"/>
                <w:szCs w:val="24"/>
              </w:rPr>
              <w:t>相关</w:t>
            </w:r>
            <w:r>
              <w:rPr>
                <w:rFonts w:hint="eastAsia" w:ascii="宋体" w:hAnsi="宋体" w:cs="宋体"/>
                <w:b/>
                <w:color w:val="000000"/>
                <w:sz w:val="24"/>
                <w:szCs w:val="24"/>
                <w:lang w:val="zh-CN"/>
              </w:rPr>
              <w:t>材料</w:t>
            </w:r>
            <w:r>
              <w:rPr>
                <w:rFonts w:hint="eastAsia" w:ascii="宋体" w:hAnsi="宋体" w:cs="宋体"/>
                <w:b/>
                <w:color w:val="000000"/>
                <w:sz w:val="24"/>
                <w:szCs w:val="24"/>
              </w:rPr>
              <w:t>的</w:t>
            </w:r>
            <w:r>
              <w:rPr>
                <w:rFonts w:hint="eastAsia" w:ascii="宋体" w:hAnsi="宋体" w:cs="宋体"/>
                <w:b/>
                <w:color w:val="000000"/>
                <w:sz w:val="24"/>
                <w:szCs w:val="24"/>
                <w:lang w:val="zh-CN"/>
              </w:rPr>
              <w:t>按采购需求要求提供</w:t>
            </w:r>
            <w:r>
              <w:rPr>
                <w:rFonts w:hint="eastAsia" w:ascii="宋体" w:hAnsi="宋体" w:cs="宋体"/>
                <w:b/>
                <w:color w:val="000000"/>
                <w:sz w:val="24"/>
                <w:szCs w:val="24"/>
              </w:rPr>
              <w:t>对应证明材料</w:t>
            </w:r>
            <w:r>
              <w:rPr>
                <w:rFonts w:hint="eastAsia" w:ascii="宋体" w:hAnsi="宋体" w:cs="宋体"/>
                <w:b/>
                <w:color w:val="000000"/>
                <w:sz w:val="24"/>
                <w:szCs w:val="24"/>
                <w:lang w:val="zh-CN"/>
              </w:rPr>
              <w:t>；</w:t>
            </w:r>
          </w:p>
          <w:p w14:paraId="4E1D17DE">
            <w:pPr>
              <w:spacing w:line="360" w:lineRule="auto"/>
              <w:rPr>
                <w:rFonts w:hint="eastAsia" w:ascii="宋体" w:hAnsi="宋体" w:cs="宋体"/>
                <w:b/>
                <w:bCs/>
                <w:color w:val="000000"/>
                <w:sz w:val="24"/>
                <w:szCs w:val="24"/>
              </w:rPr>
            </w:pPr>
            <w:r>
              <w:rPr>
                <w:rFonts w:hint="eastAsia" w:ascii="宋体" w:hAnsi="宋体" w:cs="宋体"/>
                <w:b/>
                <w:color w:val="000000"/>
                <w:sz w:val="24"/>
                <w:szCs w:val="24"/>
              </w:rPr>
              <w:t>2.采购需求中未明确要求提供证明料的，参选人须自行提供</w:t>
            </w:r>
            <w:r>
              <w:rPr>
                <w:rFonts w:hint="eastAsia" w:ascii="宋体" w:hAnsi="宋体" w:cs="宋体"/>
                <w:b/>
                <w:bCs/>
                <w:color w:val="000000"/>
                <w:sz w:val="24"/>
                <w:szCs w:val="24"/>
              </w:rPr>
              <w:t>证明材料，包括产品技术白皮书、产品技术说明书、产品彩页（产品功能截图）、厂家（制造商）官网截图、第三方机构出具的带有CMA或</w:t>
            </w:r>
            <w:r>
              <w:rPr>
                <w:rFonts w:hint="eastAsia" w:ascii="宋体" w:hAnsi="宋体" w:cs="宋体"/>
                <w:b/>
                <w:bCs/>
                <w:color w:val="000000"/>
                <w:kern w:val="0"/>
                <w:sz w:val="24"/>
                <w:szCs w:val="24"/>
                <w:lang w:bidi="ar"/>
              </w:rPr>
              <w:t>CNAS</w:t>
            </w:r>
            <w:r>
              <w:rPr>
                <w:rFonts w:hint="eastAsia" w:ascii="宋体" w:hAnsi="宋体" w:cs="宋体"/>
                <w:b/>
                <w:bCs/>
                <w:color w:val="000000"/>
                <w:sz w:val="24"/>
                <w:szCs w:val="24"/>
              </w:rPr>
              <w:t>标识的检测报告，提供其中之一即可。未按以上要求提供证明材料的视为负偏离或未响应（为便于评审，建议参选人对证明材料中的关键参数进行标注）。</w:t>
            </w:r>
          </w:p>
          <w:p w14:paraId="4AF70D6D">
            <w:pPr>
              <w:spacing w:line="360" w:lineRule="auto"/>
              <w:rPr>
                <w:rFonts w:ascii="宋体" w:hAnsi="宋体" w:eastAsia="宋体" w:cs="宋体"/>
                <w:bCs/>
                <w:sz w:val="24"/>
                <w:szCs w:val="20"/>
              </w:rPr>
            </w:pPr>
            <w:r>
              <w:rPr>
                <w:rFonts w:hint="eastAsia" w:ascii="宋体" w:hAnsi="宋体" w:cs="宋体"/>
                <w:b/>
                <w:sz w:val="24"/>
              </w:rPr>
              <w:t>（2）如某项标识中包含多条技术参数或要求，则该项标识所含内容均需满足或优于比选文件要求，否则不予认可。</w:t>
            </w:r>
          </w:p>
        </w:tc>
      </w:tr>
    </w:tbl>
    <w:p w14:paraId="596974A9">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（二）货物需求表</w:t>
      </w:r>
    </w:p>
    <w:tbl>
      <w:tblPr>
        <w:tblStyle w:val="2"/>
        <w:tblW w:w="504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998"/>
        <w:gridCol w:w="5087"/>
        <w:gridCol w:w="1082"/>
        <w:gridCol w:w="654"/>
      </w:tblGrid>
      <w:tr w14:paraId="5B5EE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2" w:type="pct"/>
            <w:noWrap w:val="0"/>
            <w:vAlign w:val="center"/>
          </w:tcPr>
          <w:p w14:paraId="71380786">
            <w:pPr>
              <w:spacing w:line="360" w:lineRule="auto"/>
              <w:jc w:val="center"/>
              <w:rPr>
                <w:rFonts w:hint="eastAsia" w:ascii="宋体" w:hAnsi="宋体" w:eastAsia="宋体" w:cs="宋体"/>
                <w:bCs/>
                <w:sz w:val="24"/>
                <w:szCs w:val="18"/>
              </w:rPr>
            </w:pPr>
            <w:r>
              <w:rPr>
                <w:rFonts w:hint="eastAsia" w:ascii="宋体" w:hAnsi="宋体" w:eastAsia="宋体" w:cs="宋体"/>
                <w:bCs/>
                <w:sz w:val="24"/>
                <w:szCs w:val="18"/>
              </w:rPr>
              <w:t>序号</w:t>
            </w:r>
          </w:p>
        </w:tc>
        <w:tc>
          <w:tcPr>
            <w:tcW w:w="580" w:type="pct"/>
            <w:noWrap w:val="0"/>
            <w:vAlign w:val="center"/>
          </w:tcPr>
          <w:p w14:paraId="02ABD313">
            <w:pPr>
              <w:spacing w:line="360" w:lineRule="auto"/>
              <w:jc w:val="center"/>
              <w:rPr>
                <w:rFonts w:hint="eastAsia" w:ascii="宋体" w:hAnsi="宋体" w:eastAsia="宋体" w:cs="宋体"/>
                <w:bCs/>
                <w:sz w:val="24"/>
                <w:szCs w:val="18"/>
              </w:rPr>
            </w:pPr>
            <w:r>
              <w:rPr>
                <w:rFonts w:hint="eastAsia" w:ascii="宋体" w:hAnsi="宋体" w:eastAsia="宋体" w:cs="宋体"/>
                <w:bCs/>
                <w:sz w:val="24"/>
                <w:szCs w:val="18"/>
              </w:rPr>
              <w:t>货物</w:t>
            </w:r>
          </w:p>
          <w:p w14:paraId="621E2460">
            <w:pPr>
              <w:spacing w:line="360" w:lineRule="auto"/>
              <w:jc w:val="center"/>
              <w:rPr>
                <w:rFonts w:hint="eastAsia" w:ascii="宋体" w:hAnsi="宋体" w:eastAsia="宋体" w:cs="宋体"/>
                <w:bCs/>
                <w:sz w:val="24"/>
                <w:szCs w:val="18"/>
              </w:rPr>
            </w:pPr>
            <w:r>
              <w:rPr>
                <w:rFonts w:hint="eastAsia" w:ascii="宋体" w:hAnsi="宋体" w:eastAsia="宋体" w:cs="宋体"/>
                <w:bCs/>
                <w:sz w:val="24"/>
                <w:szCs w:val="18"/>
              </w:rPr>
              <w:t>名称</w:t>
            </w:r>
          </w:p>
        </w:tc>
        <w:tc>
          <w:tcPr>
            <w:tcW w:w="2957" w:type="pct"/>
            <w:noWrap w:val="0"/>
            <w:vAlign w:val="top"/>
          </w:tcPr>
          <w:p w14:paraId="1C83819D">
            <w:pPr>
              <w:spacing w:line="360" w:lineRule="auto"/>
              <w:jc w:val="center"/>
              <w:rPr>
                <w:rFonts w:hint="eastAsia" w:ascii="宋体" w:hAnsi="宋体" w:eastAsia="宋体" w:cs="宋体"/>
                <w:bCs/>
                <w:sz w:val="24"/>
                <w:szCs w:val="18"/>
              </w:rPr>
            </w:pPr>
            <w:r>
              <w:rPr>
                <w:rFonts w:hint="eastAsia" w:ascii="宋体" w:hAnsi="宋体" w:eastAsia="宋体" w:cs="宋体"/>
                <w:bCs/>
                <w:sz w:val="24"/>
                <w:szCs w:val="18"/>
              </w:rPr>
              <w:t>技术参数及要求</w:t>
            </w:r>
          </w:p>
        </w:tc>
        <w:tc>
          <w:tcPr>
            <w:tcW w:w="629" w:type="pct"/>
            <w:noWrap w:val="0"/>
            <w:vAlign w:val="center"/>
          </w:tcPr>
          <w:p w14:paraId="625DF899">
            <w:pPr>
              <w:spacing w:line="360" w:lineRule="auto"/>
              <w:jc w:val="center"/>
              <w:rPr>
                <w:rFonts w:hint="eastAsia" w:ascii="宋体" w:hAnsi="宋体" w:eastAsia="宋体" w:cs="宋体"/>
                <w:bCs/>
                <w:sz w:val="24"/>
                <w:szCs w:val="18"/>
              </w:rPr>
            </w:pPr>
            <w:r>
              <w:rPr>
                <w:rFonts w:hint="eastAsia" w:ascii="宋体" w:hAnsi="宋体" w:eastAsia="宋体" w:cs="宋体"/>
                <w:bCs/>
                <w:sz w:val="24"/>
                <w:szCs w:val="18"/>
              </w:rPr>
              <w:t>数量</w:t>
            </w:r>
          </w:p>
          <w:p w14:paraId="437187C4">
            <w:pPr>
              <w:spacing w:line="360" w:lineRule="auto"/>
              <w:jc w:val="center"/>
              <w:rPr>
                <w:rFonts w:hint="eastAsia" w:ascii="宋体" w:hAnsi="宋体" w:eastAsia="宋体" w:cs="宋体"/>
                <w:bCs/>
                <w:sz w:val="24"/>
                <w:szCs w:val="18"/>
              </w:rPr>
            </w:pPr>
            <w:r>
              <w:rPr>
                <w:rFonts w:hint="eastAsia" w:ascii="宋体" w:hAnsi="宋体" w:eastAsia="宋体" w:cs="宋体"/>
                <w:bCs/>
                <w:sz w:val="24"/>
                <w:szCs w:val="18"/>
              </w:rPr>
              <w:t>（单位）</w:t>
            </w:r>
          </w:p>
        </w:tc>
        <w:tc>
          <w:tcPr>
            <w:tcW w:w="380" w:type="pct"/>
            <w:noWrap w:val="0"/>
            <w:vAlign w:val="center"/>
          </w:tcPr>
          <w:p w14:paraId="07B0DE0D">
            <w:pPr>
              <w:spacing w:line="360" w:lineRule="auto"/>
              <w:jc w:val="center"/>
              <w:rPr>
                <w:rFonts w:hint="eastAsia" w:ascii="宋体" w:hAnsi="宋体" w:eastAsia="宋体" w:cs="宋体"/>
                <w:bCs/>
                <w:sz w:val="24"/>
                <w:szCs w:val="18"/>
              </w:rPr>
            </w:pPr>
            <w:r>
              <w:rPr>
                <w:rFonts w:hint="eastAsia" w:ascii="宋体" w:hAnsi="宋体" w:eastAsia="宋体" w:cs="宋体"/>
                <w:bCs/>
                <w:sz w:val="24"/>
                <w:szCs w:val="18"/>
              </w:rPr>
              <w:t>备注</w:t>
            </w:r>
          </w:p>
        </w:tc>
      </w:tr>
      <w:tr w14:paraId="3D986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52" w:type="pct"/>
            <w:noWrap w:val="0"/>
            <w:vAlign w:val="center"/>
          </w:tcPr>
          <w:p w14:paraId="3BC3E6C7">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sz w:val="24"/>
                <w:szCs w:val="24"/>
                <w:highlight w:val="green"/>
              </w:rPr>
            </w:pPr>
            <w:r>
              <w:rPr>
                <w:rFonts w:hint="eastAsia" w:ascii="宋体" w:hAnsi="宋体" w:eastAsia="宋体" w:cs="宋体"/>
                <w:i w:val="0"/>
                <w:iCs w:val="0"/>
                <w:color w:val="000000"/>
                <w:kern w:val="0"/>
                <w:sz w:val="24"/>
                <w:szCs w:val="24"/>
                <w:u w:val="none"/>
                <w:lang w:val="en-US" w:eastAsia="zh-CN" w:bidi="ar"/>
              </w:rPr>
              <w:t>1</w:t>
            </w:r>
          </w:p>
        </w:tc>
        <w:tc>
          <w:tcPr>
            <w:tcW w:w="580" w:type="pct"/>
            <w:noWrap w:val="0"/>
            <w:vAlign w:val="center"/>
          </w:tcPr>
          <w:p w14:paraId="77B65AFC">
            <w:pPr>
              <w:keepNext w:val="0"/>
              <w:keepLines w:val="0"/>
              <w:widowControl/>
              <w:suppressLineNumbers w:val="0"/>
              <w:jc w:val="center"/>
              <w:textAlignment w:val="center"/>
              <w:rPr>
                <w:rFonts w:hint="eastAsia" w:ascii="宋体" w:hAnsi="宋体" w:eastAsia="宋体" w:cs="宋体"/>
                <w:bCs/>
                <w:sz w:val="24"/>
                <w:szCs w:val="24"/>
                <w:highlight w:val="green"/>
              </w:rPr>
            </w:pPr>
            <w:r>
              <w:rPr>
                <w:rFonts w:hint="eastAsia" w:ascii="宋体" w:hAnsi="宋体" w:eastAsia="宋体" w:cs="宋体"/>
                <w:b/>
                <w:sz w:val="24"/>
                <w:szCs w:val="24"/>
                <w:highlight w:val="none"/>
              </w:rPr>
              <w:t>▲</w:t>
            </w:r>
            <w:r>
              <w:rPr>
                <w:rFonts w:hint="eastAsia" w:ascii="宋体" w:hAnsi="宋体" w:eastAsia="宋体" w:cs="宋体"/>
                <w:i w:val="0"/>
                <w:iCs w:val="0"/>
                <w:color w:val="000000"/>
                <w:kern w:val="0"/>
                <w:sz w:val="24"/>
                <w:szCs w:val="24"/>
                <w:u w:val="none"/>
                <w:lang w:val="en-US" w:eastAsia="zh-CN" w:bidi="ar"/>
              </w:rPr>
              <w:t>大小鼠跑轮节律监测系统</w:t>
            </w:r>
          </w:p>
        </w:tc>
        <w:tc>
          <w:tcPr>
            <w:tcW w:w="2957" w:type="pct"/>
            <w:noWrap w:val="0"/>
            <w:vAlign w:val="center"/>
          </w:tcPr>
          <w:p w14:paraId="5AE3B828">
            <w:pPr>
              <w:keepNext w:val="0"/>
              <w:keepLines w:val="0"/>
              <w:widowControl/>
              <w:suppressLineNumbers w:val="0"/>
              <w:jc w:val="both"/>
              <w:textAlignment w:val="center"/>
              <w:rPr>
                <w:rFonts w:hint="eastAsia" w:ascii="宋体" w:hAnsi="宋体" w:eastAsia="宋体" w:cs="宋体"/>
                <w:bCs/>
                <w:sz w:val="24"/>
                <w:szCs w:val="24"/>
                <w:highlight w:val="none"/>
              </w:rPr>
            </w:pPr>
            <w:r>
              <w:rPr>
                <w:rFonts w:hint="eastAsia" w:ascii="宋体" w:hAnsi="宋体" w:eastAsia="宋体" w:cs="宋体"/>
                <w:i w:val="0"/>
                <w:iCs w:val="0"/>
                <w:color w:val="000000"/>
                <w:kern w:val="0"/>
                <w:sz w:val="24"/>
                <w:szCs w:val="24"/>
                <w:u w:val="none"/>
                <w:lang w:val="en-US" w:eastAsia="zh-CN" w:bidi="ar"/>
              </w:rPr>
              <w:t>1、参数显示方式：PC端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2、通道数：小鼠不低于16通道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3、硬件连接方式：有线/无线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4、实验时间范围：连续/长期，天/时/分，≥180天以上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5、小鼠转轮规格：直径≥100mm，宽≥50mm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6、新建项目：项目名称、用户名、实验日期、通道数、跑轮半径(mm)、跑动阈值（cm/s）实验描述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7、动物管理：动物编号、周龄、体重、性别、动物描述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程序化节律照明系统：设备号、通道号、单次灯光时间，复数灯光时间，任意时间设置，任意通道数设置、可配置完成显示每日的光照周期功能，一键可全开/关闭；具有模版功能，纯软件设置，无需人工操作和值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★9、实验看板：通道数、动物数量、实时状态、每只动物动态参数实时在线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10、动物数据查询：可查询所有动物数据/单个动物数据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★11、数据时间设置：起始时间、结束时间、任意时间段内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12、采样间隔：分、时可选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13、数据保存形式：表格、图片</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★14、数据显示：波形图，可用鼠标滑动放大、缩小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★15、活动图显示：圈数、最大速度、平均速度，折线图与点状图可选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★16、节律图：可24/48小时制显示与下载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17、活动周期点检测方式：软件自动检测活动周期起/终点、手动活动周期起始点、手动活动周期终止点、活动里最大速度点、显示所有点、删除所有点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★18、实验数据：正转圈数、正转路程(cm)、反转圈数、反转路程(cm)、平均速度(cm/s)、最大速度(cm/s)、运动时长(s)、总圈数 、运动总路程（cm）、跑动路程（cm）、24/48小时节律图，快速傅立叶变换图、圈数图、最大速度图、平均速度图、活动总次数、每天的活动次数。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19、设备电源：110V~220V  50H</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20、拓展管理-仪器登记：仪器编号、仪器名称、启用日期、价格、 总数量、型号、出厂序号、部门名称、厂家、位置、分类、名称、实验室名称、经费来源。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21、拓展管理-项目登记:实验编号，实验名称，实验室名称，位置，课程名称，课程编号，实验类别，实验人数，实验次数，每组人数，计划学时，实际学时，实验要求，登记日期，单位名称，实验简介。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21、拓展管理-仪器维修:维修日期，条形码，仪器名称，仪器型号，损坏原因，维修详情，维修结果，维修费用，经办人。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22、拓展管理-仪器报废:申请报废日期、条形码、仪器名称、启用日期、型号、出厂序号、报废原因、申请人。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拓展管理-仪器借用:借用日期、实验室号、登记序号、条形码、仪器名称、借用人、联系电话、用 途、归还日期、经手人。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23、设备使用情况:使用次数，使用总时间，上次使用时间。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★24、配套</w:t>
            </w:r>
            <w:r>
              <w:rPr>
                <w:rFonts w:hint="eastAsia" w:ascii="宋体" w:hAnsi="宋体" w:eastAsia="宋体" w:cs="宋体"/>
                <w:lang w:val="en-US" w:eastAsia="zh-CN"/>
              </w:rPr>
              <w:t>套高性能电脑</w:t>
            </w:r>
            <w:r>
              <w:rPr>
                <w:rFonts w:hint="eastAsia" w:ascii="宋体" w:hAnsi="宋体" w:eastAsia="宋体" w:cs="宋体"/>
                <w:i w:val="0"/>
                <w:iCs w:val="0"/>
                <w:color w:val="000000"/>
                <w:kern w:val="0"/>
                <w:sz w:val="24"/>
                <w:szCs w:val="24"/>
                <w:u w:val="none"/>
                <w:lang w:val="en-US" w:eastAsia="zh-CN" w:bidi="ar"/>
              </w:rPr>
              <w:t>1台(不低于4核处理器/≥8G运行内存/≥256G SSD/不小于21.5寸显示器。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25、须具备防意外断电功能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26、配置清单：至少须包含大小鼠转轮节律监测系统软件1套、软件加密狗1个、大小鼠转轮节律监测系统控制主机2台、小鼠跑轮实验笼16个、定制4通道小鼠跑轮隔音箱（环保密度纤维板）4个、定制程序化灯光控制系统（预装隔音箱内、白光）4套、合格证1个、保修卡1个、说明书1份。</w:t>
            </w:r>
          </w:p>
        </w:tc>
        <w:tc>
          <w:tcPr>
            <w:tcW w:w="629" w:type="pct"/>
            <w:noWrap w:val="0"/>
            <w:vAlign w:val="center"/>
          </w:tcPr>
          <w:p w14:paraId="0E2C4D16">
            <w:pPr>
              <w:keepNext w:val="0"/>
              <w:keepLines w:val="0"/>
              <w:widowControl/>
              <w:suppressLineNumbers w:val="0"/>
              <w:jc w:val="center"/>
              <w:textAlignment w:val="center"/>
              <w:rPr>
                <w:rFonts w:hint="eastAsia" w:ascii="宋体" w:hAnsi="宋体" w:eastAsia="宋体" w:cs="宋体"/>
                <w:bCs/>
                <w:sz w:val="24"/>
                <w:szCs w:val="24"/>
                <w:highlight w:val="none"/>
                <w:lang w:val="en-US" w:eastAsia="zh-CN"/>
              </w:rPr>
            </w:pPr>
            <w:r>
              <w:rPr>
                <w:rFonts w:hint="eastAsia" w:ascii="宋体" w:hAnsi="宋体" w:eastAsia="宋体" w:cs="宋体"/>
                <w:i w:val="0"/>
                <w:iCs w:val="0"/>
                <w:color w:val="000000"/>
                <w:kern w:val="0"/>
                <w:sz w:val="24"/>
                <w:szCs w:val="24"/>
                <w:u w:val="none"/>
                <w:lang w:val="en-US" w:eastAsia="zh-CN" w:bidi="ar"/>
              </w:rPr>
              <w:t>1台</w:t>
            </w:r>
          </w:p>
        </w:tc>
        <w:tc>
          <w:tcPr>
            <w:tcW w:w="380" w:type="pct"/>
            <w:noWrap w:val="0"/>
            <w:vAlign w:val="center"/>
          </w:tcPr>
          <w:p w14:paraId="2F1481F9">
            <w:pPr>
              <w:keepNext w:val="0"/>
              <w:keepLines w:val="0"/>
              <w:pageBreakBefore w:val="0"/>
              <w:kinsoku/>
              <w:wordWrap/>
              <w:overflowPunct/>
              <w:topLinePunct w:val="0"/>
              <w:bidi w:val="0"/>
              <w:snapToGrid/>
              <w:spacing w:line="360" w:lineRule="auto"/>
              <w:jc w:val="center"/>
              <w:rPr>
                <w:rFonts w:hint="eastAsia" w:ascii="宋体" w:hAnsi="宋体" w:eastAsia="宋体" w:cs="宋体"/>
                <w:bCs/>
                <w:sz w:val="24"/>
                <w:szCs w:val="24"/>
                <w:highlight w:val="green"/>
              </w:rPr>
            </w:pPr>
          </w:p>
        </w:tc>
      </w:tr>
      <w:tr w14:paraId="0EB3C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2" w:type="pct"/>
            <w:noWrap w:val="0"/>
            <w:vAlign w:val="center"/>
          </w:tcPr>
          <w:p w14:paraId="69F623C1">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w:t>
            </w:r>
          </w:p>
        </w:tc>
        <w:tc>
          <w:tcPr>
            <w:tcW w:w="580" w:type="pct"/>
            <w:noWrap w:val="0"/>
            <w:vAlign w:val="center"/>
          </w:tcPr>
          <w:p w14:paraId="5FF6C0F6">
            <w:pPr>
              <w:keepNext w:val="0"/>
              <w:keepLines w:val="0"/>
              <w:widowControl/>
              <w:suppressLineNumbers w:val="0"/>
              <w:jc w:val="center"/>
              <w:textAlignment w:val="center"/>
              <w:rPr>
                <w:rFonts w:hint="eastAsia" w:ascii="宋体" w:hAnsi="宋体" w:eastAsia="宋体" w:cs="宋体"/>
                <w:bCs/>
                <w:sz w:val="24"/>
                <w:szCs w:val="24"/>
              </w:rPr>
            </w:pPr>
            <w:r>
              <w:rPr>
                <w:rFonts w:hint="eastAsia" w:ascii="宋体" w:hAnsi="宋体" w:eastAsia="宋体" w:cs="宋体"/>
                <w:i w:val="0"/>
                <w:iCs w:val="0"/>
                <w:color w:val="000000"/>
                <w:kern w:val="0"/>
                <w:sz w:val="24"/>
                <w:szCs w:val="24"/>
                <w:u w:val="none"/>
                <w:lang w:val="en-US" w:eastAsia="zh-CN" w:bidi="ar"/>
              </w:rPr>
              <w:t>全能型动物监护仓</w:t>
            </w:r>
          </w:p>
        </w:tc>
        <w:tc>
          <w:tcPr>
            <w:tcW w:w="2957" w:type="pct"/>
            <w:noWrap w:val="0"/>
            <w:vAlign w:val="center"/>
          </w:tcPr>
          <w:p w14:paraId="43A99285">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1、外部尺寸：≥W900*H700*L500mm；内部尺寸约：≥W650*H450*L450mm。</w:t>
            </w:r>
          </w:p>
          <w:p w14:paraId="5190D1D2">
            <w:pPr>
              <w:keepNext w:val="0"/>
              <w:keepLines w:val="0"/>
              <w:widowControl/>
              <w:numPr>
                <w:ilvl w:val="0"/>
                <w:numId w:val="0"/>
              </w:numPr>
              <w:suppressLineNumbers w:val="0"/>
              <w:ind w:left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2、人机交互媒介：不小于7寸电容触摸显示屏，分辨率：不低于1024*600。</w:t>
            </w:r>
          </w:p>
          <w:p w14:paraId="008DB6A1">
            <w:pPr>
              <w:keepNext w:val="0"/>
              <w:keepLines w:val="0"/>
              <w:widowControl/>
              <w:numPr>
                <w:ilvl w:val="0"/>
                <w:numId w:val="0"/>
              </w:numPr>
              <w:suppressLineNumbers w:val="0"/>
              <w:ind w:left="0" w:leftChars="0"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lang w:val="en-US" w:eastAsia="zh-CN" w:bidi="ar"/>
              </w:rPr>
              <w:t>3、</w:t>
            </w:r>
            <w:r>
              <w:rPr>
                <w:rFonts w:hint="eastAsia" w:ascii="宋体" w:hAnsi="宋体" w:eastAsia="宋体" w:cs="宋体"/>
                <w:i w:val="0"/>
                <w:iCs w:val="0"/>
                <w:color w:val="000000"/>
                <w:kern w:val="0"/>
                <w:sz w:val="24"/>
                <w:szCs w:val="24"/>
                <w:u w:val="none"/>
                <w:lang w:val="en-US" w:eastAsia="zh-CN" w:bidi="ar"/>
              </w:rPr>
              <w:t>内置推荐参数，涵盖犬类、猫类、兔类、鸟类、鼠类、爬行类、猴子至少7类动物。</w:t>
            </w:r>
          </w:p>
          <w:p w14:paraId="47E311AD">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4、智能温控系统，采用半导体元件均衡升温和制冷，温度可调节范围为15-40℃，控制精度为±0.5℃。</w:t>
            </w:r>
          </w:p>
          <w:p w14:paraId="660B0EE7">
            <w:pPr>
              <w:keepNext w:val="0"/>
              <w:keepLines w:val="0"/>
              <w:widowControl/>
              <w:numPr>
                <w:ilvl w:val="0"/>
                <w:numId w:val="0"/>
              </w:numPr>
              <w:suppressLineNumbers w:val="0"/>
              <w:ind w:left="0" w:leftChars="0"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lang w:val="en-US" w:eastAsia="zh-CN" w:bidi="ar"/>
              </w:rPr>
              <w:t>5、</w:t>
            </w:r>
            <w:r>
              <w:rPr>
                <w:rFonts w:hint="eastAsia" w:ascii="宋体" w:hAnsi="宋体" w:eastAsia="宋体" w:cs="宋体"/>
                <w:i w:val="0"/>
                <w:iCs w:val="0"/>
                <w:color w:val="000000"/>
                <w:kern w:val="0"/>
                <w:sz w:val="24"/>
                <w:szCs w:val="24"/>
                <w:u w:val="none"/>
                <w:lang w:val="en-US" w:eastAsia="zh-CN" w:bidi="ar"/>
              </w:rPr>
              <w:t>智能湿控系统，同时具备加湿和除湿功能；湿度可调节范围为40%~70%RH。</w:t>
            </w:r>
          </w:p>
          <w:p w14:paraId="597A0809">
            <w:pPr>
              <w:keepNext w:val="0"/>
              <w:keepLines w:val="0"/>
              <w:widowControl/>
              <w:numPr>
                <w:ilvl w:val="0"/>
                <w:numId w:val="0"/>
              </w:numPr>
              <w:suppressLineNumbers w:val="0"/>
              <w:ind w:left="0" w:leftChars="0"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lang w:val="en-US" w:eastAsia="zh-CN" w:bidi="ar"/>
              </w:rPr>
              <w:t>6、须</w:t>
            </w:r>
            <w:r>
              <w:rPr>
                <w:rFonts w:hint="eastAsia" w:ascii="宋体" w:hAnsi="宋体" w:eastAsia="宋体" w:cs="宋体"/>
                <w:i w:val="0"/>
                <w:iCs w:val="0"/>
                <w:color w:val="000000"/>
                <w:kern w:val="0"/>
                <w:sz w:val="24"/>
                <w:szCs w:val="24"/>
                <w:u w:val="none"/>
                <w:lang w:val="en-US" w:eastAsia="zh-CN" w:bidi="ar"/>
              </w:rPr>
              <w:t>内置灵敏红外探头，可精准监控CO</w:t>
            </w:r>
            <w:r>
              <w:rPr>
                <w:rFonts w:hint="eastAsia" w:ascii="宋体" w:hAnsi="宋体" w:eastAsia="宋体" w:cs="宋体"/>
                <w:i w:val="0"/>
                <w:iCs w:val="0"/>
                <w:color w:val="000000"/>
                <w:kern w:val="0"/>
                <w:sz w:val="24"/>
                <w:szCs w:val="24"/>
                <w:u w:val="none"/>
                <w:vertAlign w:val="superscript"/>
                <w:lang w:val="en-US" w:eastAsia="zh-CN" w:bidi="ar"/>
              </w:rPr>
              <w:t>2</w:t>
            </w:r>
            <w:r>
              <w:rPr>
                <w:rFonts w:hint="eastAsia" w:ascii="宋体" w:hAnsi="宋体" w:eastAsia="宋体" w:cs="宋体"/>
                <w:i w:val="0"/>
                <w:iCs w:val="0"/>
                <w:color w:val="000000"/>
                <w:kern w:val="0"/>
                <w:sz w:val="24"/>
                <w:szCs w:val="24"/>
                <w:u w:val="none"/>
                <w:lang w:val="en-US" w:eastAsia="zh-CN" w:bidi="ar"/>
              </w:rPr>
              <w:t>浓度变化，CO</w:t>
            </w:r>
            <w:r>
              <w:rPr>
                <w:rFonts w:hint="eastAsia" w:ascii="宋体" w:hAnsi="宋体" w:eastAsia="宋体" w:cs="宋体"/>
                <w:i w:val="0"/>
                <w:iCs w:val="0"/>
                <w:color w:val="000000"/>
                <w:kern w:val="0"/>
                <w:sz w:val="24"/>
                <w:szCs w:val="24"/>
                <w:u w:val="none"/>
                <w:vertAlign w:val="superscript"/>
                <w:lang w:val="en-US" w:eastAsia="zh-CN" w:bidi="ar"/>
              </w:rPr>
              <w:t>2</w:t>
            </w:r>
            <w:r>
              <w:rPr>
                <w:rFonts w:hint="eastAsia" w:ascii="宋体" w:hAnsi="宋体" w:eastAsia="宋体" w:cs="宋体"/>
                <w:i w:val="0"/>
                <w:iCs w:val="0"/>
                <w:color w:val="000000"/>
                <w:kern w:val="0"/>
                <w:sz w:val="24"/>
                <w:szCs w:val="24"/>
                <w:u w:val="none"/>
                <w:lang w:val="en-US" w:eastAsia="zh-CN" w:bidi="ar"/>
              </w:rPr>
              <w:t>浓度监控范围为500-4000ppm。</w:t>
            </w:r>
          </w:p>
          <w:p w14:paraId="5BFB589A">
            <w:pPr>
              <w:keepNext w:val="0"/>
              <w:keepLines w:val="0"/>
              <w:widowControl/>
              <w:numPr>
                <w:ilvl w:val="0"/>
                <w:numId w:val="0"/>
              </w:numPr>
              <w:suppressLineNumbers w:val="0"/>
              <w:ind w:left="0" w:leftChars="0"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lang w:val="en-US" w:eastAsia="zh-CN" w:bidi="ar"/>
              </w:rPr>
              <w:t>7、</w:t>
            </w:r>
            <w:r>
              <w:rPr>
                <w:rFonts w:hint="eastAsia" w:ascii="宋体" w:hAnsi="宋体" w:eastAsia="宋体" w:cs="宋体"/>
                <w:i w:val="0"/>
                <w:iCs w:val="0"/>
                <w:color w:val="000000"/>
                <w:kern w:val="0"/>
                <w:sz w:val="24"/>
                <w:szCs w:val="24"/>
                <w:u w:val="none"/>
                <w:lang w:val="en-US" w:eastAsia="zh-CN" w:bidi="ar"/>
              </w:rPr>
              <w:t>通过CO</w:t>
            </w:r>
            <w:r>
              <w:rPr>
                <w:rFonts w:hint="eastAsia" w:ascii="宋体" w:hAnsi="宋体" w:eastAsia="宋体" w:cs="宋体"/>
                <w:i w:val="0"/>
                <w:iCs w:val="0"/>
                <w:color w:val="000000"/>
                <w:kern w:val="0"/>
                <w:sz w:val="24"/>
                <w:szCs w:val="24"/>
                <w:u w:val="none"/>
                <w:vertAlign w:val="superscript"/>
                <w:lang w:val="en-US" w:eastAsia="zh-CN" w:bidi="ar"/>
              </w:rPr>
              <w:t>2</w:t>
            </w:r>
            <w:r>
              <w:rPr>
                <w:rFonts w:hint="eastAsia" w:ascii="宋体" w:hAnsi="宋体" w:eastAsia="宋体" w:cs="宋体"/>
                <w:i w:val="0"/>
                <w:iCs w:val="0"/>
                <w:color w:val="000000"/>
                <w:kern w:val="0"/>
                <w:sz w:val="24"/>
                <w:szCs w:val="24"/>
                <w:u w:val="none"/>
                <w:lang w:val="en-US" w:eastAsia="zh-CN" w:bidi="ar"/>
              </w:rPr>
              <w:t>吸收剂-内循环和外通风方式高效清除仓内CO</w:t>
            </w:r>
            <w:r>
              <w:rPr>
                <w:rFonts w:hint="eastAsia" w:ascii="宋体" w:hAnsi="宋体" w:eastAsia="宋体" w:cs="宋体"/>
                <w:i w:val="0"/>
                <w:iCs w:val="0"/>
                <w:color w:val="000000"/>
                <w:kern w:val="0"/>
                <w:sz w:val="24"/>
                <w:szCs w:val="24"/>
                <w:u w:val="none"/>
                <w:vertAlign w:val="superscript"/>
                <w:lang w:val="en-US" w:eastAsia="zh-CN" w:bidi="ar"/>
              </w:rPr>
              <w:t>2</w:t>
            </w:r>
            <w:r>
              <w:rPr>
                <w:rFonts w:hint="eastAsia" w:ascii="宋体" w:hAnsi="宋体" w:eastAsia="宋体" w:cs="宋体"/>
                <w:i w:val="0"/>
                <w:iCs w:val="0"/>
                <w:color w:val="000000"/>
                <w:kern w:val="0"/>
                <w:sz w:val="24"/>
                <w:szCs w:val="24"/>
                <w:u w:val="none"/>
                <w:lang w:val="en-US" w:eastAsia="zh-CN" w:bidi="ar"/>
              </w:rPr>
              <w:t>，防止监护仓内CO</w:t>
            </w:r>
            <w:r>
              <w:rPr>
                <w:rFonts w:hint="eastAsia" w:ascii="宋体" w:hAnsi="宋体" w:eastAsia="宋体" w:cs="宋体"/>
                <w:i w:val="0"/>
                <w:iCs w:val="0"/>
                <w:color w:val="000000"/>
                <w:kern w:val="0"/>
                <w:sz w:val="24"/>
                <w:szCs w:val="24"/>
                <w:u w:val="none"/>
                <w:vertAlign w:val="superscript"/>
                <w:lang w:val="en-US" w:eastAsia="zh-CN" w:bidi="ar"/>
              </w:rPr>
              <w:t>2</w:t>
            </w:r>
            <w:r>
              <w:rPr>
                <w:rFonts w:hint="eastAsia" w:ascii="宋体" w:hAnsi="宋体" w:eastAsia="宋体" w:cs="宋体"/>
                <w:i w:val="0"/>
                <w:iCs w:val="0"/>
                <w:color w:val="000000"/>
                <w:kern w:val="0"/>
                <w:sz w:val="24"/>
                <w:szCs w:val="24"/>
                <w:u w:val="none"/>
                <w:lang w:val="en-US" w:eastAsia="zh-CN" w:bidi="ar"/>
              </w:rPr>
              <w:t>蓄积。</w:t>
            </w:r>
          </w:p>
          <w:p w14:paraId="5E13DFF1">
            <w:pPr>
              <w:keepNext w:val="0"/>
              <w:keepLines w:val="0"/>
              <w:widowControl/>
              <w:numPr>
                <w:ilvl w:val="0"/>
                <w:numId w:val="0"/>
              </w:numPr>
              <w:suppressLineNumbers w:val="0"/>
              <w:ind w:left="0" w:leftChars="0" w:firstLine="0" w:firstLineChars="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lang w:val="en-US" w:eastAsia="zh-CN" w:bidi="ar"/>
              </w:rPr>
              <w:t>8、</w:t>
            </w:r>
            <w:r>
              <w:rPr>
                <w:rFonts w:hint="eastAsia" w:ascii="宋体" w:hAnsi="宋体" w:eastAsia="宋体" w:cs="宋体"/>
                <w:i w:val="0"/>
                <w:iCs w:val="0"/>
                <w:color w:val="000000"/>
                <w:kern w:val="0"/>
                <w:sz w:val="24"/>
                <w:szCs w:val="24"/>
                <w:u w:val="none"/>
                <w:lang w:val="en-US" w:eastAsia="zh-CN" w:bidi="ar"/>
              </w:rPr>
              <w:t>支持动物进行输氧疗法，氧气浓度控制范围为20%-60%；具备氧气浓度校准功能。</w:t>
            </w:r>
          </w:p>
          <w:p w14:paraId="2DDA9CA5">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lang w:val="en-US" w:eastAsia="zh-CN" w:bidi="ar"/>
              </w:rPr>
              <w:t>9、</w:t>
            </w:r>
            <w:r>
              <w:rPr>
                <w:rFonts w:hint="eastAsia" w:ascii="宋体" w:hAnsi="宋体" w:eastAsia="宋体" w:cs="宋体"/>
                <w:i w:val="0"/>
                <w:iCs w:val="0"/>
                <w:color w:val="000000"/>
                <w:kern w:val="0"/>
                <w:sz w:val="24"/>
                <w:szCs w:val="24"/>
                <w:u w:val="none"/>
                <w:lang w:val="en-US" w:eastAsia="zh-CN" w:bidi="ar"/>
              </w:rPr>
              <w:t>内置需具备多重报警事件，全面覆盖温湿度、CO</w:t>
            </w:r>
            <w:r>
              <w:rPr>
                <w:rFonts w:hint="eastAsia" w:ascii="宋体" w:hAnsi="宋体" w:eastAsia="宋体" w:cs="宋体"/>
                <w:i w:val="0"/>
                <w:iCs w:val="0"/>
                <w:color w:val="000000"/>
                <w:kern w:val="0"/>
                <w:sz w:val="24"/>
                <w:szCs w:val="24"/>
                <w:u w:val="none"/>
                <w:vertAlign w:val="superscript"/>
                <w:lang w:val="en-US" w:eastAsia="zh-CN" w:bidi="ar"/>
              </w:rPr>
              <w:t>2</w:t>
            </w:r>
            <w:r>
              <w:rPr>
                <w:rFonts w:hint="eastAsia" w:ascii="宋体" w:hAnsi="宋体" w:eastAsia="宋体" w:cs="宋体"/>
                <w:i w:val="0"/>
                <w:iCs w:val="0"/>
                <w:color w:val="000000"/>
                <w:kern w:val="0"/>
                <w:sz w:val="24"/>
                <w:szCs w:val="24"/>
                <w:u w:val="none"/>
                <w:lang w:val="en-US" w:eastAsia="zh-CN" w:bidi="ar"/>
              </w:rPr>
              <w:t>浓度过高、传感器故障、控温故障等异常报警。须具有双重净化功能：紫外杀菌系统/高浓度负离子净化。</w:t>
            </w:r>
          </w:p>
          <w:p w14:paraId="51F36B36">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10、紫外线灯：不低于254mm紫外线石英镀膜；时间调节范围5-60分钟，分辨率约1分钟，初始值30分钟。</w:t>
            </w:r>
          </w:p>
          <w:p w14:paraId="23A8DB57">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11、高浓度负离子：＞8×106PCS/cm3（负离子喷射口20cm-30cm）。</w:t>
            </w:r>
          </w:p>
          <w:p w14:paraId="497C3D76">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12、仓内须配有LED灯，亮度至少3级可调。</w:t>
            </w:r>
          </w:p>
          <w:p w14:paraId="71AC73C3">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13、操作显示语言：支持多语言调节。</w:t>
            </w:r>
          </w:p>
          <w:p w14:paraId="002C02EC">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14、制氧机：</w:t>
            </w:r>
          </w:p>
          <w:p w14:paraId="01A479AD">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★（1）0-8L/min流速设计，满足麻醉机供氧、术后供氧、ICU供氧、急救供氧等不同需求。</w:t>
            </w:r>
          </w:p>
          <w:p w14:paraId="58E60D02">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（2）制氧浓度达到93%±3%，满足医用级使用需求。</w:t>
            </w:r>
          </w:p>
          <w:p w14:paraId="022A0271">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（3）采用无油压缩机，机器满足2万小时无故障运转。</w:t>
            </w:r>
          </w:p>
          <w:p w14:paraId="3C310D25">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 四重过滤氧洁净：过滤棉·过滤网·原装进口过滤器·湿化瓶，细菌、病毒过滤率99.999%，同时可去除气体异味。</w:t>
            </w:r>
          </w:p>
          <w:p w14:paraId="1B2A3061">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（5）可定时制氧：根据用户设定时间供氧，自动停止制氧程序。</w:t>
            </w:r>
          </w:p>
          <w:p w14:paraId="325E25B5">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（6）具有低氧浓度指示灯和断电报警指示灯，可及时提醒操作人员处理异常。</w:t>
            </w:r>
          </w:p>
          <w:p w14:paraId="457EB448">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（7）氧气输出压力为40-70kpa。</w:t>
            </w:r>
          </w:p>
          <w:p w14:paraId="730667A3">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（9）机身底部万向轮设计，机器容易移动。</w:t>
            </w:r>
          </w:p>
        </w:tc>
        <w:tc>
          <w:tcPr>
            <w:tcW w:w="629" w:type="pct"/>
            <w:noWrap w:val="0"/>
            <w:vAlign w:val="center"/>
          </w:tcPr>
          <w:p w14:paraId="36A9727C">
            <w:pPr>
              <w:keepNext w:val="0"/>
              <w:keepLines w:val="0"/>
              <w:widowControl/>
              <w:suppressLineNumbers w:val="0"/>
              <w:jc w:val="center"/>
              <w:textAlignment w:val="center"/>
              <w:rPr>
                <w:rFonts w:hint="eastAsia" w:ascii="宋体" w:hAnsi="宋体" w:eastAsia="宋体" w:cs="宋体"/>
                <w:bCs/>
                <w:sz w:val="24"/>
                <w:szCs w:val="24"/>
                <w:lang w:val="en-US" w:eastAsia="zh-CN"/>
              </w:rPr>
            </w:pPr>
            <w:r>
              <w:rPr>
                <w:rFonts w:hint="eastAsia" w:ascii="宋体" w:hAnsi="宋体" w:eastAsia="宋体" w:cs="宋体"/>
                <w:i w:val="0"/>
                <w:iCs w:val="0"/>
                <w:color w:val="000000"/>
                <w:kern w:val="0"/>
                <w:sz w:val="24"/>
                <w:szCs w:val="24"/>
                <w:u w:val="none"/>
                <w:lang w:val="en-US" w:eastAsia="zh-CN" w:bidi="ar"/>
              </w:rPr>
              <w:t>1台</w:t>
            </w:r>
          </w:p>
        </w:tc>
        <w:tc>
          <w:tcPr>
            <w:tcW w:w="380" w:type="pct"/>
            <w:noWrap w:val="0"/>
            <w:vAlign w:val="center"/>
          </w:tcPr>
          <w:p w14:paraId="2EEF70E3">
            <w:pPr>
              <w:keepNext w:val="0"/>
              <w:keepLines w:val="0"/>
              <w:pageBreakBefore w:val="0"/>
              <w:kinsoku/>
              <w:wordWrap/>
              <w:overflowPunct/>
              <w:topLinePunct w:val="0"/>
              <w:bidi w:val="0"/>
              <w:snapToGrid/>
              <w:spacing w:line="360" w:lineRule="auto"/>
              <w:jc w:val="center"/>
              <w:rPr>
                <w:rFonts w:hint="eastAsia" w:ascii="宋体" w:hAnsi="宋体" w:eastAsia="宋体" w:cs="宋体"/>
                <w:bCs/>
                <w:sz w:val="24"/>
                <w:szCs w:val="24"/>
              </w:rPr>
            </w:pPr>
          </w:p>
        </w:tc>
      </w:tr>
      <w:tr w14:paraId="70054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452" w:type="pct"/>
            <w:noWrap w:val="0"/>
            <w:vAlign w:val="center"/>
          </w:tcPr>
          <w:p w14:paraId="27C3EA27">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580" w:type="pct"/>
            <w:noWrap w:val="0"/>
            <w:vAlign w:val="center"/>
          </w:tcPr>
          <w:p w14:paraId="12A5EB90">
            <w:pPr>
              <w:keepNext w:val="0"/>
              <w:keepLines w:val="0"/>
              <w:widowControl/>
              <w:suppressLineNumbers w:val="0"/>
              <w:jc w:val="center"/>
              <w:textAlignment w:val="center"/>
              <w:rPr>
                <w:rFonts w:hint="eastAsia" w:ascii="宋体" w:hAnsi="宋体" w:eastAsia="宋体" w:cs="宋体"/>
                <w:bCs/>
                <w:sz w:val="24"/>
                <w:szCs w:val="24"/>
              </w:rPr>
            </w:pPr>
            <w:r>
              <w:rPr>
                <w:rFonts w:hint="eastAsia" w:ascii="宋体" w:hAnsi="宋体" w:eastAsia="宋体" w:cs="宋体"/>
                <w:i w:val="0"/>
                <w:iCs w:val="0"/>
                <w:color w:val="000000"/>
                <w:kern w:val="0"/>
                <w:sz w:val="24"/>
                <w:szCs w:val="24"/>
                <w:u w:val="none"/>
                <w:lang w:val="en-US" w:eastAsia="zh-CN" w:bidi="ar"/>
              </w:rPr>
              <w:t>细胞计数仪</w:t>
            </w:r>
          </w:p>
        </w:tc>
        <w:tc>
          <w:tcPr>
            <w:tcW w:w="2957" w:type="pct"/>
            <w:noWrap w:val="0"/>
            <w:vAlign w:val="center"/>
          </w:tcPr>
          <w:p w14:paraId="7A950320">
            <w:pPr>
              <w:keepNext w:val="0"/>
              <w:keepLines w:val="0"/>
              <w:widowControl/>
              <w:suppressLineNumbers w:val="0"/>
              <w:jc w:val="both"/>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1、用途：用于明场细胞计数；活细胞，死细胞精确计数；台盼蓝染色计数；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★2、样品无残留。采用移液器直接加样计数，无需一次性细胞计数板、玻璃计数板和血球计数板等耗材，测试完成可一步擦净2通道样品台；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w:t>
            </w:r>
            <w:r>
              <w:rPr>
                <w:rFonts w:hint="eastAsia"/>
                <w:lang w:val="en-US" w:eastAsia="zh-CN"/>
              </w:rPr>
              <w:t>须具备</w:t>
            </w:r>
            <w:r>
              <w:rPr>
                <w:rFonts w:hint="eastAsia" w:ascii="宋体" w:hAnsi="宋体" w:eastAsia="宋体" w:cs="宋体"/>
                <w:i w:val="0"/>
                <w:iCs w:val="0"/>
                <w:color w:val="000000"/>
                <w:kern w:val="0"/>
                <w:sz w:val="24"/>
                <w:szCs w:val="24"/>
                <w:u w:val="none"/>
                <w:lang w:val="en-US" w:eastAsia="zh-CN" w:bidi="ar"/>
              </w:rPr>
              <w:t>神经网络图像分析算法：采用大数据集研发的AI人工智能学习算法，可对形态不规则、聚团成簇、大小不均及小细胞进行高精度识别；</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4、样品量：至少支持同时检测2个样品；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5、光学通道：明场、台盼蓝；</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★6、检测浓度范围：1×10</w:t>
            </w:r>
            <w:r>
              <w:rPr>
                <w:rFonts w:hint="eastAsia" w:ascii="宋体" w:hAnsi="宋体" w:eastAsia="宋体" w:cs="宋体"/>
                <w:i w:val="0"/>
                <w:iCs w:val="0"/>
                <w:color w:val="000000"/>
                <w:kern w:val="0"/>
                <w:sz w:val="24"/>
                <w:szCs w:val="24"/>
                <w:u w:val="none"/>
                <w:vertAlign w:val="superscript"/>
                <w:lang w:val="en-US" w:eastAsia="zh-CN" w:bidi="ar"/>
              </w:rPr>
              <w:t>4</w:t>
            </w:r>
            <w:r>
              <w:rPr>
                <w:rFonts w:hint="eastAsia" w:ascii="宋体" w:hAnsi="宋体" w:eastAsia="宋体" w:cs="宋体"/>
                <w:i w:val="0"/>
                <w:iCs w:val="0"/>
                <w:color w:val="000000"/>
                <w:kern w:val="0"/>
                <w:sz w:val="24"/>
                <w:szCs w:val="24"/>
                <w:u w:val="none"/>
                <w:lang w:val="en-US" w:eastAsia="zh-CN" w:bidi="ar"/>
              </w:rPr>
              <w:t>–3×10</w:t>
            </w:r>
            <w:r>
              <w:rPr>
                <w:rFonts w:hint="eastAsia" w:ascii="宋体" w:hAnsi="宋体" w:eastAsia="宋体" w:cs="宋体"/>
                <w:i w:val="0"/>
                <w:iCs w:val="0"/>
                <w:color w:val="000000"/>
                <w:kern w:val="0"/>
                <w:sz w:val="24"/>
                <w:szCs w:val="24"/>
                <w:u w:val="none"/>
                <w:vertAlign w:val="superscript"/>
                <w:lang w:val="en-US" w:eastAsia="zh-CN" w:bidi="ar"/>
              </w:rPr>
              <w:t>7</w:t>
            </w:r>
            <w:r>
              <w:rPr>
                <w:rFonts w:hint="eastAsia" w:ascii="宋体" w:hAnsi="宋体" w:eastAsia="宋体" w:cs="宋体"/>
                <w:i w:val="0"/>
                <w:iCs w:val="0"/>
                <w:color w:val="000000"/>
                <w:kern w:val="0"/>
                <w:sz w:val="24"/>
                <w:szCs w:val="24"/>
                <w:u w:val="none"/>
                <w:lang w:val="en-US" w:eastAsia="zh-CN" w:bidi="ar"/>
              </w:rPr>
              <w:t>cells/ml；</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7、细胞直径范围：2–200um；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★8、拍照视野：1、3、4、5可选；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9、物镜倍数：不低于4X；</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10、样品体积：不低于20ul；</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11、明场照明：白光LED；</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12、对焦方式：自动聚焦/手动聚焦；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13、成像元件：不低于630万像素cmos相机。</w:t>
            </w:r>
          </w:p>
        </w:tc>
        <w:tc>
          <w:tcPr>
            <w:tcW w:w="629" w:type="pct"/>
            <w:noWrap w:val="0"/>
            <w:vAlign w:val="center"/>
          </w:tcPr>
          <w:p w14:paraId="2A4F0051">
            <w:pPr>
              <w:keepNext w:val="0"/>
              <w:keepLines w:val="0"/>
              <w:widowControl/>
              <w:suppressLineNumbers w:val="0"/>
              <w:jc w:val="center"/>
              <w:textAlignment w:val="center"/>
              <w:rPr>
                <w:rFonts w:hint="eastAsia" w:ascii="宋体" w:hAnsi="宋体" w:eastAsia="宋体" w:cs="宋体"/>
                <w:bCs/>
                <w:sz w:val="24"/>
                <w:szCs w:val="24"/>
              </w:rPr>
            </w:pPr>
            <w:r>
              <w:rPr>
                <w:rFonts w:hint="eastAsia" w:ascii="宋体" w:hAnsi="宋体" w:eastAsia="宋体" w:cs="宋体"/>
                <w:i w:val="0"/>
                <w:iCs w:val="0"/>
                <w:color w:val="000000"/>
                <w:kern w:val="0"/>
                <w:sz w:val="24"/>
                <w:szCs w:val="24"/>
                <w:u w:val="none"/>
                <w:lang w:val="en-US" w:eastAsia="zh-CN" w:bidi="ar"/>
              </w:rPr>
              <w:t>1台</w:t>
            </w:r>
          </w:p>
        </w:tc>
        <w:tc>
          <w:tcPr>
            <w:tcW w:w="380" w:type="pct"/>
            <w:noWrap w:val="0"/>
            <w:vAlign w:val="center"/>
          </w:tcPr>
          <w:p w14:paraId="3916B22F">
            <w:pPr>
              <w:keepNext w:val="0"/>
              <w:keepLines w:val="0"/>
              <w:pageBreakBefore w:val="0"/>
              <w:kinsoku/>
              <w:wordWrap/>
              <w:overflowPunct/>
              <w:topLinePunct w:val="0"/>
              <w:bidi w:val="0"/>
              <w:snapToGrid/>
              <w:spacing w:line="360" w:lineRule="auto"/>
              <w:jc w:val="center"/>
              <w:rPr>
                <w:rFonts w:hint="eastAsia" w:ascii="宋体" w:hAnsi="宋体" w:eastAsia="宋体" w:cs="宋体"/>
                <w:bCs/>
                <w:sz w:val="24"/>
                <w:szCs w:val="24"/>
              </w:rPr>
            </w:pPr>
          </w:p>
        </w:tc>
      </w:tr>
      <w:tr w14:paraId="0259F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2" w:type="pct"/>
            <w:noWrap w:val="0"/>
            <w:vAlign w:val="center"/>
          </w:tcPr>
          <w:p w14:paraId="2C9120E2">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4</w:t>
            </w:r>
          </w:p>
        </w:tc>
        <w:tc>
          <w:tcPr>
            <w:tcW w:w="580" w:type="pct"/>
            <w:noWrap w:val="0"/>
            <w:vAlign w:val="center"/>
          </w:tcPr>
          <w:p w14:paraId="13570864">
            <w:pPr>
              <w:keepNext w:val="0"/>
              <w:keepLines w:val="0"/>
              <w:widowControl/>
              <w:suppressLineNumbers w:val="0"/>
              <w:jc w:val="center"/>
              <w:textAlignment w:val="center"/>
              <w:rPr>
                <w:rFonts w:hint="eastAsia" w:ascii="宋体" w:hAnsi="宋体" w:eastAsia="宋体" w:cs="宋体"/>
                <w:bCs/>
                <w:sz w:val="24"/>
                <w:szCs w:val="24"/>
                <w:highlight w:val="none"/>
              </w:rPr>
            </w:pPr>
            <w:r>
              <w:rPr>
                <w:rFonts w:hint="eastAsia" w:ascii="宋体" w:hAnsi="宋体" w:eastAsia="宋体" w:cs="宋体"/>
                <w:i w:val="0"/>
                <w:iCs w:val="0"/>
                <w:color w:val="000000"/>
                <w:kern w:val="0"/>
                <w:sz w:val="24"/>
                <w:szCs w:val="24"/>
                <w:u w:val="none"/>
                <w:lang w:val="en-US" w:eastAsia="zh-CN" w:bidi="ar"/>
              </w:rPr>
              <w:t>工业除湿机</w:t>
            </w:r>
          </w:p>
        </w:tc>
        <w:tc>
          <w:tcPr>
            <w:tcW w:w="2957" w:type="pct"/>
            <w:noWrap w:val="0"/>
            <w:vAlign w:val="center"/>
          </w:tcPr>
          <w:p w14:paraId="253C2787">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1、适用面积≥100平方米</w:t>
            </w:r>
          </w:p>
          <w:p w14:paraId="511E7E46">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2、功能：具有湿度监测功能，水满停机，具有万向轮</w:t>
            </w:r>
          </w:p>
          <w:p w14:paraId="4B46F69F">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3、排水方式：下排水</w:t>
            </w:r>
          </w:p>
          <w:p w14:paraId="513E42A5">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4、除湿原理：压缩机式</w:t>
            </w:r>
          </w:p>
          <w:p w14:paraId="6A821778">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5、日除湿量：≥50L</w:t>
            </w:r>
          </w:p>
          <w:p w14:paraId="4D044D06">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6、噪声：≤80dB</w:t>
            </w:r>
          </w:p>
          <w:p w14:paraId="4F96BF5D">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7、净化方式：负离子净化</w:t>
            </w:r>
          </w:p>
          <w:p w14:paraId="55A147BD">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8、定时功能：支持定时功能</w:t>
            </w:r>
          </w:p>
          <w:p w14:paraId="6E6E7F86">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9、操控方式：触控式</w:t>
            </w:r>
          </w:p>
          <w:p w14:paraId="2802F7BF">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10、水箱容量：≥10L（可外接连接排水）</w:t>
            </w:r>
          </w:p>
          <w:p w14:paraId="63632621">
            <w:pPr>
              <w:keepNext w:val="0"/>
              <w:keepLines w:val="0"/>
              <w:widowControl/>
              <w:suppressLineNumbers w:val="0"/>
              <w:jc w:val="both"/>
              <w:textAlignment w:val="center"/>
              <w:rPr>
                <w:rFonts w:hint="eastAsia" w:ascii="宋体" w:hAnsi="宋体" w:eastAsia="宋体" w:cs="宋体"/>
                <w:bCs/>
                <w:sz w:val="24"/>
                <w:szCs w:val="24"/>
              </w:rPr>
            </w:pPr>
            <w:r>
              <w:rPr>
                <w:rFonts w:hint="eastAsia" w:ascii="宋体" w:hAnsi="宋体" w:eastAsia="宋体" w:cs="宋体"/>
                <w:i w:val="0"/>
                <w:iCs w:val="0"/>
                <w:color w:val="000000"/>
                <w:kern w:val="0"/>
                <w:sz w:val="24"/>
                <w:szCs w:val="24"/>
                <w:u w:val="none"/>
                <w:lang w:val="en-US" w:eastAsia="zh-CN" w:bidi="ar"/>
              </w:rPr>
              <w:t>11、产品尺寸：≥长450mm*宽350mm*高600mm</w:t>
            </w:r>
          </w:p>
        </w:tc>
        <w:tc>
          <w:tcPr>
            <w:tcW w:w="629" w:type="pct"/>
            <w:noWrap w:val="0"/>
            <w:vAlign w:val="center"/>
          </w:tcPr>
          <w:p w14:paraId="1EF11062">
            <w:pPr>
              <w:keepNext w:val="0"/>
              <w:keepLines w:val="0"/>
              <w:widowControl/>
              <w:suppressLineNumbers w:val="0"/>
              <w:jc w:val="center"/>
              <w:textAlignment w:val="center"/>
              <w:rPr>
                <w:rFonts w:hint="eastAsia" w:ascii="宋体" w:hAnsi="宋体" w:eastAsia="宋体" w:cs="宋体"/>
                <w:bCs/>
                <w:sz w:val="24"/>
                <w:szCs w:val="24"/>
              </w:rPr>
            </w:pPr>
            <w:r>
              <w:rPr>
                <w:rFonts w:hint="eastAsia" w:ascii="宋体" w:hAnsi="宋体" w:eastAsia="宋体" w:cs="宋体"/>
                <w:i w:val="0"/>
                <w:iCs w:val="0"/>
                <w:color w:val="000000"/>
                <w:kern w:val="0"/>
                <w:sz w:val="24"/>
                <w:szCs w:val="24"/>
                <w:u w:val="none"/>
                <w:lang w:val="en-US" w:eastAsia="zh-CN" w:bidi="ar"/>
              </w:rPr>
              <w:t>5台</w:t>
            </w:r>
          </w:p>
        </w:tc>
        <w:tc>
          <w:tcPr>
            <w:tcW w:w="380" w:type="pct"/>
            <w:noWrap w:val="0"/>
            <w:vAlign w:val="center"/>
          </w:tcPr>
          <w:p w14:paraId="59C5D0BF">
            <w:pPr>
              <w:keepNext w:val="0"/>
              <w:keepLines w:val="0"/>
              <w:pageBreakBefore w:val="0"/>
              <w:kinsoku/>
              <w:wordWrap/>
              <w:overflowPunct/>
              <w:topLinePunct w:val="0"/>
              <w:bidi w:val="0"/>
              <w:snapToGrid/>
              <w:spacing w:line="360" w:lineRule="auto"/>
              <w:jc w:val="center"/>
              <w:rPr>
                <w:rFonts w:hint="eastAsia" w:ascii="宋体" w:hAnsi="宋体" w:eastAsia="宋体" w:cs="宋体"/>
                <w:bCs/>
                <w:sz w:val="24"/>
                <w:szCs w:val="24"/>
              </w:rPr>
            </w:pPr>
          </w:p>
        </w:tc>
      </w:tr>
      <w:tr w14:paraId="38EF5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2" w:type="pct"/>
            <w:noWrap w:val="0"/>
            <w:vAlign w:val="center"/>
          </w:tcPr>
          <w:p w14:paraId="69C9B99B">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5</w:t>
            </w:r>
          </w:p>
        </w:tc>
        <w:tc>
          <w:tcPr>
            <w:tcW w:w="580" w:type="pct"/>
            <w:noWrap w:val="0"/>
            <w:vAlign w:val="center"/>
          </w:tcPr>
          <w:p w14:paraId="1308262F">
            <w:pPr>
              <w:keepNext w:val="0"/>
              <w:keepLines w:val="0"/>
              <w:widowControl/>
              <w:suppressLineNumbers w:val="0"/>
              <w:jc w:val="center"/>
              <w:textAlignment w:val="center"/>
              <w:rPr>
                <w:rFonts w:hint="eastAsia" w:ascii="宋体" w:hAnsi="宋体" w:eastAsia="宋体" w:cs="宋体"/>
                <w:bCs/>
                <w:sz w:val="24"/>
                <w:szCs w:val="24"/>
              </w:rPr>
            </w:pPr>
            <w:r>
              <w:rPr>
                <w:rFonts w:hint="eastAsia" w:ascii="宋体" w:hAnsi="宋体" w:eastAsia="宋体" w:cs="宋体"/>
                <w:i w:val="0"/>
                <w:iCs w:val="0"/>
                <w:color w:val="000000"/>
                <w:kern w:val="0"/>
                <w:sz w:val="24"/>
                <w:szCs w:val="24"/>
                <w:u w:val="none"/>
                <w:lang w:val="en-US" w:eastAsia="zh-CN" w:bidi="ar"/>
              </w:rPr>
              <w:t>呼吸门控-闭环迷走神经调控系统</w:t>
            </w:r>
          </w:p>
        </w:tc>
        <w:tc>
          <w:tcPr>
            <w:tcW w:w="2957" w:type="pct"/>
            <w:noWrap w:val="0"/>
            <w:vAlign w:val="center"/>
          </w:tcPr>
          <w:p w14:paraId="5F208089">
            <w:pPr>
              <w:keepNext w:val="0"/>
              <w:keepLines w:val="0"/>
              <w:widowControl/>
              <w:suppressLineNumbers w:val="0"/>
              <w:jc w:val="both"/>
              <w:textAlignment w:val="center"/>
              <w:rPr>
                <w:rStyle w:val="4"/>
                <w:rFonts w:hint="eastAsia" w:ascii="宋体" w:hAnsi="宋体" w:eastAsia="宋体" w:cs="宋体"/>
                <w:i w:val="0"/>
                <w:iCs w:val="0"/>
                <w:sz w:val="24"/>
                <w:szCs w:val="24"/>
                <w:lang w:val="en-US" w:eastAsia="zh-CN" w:bidi="ar"/>
              </w:rPr>
            </w:pPr>
            <w:r>
              <w:rPr>
                <w:rFonts w:hint="eastAsia" w:ascii="宋体" w:hAnsi="宋体" w:eastAsia="宋体" w:cs="宋体"/>
                <w:i w:val="0"/>
                <w:iCs w:val="0"/>
                <w:color w:val="000000"/>
                <w:kern w:val="0"/>
                <w:sz w:val="24"/>
                <w:szCs w:val="24"/>
                <w:u w:val="none"/>
                <w:lang w:val="en-US" w:eastAsia="zh-CN" w:bidi="ar"/>
              </w:rPr>
              <w:t>技术参数：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★1、刺激参数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脉宽：0.1ms～0.5ms；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频率：1Hz～120Hz；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脉宽、频率、刺激时间可调。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2、电极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(1)材质：不锈钢、硅胶；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(2)形态：耳廓形态；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(3)尺寸规格：电极导线长度：1500mm±15%，电极导线两个金属触点宽2.9mm±5%、直径4.5mm±5%；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★(4)阻抗：电极阻抗不超过4kΩ±10%；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3、刺激器电极最大允许输出限制：电极最大允许输出电压不超过110V；</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4、输出电流的限值：≤50mA(500Ω负载阻抗)；</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★5、软件参数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(1)须具备自动识别硬件及其接口；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(2)具有软件调节刺激强度、刺激频率等参数；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(3)须具有与呼吸设备协同实现呼吸门控迷走神经调控，</w:t>
            </w:r>
            <w:r>
              <w:rPr>
                <w:rFonts w:hint="eastAsia" w:ascii="宋体" w:hAnsi="宋体" w:eastAsia="宋体" w:cs="宋体"/>
                <w:b/>
                <w:bCs/>
                <w:i w:val="0"/>
                <w:iCs w:val="0"/>
                <w:color w:val="000000"/>
                <w:kern w:val="0"/>
                <w:sz w:val="24"/>
                <w:szCs w:val="24"/>
                <w:u w:val="none"/>
                <w:lang w:val="en-US" w:eastAsia="zh-CN" w:bidi="ar"/>
              </w:rPr>
              <w:t>参选文件中须提供软著复印件或扫描件作为证明材料；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6、电池</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(1)重量：约44g；</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(2)续航时长：不低于8小时；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配置清单：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刺激仪主机(1台)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耳部电极(1根)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无线心电&amp;呼吸传感器(1套)</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传感器延长线(2根)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电极片(3包)</w:t>
            </w:r>
          </w:p>
        </w:tc>
        <w:tc>
          <w:tcPr>
            <w:tcW w:w="629" w:type="pct"/>
            <w:noWrap w:val="0"/>
            <w:vAlign w:val="center"/>
          </w:tcPr>
          <w:p w14:paraId="4B031108">
            <w:pPr>
              <w:keepNext w:val="0"/>
              <w:keepLines w:val="0"/>
              <w:widowControl/>
              <w:suppressLineNumbers w:val="0"/>
              <w:jc w:val="center"/>
              <w:textAlignment w:val="center"/>
              <w:rPr>
                <w:rFonts w:hint="eastAsia" w:ascii="宋体" w:hAnsi="宋体" w:eastAsia="宋体" w:cs="宋体"/>
                <w:bCs/>
                <w:sz w:val="24"/>
                <w:szCs w:val="24"/>
              </w:rPr>
            </w:pPr>
            <w:r>
              <w:rPr>
                <w:rFonts w:hint="eastAsia" w:ascii="宋体" w:hAnsi="宋体" w:eastAsia="宋体" w:cs="宋体"/>
                <w:i w:val="0"/>
                <w:iCs w:val="0"/>
                <w:color w:val="000000"/>
                <w:kern w:val="0"/>
                <w:sz w:val="24"/>
                <w:szCs w:val="24"/>
                <w:u w:val="none"/>
                <w:lang w:val="en-US" w:eastAsia="zh-CN" w:bidi="ar"/>
              </w:rPr>
              <w:t>1台</w:t>
            </w:r>
          </w:p>
        </w:tc>
        <w:tc>
          <w:tcPr>
            <w:tcW w:w="380" w:type="pct"/>
            <w:noWrap w:val="0"/>
            <w:vAlign w:val="center"/>
          </w:tcPr>
          <w:p w14:paraId="74495A78">
            <w:pPr>
              <w:keepNext w:val="0"/>
              <w:keepLines w:val="0"/>
              <w:pageBreakBefore w:val="0"/>
              <w:kinsoku/>
              <w:wordWrap/>
              <w:overflowPunct/>
              <w:topLinePunct w:val="0"/>
              <w:bidi w:val="0"/>
              <w:snapToGrid/>
              <w:spacing w:line="360" w:lineRule="auto"/>
              <w:jc w:val="center"/>
              <w:rPr>
                <w:rFonts w:hint="eastAsia" w:ascii="宋体" w:hAnsi="宋体" w:eastAsia="宋体" w:cs="宋体"/>
                <w:bCs/>
                <w:sz w:val="24"/>
                <w:szCs w:val="24"/>
              </w:rPr>
            </w:pPr>
          </w:p>
        </w:tc>
      </w:tr>
      <w:tr w14:paraId="357CD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452" w:type="pct"/>
            <w:noWrap w:val="0"/>
            <w:vAlign w:val="center"/>
          </w:tcPr>
          <w:p w14:paraId="30C6D557">
            <w:pPr>
              <w:keepNext w:val="0"/>
              <w:keepLines w:val="0"/>
              <w:pageBreakBefore w:val="0"/>
              <w:widowControl/>
              <w:suppressLineNumbers w:val="0"/>
              <w:kinsoku/>
              <w:wordWrap/>
              <w:overflowPunct/>
              <w:topLinePunct w:val="0"/>
              <w:bidi w:val="0"/>
              <w:snapToGrid/>
              <w:spacing w:line="360" w:lineRule="auto"/>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6</w:t>
            </w:r>
          </w:p>
        </w:tc>
        <w:tc>
          <w:tcPr>
            <w:tcW w:w="580" w:type="pct"/>
            <w:noWrap w:val="0"/>
            <w:vAlign w:val="center"/>
          </w:tcPr>
          <w:p w14:paraId="16135965">
            <w:pPr>
              <w:keepNext w:val="0"/>
              <w:keepLines w:val="0"/>
              <w:widowControl/>
              <w:suppressLineNumbers w:val="0"/>
              <w:jc w:val="center"/>
              <w:textAlignment w:val="center"/>
              <w:rPr>
                <w:rFonts w:hint="eastAsia" w:ascii="宋体" w:hAnsi="宋体" w:eastAsia="宋体" w:cs="宋体"/>
                <w:bCs/>
                <w:sz w:val="24"/>
                <w:szCs w:val="24"/>
              </w:rPr>
            </w:pPr>
            <w:r>
              <w:rPr>
                <w:rFonts w:hint="eastAsia" w:ascii="宋体" w:hAnsi="宋体" w:eastAsia="宋体" w:cs="宋体"/>
                <w:i w:val="0"/>
                <w:iCs w:val="0"/>
                <w:color w:val="000000"/>
                <w:kern w:val="0"/>
                <w:sz w:val="24"/>
                <w:szCs w:val="24"/>
                <w:u w:val="none"/>
                <w:lang w:val="en-US" w:eastAsia="zh-CN" w:bidi="ar"/>
              </w:rPr>
              <w:t>电极帽</w:t>
            </w:r>
          </w:p>
        </w:tc>
        <w:tc>
          <w:tcPr>
            <w:tcW w:w="2957" w:type="pct"/>
            <w:noWrap w:val="0"/>
            <w:vAlign w:val="center"/>
          </w:tcPr>
          <w:p w14:paraId="1EA24897">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1、导联数：64导联    </w:t>
            </w:r>
          </w:p>
          <w:p w14:paraId="66D299D3">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2、尺码：中号（54-62cm）</w:t>
            </w:r>
          </w:p>
          <w:p w14:paraId="153CD5F6">
            <w:pPr>
              <w:keepNext w:val="0"/>
              <w:keepLines w:val="0"/>
              <w:widowControl/>
              <w:suppressLineNumbers w:val="0"/>
              <w:jc w:val="both"/>
              <w:textAlignment w:val="center"/>
              <w:rPr>
                <w:rFonts w:hint="eastAsia" w:ascii="宋体" w:hAnsi="宋体" w:eastAsia="宋体" w:cs="宋体"/>
                <w:bCs/>
                <w:sz w:val="24"/>
                <w:szCs w:val="24"/>
              </w:rPr>
            </w:pPr>
            <w:r>
              <w:rPr>
                <w:rFonts w:hint="eastAsia" w:ascii="宋体" w:hAnsi="宋体" w:eastAsia="宋体" w:cs="宋体"/>
                <w:i w:val="0"/>
                <w:iCs w:val="0"/>
                <w:color w:val="000000"/>
                <w:kern w:val="0"/>
                <w:sz w:val="24"/>
                <w:szCs w:val="24"/>
                <w:u w:val="none"/>
                <w:lang w:val="en-US" w:eastAsia="zh-CN" w:bidi="ar"/>
              </w:rPr>
              <w:t>3、适配neuroscan放大器配置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4、标准的银/氯化银（Ag/AgCl）电极可削减DC漂移。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5、高弹性的帽子对各种头型和尺寸都能适用。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6、中号成人的尺寸包括了其他帽子的两种尺寸。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7、电极被包裹在软橡胶内固定。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8、线须都在外部，定位简便，电极不容易短路。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9、电极清楚地标注在帽子上，不是在放大器的接口上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10、帽子在下颌处收紧，不是在喉咙或者用胸带固定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11、使用碳纤维电极即可用于fMRI环境</w:t>
            </w:r>
          </w:p>
        </w:tc>
        <w:tc>
          <w:tcPr>
            <w:tcW w:w="629" w:type="pct"/>
            <w:noWrap w:val="0"/>
            <w:vAlign w:val="center"/>
          </w:tcPr>
          <w:p w14:paraId="43E25BF2">
            <w:pPr>
              <w:keepNext w:val="0"/>
              <w:keepLines w:val="0"/>
              <w:pageBreakBefore w:val="0"/>
              <w:kinsoku/>
              <w:wordWrap/>
              <w:overflowPunct/>
              <w:topLinePunct w:val="0"/>
              <w:bidi w:val="0"/>
              <w:snapToGrid/>
              <w:spacing w:line="360" w:lineRule="auto"/>
              <w:jc w:val="center"/>
              <w:rPr>
                <w:rFonts w:hint="eastAsia" w:ascii="宋体" w:hAnsi="宋体" w:eastAsia="宋体" w:cs="宋体"/>
                <w:bCs/>
                <w:sz w:val="24"/>
                <w:szCs w:val="24"/>
              </w:rPr>
            </w:pPr>
            <w:r>
              <w:rPr>
                <w:rFonts w:hint="eastAsia" w:ascii="宋体" w:hAnsi="宋体" w:eastAsia="宋体" w:cs="宋体"/>
                <w:bCs/>
                <w:sz w:val="24"/>
                <w:szCs w:val="24"/>
                <w:highlight w:val="none"/>
                <w:lang w:val="en-US" w:eastAsia="zh-CN"/>
              </w:rPr>
              <w:t>4个</w:t>
            </w:r>
          </w:p>
        </w:tc>
        <w:tc>
          <w:tcPr>
            <w:tcW w:w="380" w:type="pct"/>
            <w:noWrap w:val="0"/>
            <w:vAlign w:val="center"/>
          </w:tcPr>
          <w:p w14:paraId="5152DE22">
            <w:pPr>
              <w:keepNext w:val="0"/>
              <w:keepLines w:val="0"/>
              <w:pageBreakBefore w:val="0"/>
              <w:kinsoku/>
              <w:wordWrap/>
              <w:overflowPunct/>
              <w:topLinePunct w:val="0"/>
              <w:bidi w:val="0"/>
              <w:snapToGrid/>
              <w:spacing w:line="360" w:lineRule="auto"/>
              <w:jc w:val="center"/>
              <w:rPr>
                <w:rFonts w:hint="eastAsia" w:ascii="宋体" w:hAnsi="宋体" w:eastAsia="宋体" w:cs="宋体"/>
                <w:bCs/>
                <w:sz w:val="24"/>
                <w:szCs w:val="24"/>
              </w:rPr>
            </w:pPr>
          </w:p>
        </w:tc>
      </w:tr>
    </w:tbl>
    <w:p w14:paraId="43823D7D">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lang w:val="en-US" w:eastAsia="zh-CN"/>
        </w:rPr>
        <w:t>三</w:t>
      </w:r>
      <w:r>
        <w:rPr>
          <w:rFonts w:hint="eastAsia" w:ascii="宋体" w:hAnsi="宋体" w:cs="宋体"/>
          <w:b/>
          <w:bCs/>
          <w:color w:val="000000"/>
          <w:sz w:val="24"/>
          <w:szCs w:val="24"/>
        </w:rPr>
        <w:t>、报价要求</w:t>
      </w:r>
    </w:p>
    <w:p w14:paraId="41322B56">
      <w:r>
        <w:rPr>
          <w:rFonts w:hint="eastAsia" w:ascii="宋体" w:hAnsi="宋体" w:cs="宋体"/>
          <w:color w:val="000000"/>
          <w:sz w:val="24"/>
          <w:szCs w:val="24"/>
        </w:rPr>
        <w:t>本项目报总价，比选报价包括本项目需求（包含比选文件要求内容、参选文件承诺内容、评审过程澄清修改内容等）的全部货物及所需附件购置费、包装费、运输费、人工费、保险费、安装调试费、各种税费、资料费、售后服务费及完成项目应有的全部费用，中选后比选</w:t>
      </w:r>
      <w:r>
        <w:rPr>
          <w:rFonts w:hint="eastAsia" w:ascii="宋体" w:hAnsi="宋体" w:cs="宋体"/>
          <w:color w:val="000000"/>
          <w:sz w:val="24"/>
          <w:szCs w:val="24"/>
          <w:lang w:val="en-US" w:eastAsia="zh-CN"/>
        </w:rPr>
        <w:t>人</w:t>
      </w:r>
      <w:r>
        <w:rPr>
          <w:rFonts w:hint="eastAsia" w:ascii="宋体" w:hAnsi="宋体" w:cs="宋体"/>
          <w:color w:val="000000"/>
          <w:sz w:val="24"/>
          <w:szCs w:val="24"/>
        </w:rPr>
        <w:t>不再另行支付任何费用，</w:t>
      </w:r>
      <w:r>
        <w:rPr>
          <w:rFonts w:hint="eastAsia" w:ascii="宋体" w:hAnsi="宋体" w:cs="宋体"/>
          <w:b/>
          <w:bCs/>
          <w:color w:val="000000"/>
          <w:sz w:val="24"/>
          <w:szCs w:val="24"/>
        </w:rPr>
        <w:t>比选分项报价表中须明确列出所投产品所含货物名称、品牌、型号规格、原产地及生产厂商，否则可能导致响应无效。</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1E455E"/>
    <w:rsid w:val="031E45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宋体" w:cs="@仿宋_GB2312"/>
      <w:kern w:val="2"/>
      <w:sz w:val="21"/>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01"/>
    <w:basedOn w:val="3"/>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2025-08-15T08:52:00Z</dcterms:created>
  <dc:creator>森</dc:creator>
  <cp:lastModifiedBy>森</cp:lastModifiedBy>
  <dcterms:modified xsi:type="dcterms:W3CDTF">2025-08-15T08:53:15Z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F2B330041F4644109BAE23403D6DCA39_11</vt:lpwstr>
  </property>
  <property fmtid="{D5CDD505-2E9C-101B-9397-08002B2CF9AE}" pid="4" name="KSOTemplateDocerSaveRecord">
    <vt:lpwstr>eyJoZGlkIjoiOTc3M2Y5NzIzMDFlZjAyY2Q4Njk5ODkyYjFjNzBiNTQiLCJ1c2VySWQiOiI0MzAwMTYzNzkifQ==</vt:lpwstr>
  </property>
</Properties>
</file>