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07CA9F">
      <w:pPr>
        <w:wordWrap w:val="0"/>
        <w:spacing w:line="360" w:lineRule="auto"/>
        <w:jc w:val="center"/>
        <w:outlineLvl w:val="1"/>
        <w:rPr>
          <w:rFonts w:hint="eastAsia" w:ascii="华文中宋" w:hAnsi="华文中宋" w:eastAsia="华文中宋" w:cs="Times New Roman"/>
          <w:b/>
          <w:bCs/>
          <w:kern w:val="44"/>
          <w:sz w:val="44"/>
          <w:szCs w:val="44"/>
        </w:rPr>
      </w:pPr>
      <w:bookmarkStart w:id="0" w:name="_Toc17224"/>
      <w:r>
        <w:rPr>
          <w:rFonts w:hint="eastAsia" w:ascii="华文中宋" w:hAnsi="华文中宋" w:eastAsia="华文中宋" w:cs="Times New Roman"/>
          <w:b/>
          <w:bCs/>
          <w:kern w:val="44"/>
          <w:sz w:val="44"/>
          <w:szCs w:val="44"/>
        </w:rPr>
        <w:t>第三章  采购需求</w:t>
      </w:r>
      <w:bookmarkEnd w:id="0"/>
    </w:p>
    <w:p w14:paraId="2EF42563">
      <w:pPr>
        <w:wordWrap w:val="0"/>
        <w:spacing w:line="360" w:lineRule="auto"/>
        <w:rPr>
          <w:rFonts w:ascii="宋体" w:hAnsi="宋体" w:eastAsia="宋体"/>
          <w:b/>
          <w:sz w:val="24"/>
        </w:rPr>
      </w:pPr>
      <w:r>
        <w:rPr>
          <w:rFonts w:hint="eastAsia" w:ascii="宋体" w:hAnsi="宋体" w:eastAsia="宋体"/>
          <w:b/>
          <w:sz w:val="24"/>
        </w:rPr>
        <w:t>前注：</w:t>
      </w:r>
    </w:p>
    <w:p w14:paraId="2615D7FC">
      <w:pPr>
        <w:wordWrap w:val="0"/>
        <w:spacing w:line="360" w:lineRule="auto"/>
        <w:ind w:firstLine="480" w:firstLineChars="200"/>
        <w:rPr>
          <w:rFonts w:hint="eastAsia" w:ascii="宋体" w:hAnsi="宋体" w:eastAsia="宋体"/>
          <w:sz w:val="24"/>
        </w:rPr>
      </w:pPr>
      <w:r>
        <w:rPr>
          <w:rFonts w:ascii="宋体" w:hAnsi="宋体" w:eastAsia="宋体"/>
          <w:sz w:val="24"/>
        </w:rPr>
        <w:t>本采购需求中提出的</w:t>
      </w:r>
      <w:r>
        <w:rPr>
          <w:rFonts w:hint="eastAsia" w:ascii="宋体" w:hAnsi="宋体" w:eastAsia="宋体"/>
          <w:sz w:val="24"/>
        </w:rPr>
        <w:t>工程实施</w:t>
      </w:r>
      <w:r>
        <w:rPr>
          <w:rFonts w:ascii="宋体" w:hAnsi="宋体" w:eastAsia="宋体"/>
          <w:sz w:val="24"/>
        </w:rPr>
        <w:t>方案仅为参考，如无明确限制，</w:t>
      </w:r>
      <w:r>
        <w:rPr>
          <w:rFonts w:hint="eastAsia" w:ascii="宋体" w:hAnsi="宋体" w:eastAsia="宋体"/>
          <w:sz w:val="24"/>
        </w:rPr>
        <w:t>供应商</w:t>
      </w:r>
      <w:r>
        <w:rPr>
          <w:rFonts w:ascii="宋体" w:hAnsi="宋体" w:eastAsia="宋体"/>
          <w:sz w:val="24"/>
        </w:rPr>
        <w:t>可以进行优化，提供满足采购人实际需要的更优（或者性能实质上不低于的）</w:t>
      </w:r>
      <w:r>
        <w:rPr>
          <w:rFonts w:hint="eastAsia" w:ascii="宋体" w:hAnsi="宋体" w:eastAsia="宋体"/>
          <w:sz w:val="24"/>
        </w:rPr>
        <w:t>工程</w:t>
      </w:r>
      <w:r>
        <w:rPr>
          <w:rFonts w:ascii="宋体" w:hAnsi="宋体" w:eastAsia="宋体"/>
          <w:sz w:val="24"/>
        </w:rPr>
        <w:t>实施方案，且此方案须经</w:t>
      </w:r>
      <w:r>
        <w:rPr>
          <w:rFonts w:hint="eastAsia" w:ascii="宋体" w:hAnsi="宋体" w:eastAsia="宋体"/>
          <w:sz w:val="24"/>
        </w:rPr>
        <w:t>磋商小组</w:t>
      </w:r>
      <w:r>
        <w:rPr>
          <w:rFonts w:ascii="宋体" w:hAnsi="宋体" w:eastAsia="宋体"/>
          <w:sz w:val="24"/>
        </w:rPr>
        <w:t>评审认可</w:t>
      </w:r>
      <w:r>
        <w:rPr>
          <w:rFonts w:hint="eastAsia" w:ascii="宋体" w:hAnsi="宋体" w:eastAsia="宋体"/>
          <w:sz w:val="24"/>
        </w:rPr>
        <w:t>。</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1291"/>
        <w:gridCol w:w="6355"/>
      </w:tblGrid>
      <w:tr w14:paraId="75B8D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6C84671B">
            <w:pPr>
              <w:wordWrap w:val="0"/>
              <w:spacing w:line="360" w:lineRule="auto"/>
              <w:jc w:val="center"/>
              <w:rPr>
                <w:rFonts w:ascii="宋体" w:hAnsi="宋体" w:eastAsia="宋体"/>
                <w:b/>
                <w:sz w:val="24"/>
              </w:rPr>
            </w:pPr>
            <w:r>
              <w:rPr>
                <w:rFonts w:hint="eastAsia" w:ascii="宋体" w:hAnsi="宋体" w:eastAsia="宋体"/>
                <w:b/>
                <w:sz w:val="24"/>
              </w:rPr>
              <w:t>序号</w:t>
            </w:r>
          </w:p>
        </w:tc>
        <w:tc>
          <w:tcPr>
            <w:tcW w:w="1291" w:type="dxa"/>
            <w:noWrap w:val="0"/>
            <w:vAlign w:val="center"/>
          </w:tcPr>
          <w:p w14:paraId="66DA480C">
            <w:pPr>
              <w:wordWrap w:val="0"/>
              <w:spacing w:line="360" w:lineRule="auto"/>
              <w:ind w:firstLine="435"/>
              <w:jc w:val="center"/>
              <w:rPr>
                <w:rFonts w:ascii="宋体" w:hAnsi="宋体" w:eastAsia="宋体"/>
                <w:b/>
                <w:sz w:val="24"/>
              </w:rPr>
            </w:pPr>
            <w:r>
              <w:rPr>
                <w:rFonts w:hint="eastAsia" w:ascii="宋体" w:hAnsi="宋体" w:eastAsia="宋体"/>
                <w:b/>
                <w:sz w:val="24"/>
              </w:rPr>
              <w:t>内容</w:t>
            </w:r>
          </w:p>
        </w:tc>
        <w:tc>
          <w:tcPr>
            <w:tcW w:w="6355" w:type="dxa"/>
            <w:noWrap w:val="0"/>
            <w:vAlign w:val="center"/>
          </w:tcPr>
          <w:p w14:paraId="02DB9ADA">
            <w:pPr>
              <w:wordWrap w:val="0"/>
              <w:spacing w:line="360" w:lineRule="auto"/>
              <w:ind w:firstLine="435"/>
              <w:jc w:val="center"/>
              <w:rPr>
                <w:rFonts w:ascii="宋体" w:hAnsi="宋体" w:eastAsia="宋体"/>
                <w:b/>
                <w:sz w:val="24"/>
              </w:rPr>
            </w:pPr>
            <w:r>
              <w:rPr>
                <w:rFonts w:hint="eastAsia" w:ascii="宋体" w:hAnsi="宋体" w:eastAsia="宋体"/>
                <w:b/>
                <w:sz w:val="24"/>
              </w:rPr>
              <w:t>说明和要求</w:t>
            </w:r>
          </w:p>
        </w:tc>
      </w:tr>
      <w:tr w14:paraId="16D6C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3594E7A3">
            <w:pPr>
              <w:wordWrap w:val="0"/>
              <w:spacing w:line="360" w:lineRule="auto"/>
              <w:jc w:val="center"/>
              <w:rPr>
                <w:rFonts w:hint="eastAsia" w:ascii="宋体" w:hAnsi="宋体" w:eastAsia="宋体"/>
                <w:b/>
                <w:sz w:val="24"/>
              </w:rPr>
            </w:pPr>
            <w:r>
              <w:rPr>
                <w:rFonts w:hint="eastAsia" w:ascii="宋体" w:hAnsi="宋体" w:eastAsia="宋体"/>
                <w:bCs/>
                <w:sz w:val="24"/>
              </w:rPr>
              <w:t>1</w:t>
            </w:r>
          </w:p>
        </w:tc>
        <w:tc>
          <w:tcPr>
            <w:tcW w:w="1291" w:type="dxa"/>
            <w:noWrap w:val="0"/>
            <w:vAlign w:val="center"/>
          </w:tcPr>
          <w:p w14:paraId="0E14C206">
            <w:pPr>
              <w:wordWrap w:val="0"/>
              <w:spacing w:line="360" w:lineRule="auto"/>
              <w:rPr>
                <w:rFonts w:hint="eastAsia" w:ascii="宋体" w:hAnsi="宋体" w:eastAsia="宋体"/>
                <w:b/>
                <w:sz w:val="24"/>
              </w:rPr>
            </w:pPr>
            <w:r>
              <w:rPr>
                <w:rFonts w:hint="eastAsia" w:ascii="宋体" w:hAnsi="宋体" w:eastAsia="宋体"/>
                <w:bCs/>
                <w:sz w:val="24"/>
              </w:rPr>
              <w:t>工程地点</w:t>
            </w:r>
          </w:p>
        </w:tc>
        <w:tc>
          <w:tcPr>
            <w:tcW w:w="6355" w:type="dxa"/>
            <w:noWrap w:val="0"/>
            <w:vAlign w:val="center"/>
          </w:tcPr>
          <w:p w14:paraId="633CF11E">
            <w:pPr>
              <w:wordWrap w:val="0"/>
              <w:spacing w:line="360" w:lineRule="auto"/>
              <w:ind w:firstLine="435"/>
              <w:jc w:val="center"/>
              <w:rPr>
                <w:rFonts w:ascii="宋体" w:hAnsi="宋体" w:eastAsia="宋体"/>
                <w:b/>
                <w:sz w:val="24"/>
              </w:rPr>
            </w:pPr>
            <w:r>
              <w:rPr>
                <w:rFonts w:ascii="宋体" w:hAnsi="宋体" w:eastAsia="宋体"/>
                <w:b/>
                <w:sz w:val="24"/>
              </w:rPr>
              <w:t>安徽理工大学</w:t>
            </w:r>
            <w:r>
              <w:rPr>
                <w:rFonts w:hint="eastAsia" w:ascii="宋体" w:hAnsi="宋体" w:eastAsia="宋体"/>
                <w:b/>
                <w:sz w:val="24"/>
              </w:rPr>
              <w:t>淮南</w:t>
            </w:r>
            <w:r>
              <w:rPr>
                <w:rFonts w:ascii="宋体" w:hAnsi="宋体" w:eastAsia="宋体"/>
                <w:b/>
                <w:sz w:val="24"/>
              </w:rPr>
              <w:t>校区院内</w:t>
            </w:r>
            <w:r>
              <w:rPr>
                <w:rFonts w:hint="eastAsia" w:ascii="宋体" w:hAnsi="宋体" w:eastAsia="宋体"/>
                <w:b/>
                <w:sz w:val="24"/>
              </w:rPr>
              <w:t>布于</w:t>
            </w:r>
            <w:r>
              <w:rPr>
                <w:rFonts w:ascii="宋体" w:hAnsi="宋体" w:eastAsia="宋体"/>
                <w:b/>
                <w:sz w:val="24"/>
              </w:rPr>
              <w:t>11栋楼内</w:t>
            </w:r>
          </w:p>
        </w:tc>
      </w:tr>
      <w:tr w14:paraId="24C21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56B9EAE7">
            <w:pPr>
              <w:wordWrap w:val="0"/>
              <w:spacing w:line="360" w:lineRule="auto"/>
              <w:jc w:val="center"/>
              <w:rPr>
                <w:rFonts w:hint="eastAsia" w:ascii="宋体" w:hAnsi="宋体" w:eastAsia="宋体"/>
                <w:b/>
                <w:sz w:val="24"/>
              </w:rPr>
            </w:pPr>
            <w:r>
              <w:rPr>
                <w:rFonts w:hint="eastAsia" w:ascii="宋体" w:hAnsi="宋体" w:eastAsia="宋体"/>
                <w:bCs/>
                <w:sz w:val="24"/>
              </w:rPr>
              <w:t>2</w:t>
            </w:r>
          </w:p>
        </w:tc>
        <w:tc>
          <w:tcPr>
            <w:tcW w:w="1291" w:type="dxa"/>
            <w:noWrap w:val="0"/>
            <w:vAlign w:val="center"/>
          </w:tcPr>
          <w:p w14:paraId="38526F10">
            <w:pPr>
              <w:wordWrap w:val="0"/>
              <w:spacing w:line="360" w:lineRule="auto"/>
              <w:rPr>
                <w:rFonts w:hint="eastAsia" w:ascii="宋体" w:hAnsi="宋体" w:eastAsia="宋体"/>
                <w:b/>
                <w:sz w:val="24"/>
              </w:rPr>
            </w:pPr>
            <w:r>
              <w:rPr>
                <w:rFonts w:hint="eastAsia" w:ascii="宋体" w:hAnsi="宋体" w:eastAsia="宋体"/>
                <w:bCs/>
                <w:sz w:val="24"/>
              </w:rPr>
              <w:t>计划工期</w:t>
            </w:r>
          </w:p>
        </w:tc>
        <w:tc>
          <w:tcPr>
            <w:tcW w:w="6355" w:type="dxa"/>
            <w:noWrap w:val="0"/>
            <w:vAlign w:val="center"/>
          </w:tcPr>
          <w:p w14:paraId="3E9FCB25">
            <w:pPr>
              <w:wordWrap w:val="0"/>
              <w:spacing w:line="360" w:lineRule="auto"/>
              <w:ind w:firstLine="435"/>
              <w:jc w:val="center"/>
              <w:rPr>
                <w:rFonts w:hint="eastAsia" w:ascii="宋体" w:hAnsi="宋体" w:eastAsia="宋体"/>
                <w:b/>
                <w:sz w:val="24"/>
              </w:rPr>
            </w:pPr>
            <w:r>
              <w:rPr>
                <w:rFonts w:hint="eastAsia" w:ascii="宋体" w:hAnsi="宋体" w:eastAsia="宋体"/>
                <w:b/>
                <w:sz w:val="24"/>
              </w:rPr>
              <w:t>4</w:t>
            </w:r>
            <w:r>
              <w:rPr>
                <w:rFonts w:ascii="宋体" w:hAnsi="宋体" w:eastAsia="宋体"/>
                <w:b/>
                <w:sz w:val="24"/>
              </w:rPr>
              <w:t>0日历天</w:t>
            </w:r>
          </w:p>
        </w:tc>
      </w:tr>
      <w:tr w14:paraId="7D226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60A87E71">
            <w:pPr>
              <w:wordWrap w:val="0"/>
              <w:spacing w:line="360" w:lineRule="auto"/>
              <w:jc w:val="center"/>
              <w:rPr>
                <w:rFonts w:hint="eastAsia" w:ascii="宋体" w:hAnsi="宋体" w:eastAsia="宋体"/>
                <w:b/>
                <w:sz w:val="24"/>
              </w:rPr>
            </w:pPr>
            <w:r>
              <w:rPr>
                <w:rFonts w:hint="eastAsia" w:ascii="宋体" w:hAnsi="宋体" w:eastAsia="宋体"/>
                <w:bCs/>
                <w:sz w:val="24"/>
              </w:rPr>
              <w:t>3</w:t>
            </w:r>
          </w:p>
        </w:tc>
        <w:tc>
          <w:tcPr>
            <w:tcW w:w="1291" w:type="dxa"/>
            <w:noWrap w:val="0"/>
            <w:vAlign w:val="center"/>
          </w:tcPr>
          <w:p w14:paraId="42E81DE6">
            <w:pPr>
              <w:wordWrap w:val="0"/>
              <w:spacing w:line="360" w:lineRule="auto"/>
              <w:jc w:val="left"/>
              <w:rPr>
                <w:rFonts w:hint="eastAsia" w:ascii="宋体" w:hAnsi="宋体" w:eastAsia="宋体"/>
                <w:b/>
                <w:sz w:val="24"/>
              </w:rPr>
            </w:pPr>
            <w:r>
              <w:rPr>
                <w:rFonts w:hint="eastAsia" w:ascii="宋体" w:hAnsi="宋体" w:eastAsia="宋体"/>
                <w:bCs/>
                <w:sz w:val="24"/>
              </w:rPr>
              <w:t>工程质量</w:t>
            </w:r>
          </w:p>
        </w:tc>
        <w:tc>
          <w:tcPr>
            <w:tcW w:w="6355" w:type="dxa"/>
            <w:noWrap w:val="0"/>
            <w:vAlign w:val="center"/>
          </w:tcPr>
          <w:p w14:paraId="71682F22">
            <w:pPr>
              <w:wordWrap w:val="0"/>
              <w:spacing w:line="360" w:lineRule="auto"/>
              <w:ind w:firstLine="435"/>
              <w:jc w:val="center"/>
              <w:rPr>
                <w:rFonts w:hint="eastAsia" w:ascii="宋体" w:hAnsi="宋体" w:eastAsia="宋体"/>
                <w:b/>
                <w:sz w:val="24"/>
              </w:rPr>
            </w:pPr>
            <w:r>
              <w:rPr>
                <w:rFonts w:hint="eastAsia" w:ascii="宋体" w:hAnsi="宋体" w:eastAsia="宋体"/>
                <w:b/>
                <w:sz w:val="24"/>
              </w:rPr>
              <w:t>合格</w:t>
            </w:r>
          </w:p>
        </w:tc>
      </w:tr>
      <w:tr w14:paraId="558B7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444736EB">
            <w:pPr>
              <w:wordWrap w:val="0"/>
              <w:spacing w:line="360" w:lineRule="auto"/>
              <w:jc w:val="center"/>
              <w:rPr>
                <w:rFonts w:hint="eastAsia" w:ascii="宋体" w:hAnsi="宋体" w:eastAsia="宋体"/>
                <w:bCs/>
                <w:sz w:val="24"/>
              </w:rPr>
            </w:pPr>
            <w:r>
              <w:rPr>
                <w:rFonts w:hint="eastAsia" w:ascii="宋体" w:hAnsi="宋体" w:eastAsia="宋体"/>
                <w:bCs/>
                <w:sz w:val="24"/>
              </w:rPr>
              <w:t>4</w:t>
            </w:r>
          </w:p>
        </w:tc>
        <w:tc>
          <w:tcPr>
            <w:tcW w:w="1291" w:type="dxa"/>
            <w:noWrap w:val="0"/>
            <w:vAlign w:val="center"/>
          </w:tcPr>
          <w:p w14:paraId="119979BC">
            <w:pPr>
              <w:wordWrap w:val="0"/>
              <w:spacing w:line="360" w:lineRule="auto"/>
              <w:jc w:val="left"/>
              <w:rPr>
                <w:rFonts w:hint="eastAsia" w:ascii="宋体" w:hAnsi="宋体" w:eastAsia="宋体"/>
                <w:bCs/>
                <w:sz w:val="24"/>
              </w:rPr>
            </w:pPr>
            <w:r>
              <w:rPr>
                <w:rFonts w:hint="eastAsia" w:ascii="宋体" w:hAnsi="宋体" w:eastAsia="宋体"/>
                <w:bCs/>
                <w:sz w:val="24"/>
              </w:rPr>
              <w:t>质保期</w:t>
            </w:r>
          </w:p>
        </w:tc>
        <w:tc>
          <w:tcPr>
            <w:tcW w:w="6355" w:type="dxa"/>
            <w:noWrap w:val="0"/>
            <w:vAlign w:val="center"/>
          </w:tcPr>
          <w:p w14:paraId="2686D994">
            <w:pPr>
              <w:wordWrap w:val="0"/>
              <w:spacing w:line="360" w:lineRule="auto"/>
              <w:ind w:firstLine="435"/>
              <w:jc w:val="center"/>
              <w:rPr>
                <w:rFonts w:hint="eastAsia" w:ascii="宋体" w:hAnsi="宋体" w:eastAsia="宋体"/>
                <w:b/>
                <w:sz w:val="24"/>
              </w:rPr>
            </w:pPr>
            <w:r>
              <w:rPr>
                <w:rFonts w:hint="eastAsia" w:ascii="宋体" w:hAnsi="宋体" w:eastAsia="宋体"/>
                <w:b/>
                <w:sz w:val="24"/>
              </w:rPr>
              <w:t>2年</w:t>
            </w:r>
          </w:p>
        </w:tc>
      </w:tr>
      <w:tr w14:paraId="68EBB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4247469F">
            <w:pPr>
              <w:wordWrap w:val="0"/>
              <w:spacing w:line="360" w:lineRule="auto"/>
              <w:jc w:val="center"/>
              <w:rPr>
                <w:rFonts w:hint="eastAsia" w:ascii="宋体" w:hAnsi="宋体" w:eastAsia="宋体"/>
                <w:b/>
                <w:sz w:val="24"/>
              </w:rPr>
            </w:pPr>
            <w:r>
              <w:rPr>
                <w:rFonts w:ascii="宋体" w:hAnsi="宋体" w:eastAsia="宋体"/>
                <w:bCs/>
                <w:sz w:val="24"/>
              </w:rPr>
              <w:t>5</w:t>
            </w:r>
          </w:p>
        </w:tc>
        <w:tc>
          <w:tcPr>
            <w:tcW w:w="1291" w:type="dxa"/>
            <w:noWrap w:val="0"/>
            <w:vAlign w:val="center"/>
          </w:tcPr>
          <w:p w14:paraId="64D520A3">
            <w:pPr>
              <w:wordWrap w:val="0"/>
              <w:spacing w:line="360" w:lineRule="auto"/>
              <w:jc w:val="left"/>
              <w:rPr>
                <w:rFonts w:hint="eastAsia" w:ascii="宋体" w:hAnsi="宋体" w:eastAsia="宋体"/>
                <w:b/>
                <w:sz w:val="24"/>
              </w:rPr>
            </w:pPr>
            <w:r>
              <w:rPr>
                <w:rFonts w:hint="eastAsia" w:ascii="宋体" w:hAnsi="宋体" w:eastAsia="宋体"/>
                <w:bCs/>
                <w:sz w:val="24"/>
              </w:rPr>
              <w:t>付款方式</w:t>
            </w:r>
          </w:p>
        </w:tc>
        <w:tc>
          <w:tcPr>
            <w:tcW w:w="6355" w:type="dxa"/>
            <w:noWrap w:val="0"/>
            <w:vAlign w:val="center"/>
          </w:tcPr>
          <w:p w14:paraId="07DB1782">
            <w:pPr>
              <w:wordWrap w:val="0"/>
              <w:spacing w:line="360" w:lineRule="auto"/>
              <w:ind w:firstLine="435"/>
              <w:jc w:val="center"/>
              <w:rPr>
                <w:rFonts w:hint="eastAsia" w:ascii="宋体" w:hAnsi="宋体" w:eastAsia="宋体"/>
                <w:b/>
                <w:sz w:val="24"/>
              </w:rPr>
            </w:pPr>
            <w:r>
              <w:rPr>
                <w:rFonts w:hint="eastAsia" w:ascii="宋体" w:hAnsi="宋体" w:eastAsia="宋体"/>
                <w:b/>
                <w:sz w:val="24"/>
              </w:rPr>
              <w:t>验收合格、审计后，2周内支付审结金额的1</w:t>
            </w:r>
            <w:r>
              <w:rPr>
                <w:rFonts w:ascii="宋体" w:hAnsi="宋体" w:eastAsia="宋体"/>
                <w:b/>
                <w:sz w:val="24"/>
              </w:rPr>
              <w:t>00%</w:t>
            </w:r>
          </w:p>
        </w:tc>
      </w:tr>
      <w:tr w14:paraId="79BAC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31B89EAF">
            <w:pPr>
              <w:wordWrap w:val="0"/>
              <w:spacing w:line="360" w:lineRule="auto"/>
              <w:jc w:val="center"/>
              <w:rPr>
                <w:rFonts w:hint="eastAsia" w:ascii="宋体" w:hAnsi="宋体" w:eastAsia="宋体"/>
                <w:b/>
                <w:sz w:val="24"/>
              </w:rPr>
            </w:pPr>
            <w:r>
              <w:rPr>
                <w:rFonts w:ascii="宋体" w:hAnsi="宋体" w:eastAsia="宋体"/>
                <w:bCs/>
                <w:sz w:val="24"/>
              </w:rPr>
              <w:t>6</w:t>
            </w:r>
          </w:p>
        </w:tc>
        <w:tc>
          <w:tcPr>
            <w:tcW w:w="1291" w:type="dxa"/>
            <w:noWrap w:val="0"/>
            <w:vAlign w:val="center"/>
          </w:tcPr>
          <w:p w14:paraId="30FBE60F">
            <w:pPr>
              <w:wordWrap w:val="0"/>
              <w:spacing w:line="360" w:lineRule="auto"/>
              <w:jc w:val="center"/>
              <w:rPr>
                <w:rFonts w:hint="eastAsia" w:ascii="宋体" w:hAnsi="宋体" w:eastAsia="宋体"/>
                <w:b/>
                <w:sz w:val="24"/>
              </w:rPr>
            </w:pPr>
            <w:r>
              <w:rPr>
                <w:rFonts w:hint="eastAsia" w:ascii="宋体" w:hAnsi="宋体" w:eastAsia="宋体"/>
                <w:bCs/>
                <w:sz w:val="24"/>
                <w:szCs w:val="18"/>
              </w:rPr>
              <w:t>供应商资格要求</w:t>
            </w:r>
          </w:p>
        </w:tc>
        <w:tc>
          <w:tcPr>
            <w:tcW w:w="6355" w:type="dxa"/>
            <w:noWrap w:val="0"/>
            <w:vAlign w:val="center"/>
          </w:tcPr>
          <w:p w14:paraId="14FE7F12">
            <w:pPr>
              <w:wordWrap w:val="0"/>
              <w:spacing w:line="360" w:lineRule="auto"/>
              <w:rPr>
                <w:rFonts w:hint="eastAsia" w:ascii="宋体" w:hAnsi="宋体" w:eastAsia="宋体"/>
                <w:bCs/>
                <w:sz w:val="24"/>
                <w:szCs w:val="18"/>
              </w:rPr>
            </w:pPr>
            <w:r>
              <w:rPr>
                <w:rFonts w:hint="eastAsia" w:ascii="宋体" w:hAnsi="宋体" w:eastAsia="宋体"/>
                <w:bCs/>
                <w:sz w:val="24"/>
                <w:szCs w:val="18"/>
              </w:rPr>
              <w:t>供应商资质要求：具有有效的建筑装修装饰工程专业承包二级及以上资质，具有有效的安全生产许可证；</w:t>
            </w:r>
          </w:p>
          <w:p w14:paraId="1649ACFF">
            <w:pPr>
              <w:wordWrap w:val="0"/>
              <w:spacing w:line="360" w:lineRule="auto"/>
              <w:rPr>
                <w:rFonts w:hint="eastAsia" w:ascii="宋体" w:hAnsi="宋体" w:eastAsia="宋体"/>
                <w:b/>
                <w:sz w:val="24"/>
              </w:rPr>
            </w:pPr>
            <w:r>
              <w:rPr>
                <w:rFonts w:hint="eastAsia" w:ascii="宋体" w:hAnsi="宋体" w:eastAsia="宋体"/>
                <w:bCs/>
                <w:sz w:val="24"/>
                <w:szCs w:val="18"/>
              </w:rPr>
              <w:t>项目经理资格要求：拟任项目经理具有有效的建筑工程专业二级及以上注册建造师执业资格，并且具有有效的安全生产考核合格证（B证）</w:t>
            </w:r>
            <w:bookmarkStart w:id="1" w:name="_GoBack"/>
            <w:bookmarkEnd w:id="1"/>
          </w:p>
        </w:tc>
      </w:tr>
      <w:tr w14:paraId="0D03A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2B01665A">
            <w:pPr>
              <w:wordWrap w:val="0"/>
              <w:spacing w:line="360" w:lineRule="auto"/>
              <w:jc w:val="center"/>
              <w:rPr>
                <w:rFonts w:hint="eastAsia" w:ascii="宋体" w:hAnsi="宋体" w:eastAsia="宋体"/>
                <w:sz w:val="24"/>
              </w:rPr>
            </w:pPr>
            <w:r>
              <w:rPr>
                <w:rFonts w:ascii="宋体" w:hAnsi="宋体" w:eastAsia="宋体"/>
                <w:sz w:val="24"/>
              </w:rPr>
              <w:t>7</w:t>
            </w:r>
          </w:p>
        </w:tc>
        <w:tc>
          <w:tcPr>
            <w:tcW w:w="1291" w:type="dxa"/>
            <w:noWrap w:val="0"/>
            <w:vAlign w:val="center"/>
          </w:tcPr>
          <w:p w14:paraId="612AAADD">
            <w:pPr>
              <w:wordWrap w:val="0"/>
              <w:spacing w:line="360" w:lineRule="auto"/>
              <w:rPr>
                <w:rFonts w:ascii="宋体" w:hAnsi="宋体" w:eastAsia="宋体"/>
                <w:sz w:val="24"/>
              </w:rPr>
            </w:pPr>
            <w:r>
              <w:rPr>
                <w:rFonts w:hint="eastAsia" w:ascii="宋体" w:hAnsi="宋体" w:eastAsia="宋体"/>
                <w:sz w:val="24"/>
              </w:rPr>
              <w:t>人员到岗及履约要求</w:t>
            </w:r>
          </w:p>
        </w:tc>
        <w:tc>
          <w:tcPr>
            <w:tcW w:w="6355" w:type="dxa"/>
            <w:noWrap w:val="0"/>
            <w:vAlign w:val="center"/>
          </w:tcPr>
          <w:p w14:paraId="5944F231">
            <w:pPr>
              <w:wordWrap w:val="0"/>
              <w:spacing w:line="360" w:lineRule="auto"/>
              <w:rPr>
                <w:rFonts w:ascii="宋体" w:hAnsi="宋体" w:eastAsia="宋体"/>
                <w:sz w:val="24"/>
              </w:rPr>
            </w:pPr>
            <w:r>
              <w:rPr>
                <w:rFonts w:hint="eastAsia" w:ascii="宋体" w:hAnsi="宋体" w:eastAsia="宋体"/>
                <w:sz w:val="24"/>
              </w:rPr>
              <w:t>（1）供应商一旦成交，磋商时所报的本项目的项目经理、施工现场技术负责人、各专业负责工程师及施工机械等在整个项目施工期内必须在位，否则采购人有权终止合同。由此造成的损失，成交供应商自行承担并赔偿可能给采购人造成的损失。</w:t>
            </w:r>
          </w:p>
          <w:p w14:paraId="73AADB00">
            <w:pPr>
              <w:wordWrap w:val="0"/>
              <w:spacing w:line="360" w:lineRule="auto"/>
              <w:rPr>
                <w:rFonts w:ascii="宋体" w:hAnsi="宋体" w:eastAsia="宋体"/>
                <w:sz w:val="24"/>
              </w:rPr>
            </w:pPr>
            <w:r>
              <w:rPr>
                <w:rFonts w:hint="eastAsia" w:ascii="宋体" w:hAnsi="宋体" w:eastAsia="宋体"/>
                <w:sz w:val="24"/>
              </w:rPr>
              <w:t>（2）成交供应商不得擅自更换磋商时所报项目经理及项目部主要管理人员。确需更换时，须报采购人同意，更换后人员不得低于成交供应商磋商时所报人员资质和技术水平。采购人如认为有必要，可要求对上述人员中的部分人员作出更好的调整。</w:t>
            </w:r>
          </w:p>
          <w:p w14:paraId="705498E7">
            <w:pPr>
              <w:wordWrap w:val="0"/>
              <w:spacing w:line="360" w:lineRule="auto"/>
              <w:rPr>
                <w:rFonts w:ascii="宋体" w:hAnsi="宋体" w:eastAsia="宋体"/>
                <w:sz w:val="24"/>
              </w:rPr>
            </w:pPr>
            <w:r>
              <w:rPr>
                <w:rFonts w:hint="eastAsia" w:ascii="宋体" w:hAnsi="宋体" w:eastAsia="宋体"/>
                <w:sz w:val="24"/>
              </w:rPr>
              <w:t>（3）成交供应商未能按照承诺到岗尽职的，采购人将视情况严重程度对其作出相应处理，给予警告并发出整改通知。如仍未及时整改，采购人有权责令其停工整改、直至终止合同，引进新的承包人。采购人还将停止支付工程款项，扣留任何未付的工程进度款项补偿建设单位的有关损失或工期延误的损失，并就此向承包人索赔。</w:t>
            </w:r>
          </w:p>
        </w:tc>
      </w:tr>
      <w:tr w14:paraId="789C3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152A1553">
            <w:pPr>
              <w:wordWrap w:val="0"/>
              <w:spacing w:line="360" w:lineRule="auto"/>
              <w:jc w:val="center"/>
              <w:rPr>
                <w:rFonts w:hint="eastAsia" w:ascii="宋体" w:hAnsi="宋体" w:eastAsia="宋体"/>
                <w:sz w:val="24"/>
              </w:rPr>
            </w:pPr>
            <w:r>
              <w:rPr>
                <w:rFonts w:ascii="宋体" w:hAnsi="宋体" w:eastAsia="宋体"/>
                <w:sz w:val="24"/>
              </w:rPr>
              <w:t>8</w:t>
            </w:r>
          </w:p>
        </w:tc>
        <w:tc>
          <w:tcPr>
            <w:tcW w:w="1291" w:type="dxa"/>
            <w:noWrap w:val="0"/>
            <w:vAlign w:val="center"/>
          </w:tcPr>
          <w:p w14:paraId="7E1BF922">
            <w:pPr>
              <w:pStyle w:val="4"/>
              <w:widowControl w:val="0"/>
              <w:wordWrap w:val="0"/>
              <w:spacing w:before="0" w:beforeAutospacing="0" w:after="0" w:afterAutospacing="0" w:line="360" w:lineRule="auto"/>
              <w:jc w:val="both"/>
              <w:rPr>
                <w:rFonts w:ascii="宋体" w:hAnsi="宋体" w:eastAsia="宋体"/>
                <w:b w:val="0"/>
                <w:bCs w:val="0"/>
                <w:kern w:val="2"/>
                <w:sz w:val="24"/>
                <w:szCs w:val="20"/>
              </w:rPr>
            </w:pPr>
            <w:r>
              <w:rPr>
                <w:rFonts w:hint="eastAsia" w:ascii="宋体" w:hAnsi="宋体" w:eastAsia="宋体"/>
                <w:b w:val="0"/>
                <w:bCs w:val="0"/>
                <w:kern w:val="2"/>
                <w:sz w:val="24"/>
                <w:szCs w:val="20"/>
              </w:rPr>
              <w:t>材料要求</w:t>
            </w:r>
          </w:p>
        </w:tc>
        <w:tc>
          <w:tcPr>
            <w:tcW w:w="6355" w:type="dxa"/>
            <w:noWrap w:val="0"/>
            <w:vAlign w:val="center"/>
          </w:tcPr>
          <w:p w14:paraId="1703CF6E">
            <w:pPr>
              <w:pStyle w:val="4"/>
              <w:widowControl w:val="0"/>
              <w:wordWrap w:val="0"/>
              <w:spacing w:before="0" w:beforeAutospacing="0" w:after="0" w:afterAutospacing="0" w:line="360" w:lineRule="auto"/>
              <w:jc w:val="both"/>
              <w:rPr>
                <w:rFonts w:ascii="宋体" w:hAnsi="宋体" w:eastAsia="宋体"/>
                <w:b w:val="0"/>
                <w:bCs w:val="0"/>
                <w:kern w:val="2"/>
                <w:sz w:val="24"/>
                <w:szCs w:val="20"/>
              </w:rPr>
            </w:pPr>
            <w:r>
              <w:rPr>
                <w:rFonts w:hint="eastAsia" w:ascii="宋体" w:hAnsi="宋体" w:eastAsia="宋体"/>
                <w:b w:val="0"/>
                <w:bCs w:val="0"/>
                <w:kern w:val="2"/>
                <w:sz w:val="24"/>
                <w:szCs w:val="20"/>
              </w:rPr>
              <w:t>（1）成交供应商自行采购的材料应满足设计和规范要求的质量等级，并须按有关技术规范要求对材料质量进行检验。成交供应商选定的材料供应厂家和价格须经采购人和监理单位认可。如采购人和监理单位对某种或某些材料的质量有异议，有权提出停止使用的要求，成交供应商必须服从该要求。若该材料经权威检验部门鉴定确有质量问题，由此而发生的一切费用由成交供应商自负。因成交供应商自行采购的材料质量引起的工程质量问题由成交供应商承担所造成的一切损失。</w:t>
            </w:r>
          </w:p>
          <w:p w14:paraId="6150B19B">
            <w:pPr>
              <w:pStyle w:val="4"/>
              <w:widowControl w:val="0"/>
              <w:wordWrap w:val="0"/>
              <w:spacing w:before="0" w:beforeAutospacing="0" w:after="0" w:afterAutospacing="0" w:line="360" w:lineRule="auto"/>
              <w:jc w:val="both"/>
              <w:rPr>
                <w:rFonts w:ascii="宋体" w:hAnsi="宋体" w:eastAsia="宋体"/>
                <w:b w:val="0"/>
                <w:bCs w:val="0"/>
                <w:kern w:val="2"/>
                <w:sz w:val="24"/>
                <w:szCs w:val="20"/>
              </w:rPr>
            </w:pPr>
            <w:r>
              <w:rPr>
                <w:rFonts w:hint="eastAsia" w:ascii="宋体" w:hAnsi="宋体" w:eastAsia="宋体"/>
                <w:b w:val="0"/>
                <w:bCs w:val="0"/>
                <w:kern w:val="2"/>
                <w:sz w:val="24"/>
                <w:szCs w:val="20"/>
              </w:rPr>
              <w:t>（2）如本项目采购人对工程质量有特殊需求的，对主要设备及材料提供不少于三个的参考品牌，对于采购人参考品牌的材料，供应商可选用参考品牌或不低于参考品牌质量标准的其它品牌；采用其它品牌的应在响应文件中提供相关技术参数证明材料供磋商小组评审，未提供相关技术参数证明材料或经磋商小组评审未通过的，成交后只能从采购人参考品牌中进行选择，价格不予调整。</w:t>
            </w:r>
          </w:p>
          <w:p w14:paraId="01EBC0C0">
            <w:pPr>
              <w:pStyle w:val="4"/>
              <w:widowControl w:val="0"/>
              <w:wordWrap w:val="0"/>
              <w:spacing w:before="0" w:beforeAutospacing="0" w:after="0" w:afterAutospacing="0" w:line="360" w:lineRule="auto"/>
              <w:jc w:val="both"/>
              <w:rPr>
                <w:rFonts w:ascii="宋体" w:hAnsi="宋体" w:eastAsia="宋体"/>
                <w:b w:val="0"/>
                <w:bCs w:val="0"/>
                <w:kern w:val="2"/>
                <w:sz w:val="24"/>
                <w:szCs w:val="20"/>
              </w:rPr>
            </w:pPr>
            <w:r>
              <w:rPr>
                <w:rFonts w:hint="eastAsia" w:ascii="宋体" w:hAnsi="宋体" w:eastAsia="宋体"/>
                <w:b w:val="0"/>
                <w:bCs w:val="0"/>
                <w:kern w:val="2"/>
                <w:sz w:val="24"/>
                <w:szCs w:val="20"/>
              </w:rPr>
              <w:t>（3）对于采购人参考品牌的材料，</w:t>
            </w:r>
            <w:r>
              <w:rPr>
                <w:rFonts w:ascii="宋体" w:hAnsi="宋体" w:eastAsia="宋体"/>
                <w:b w:val="0"/>
                <w:bCs w:val="0"/>
                <w:kern w:val="2"/>
                <w:sz w:val="24"/>
                <w:szCs w:val="20"/>
              </w:rPr>
              <w:t>供应商</w:t>
            </w:r>
            <w:r>
              <w:rPr>
                <w:rFonts w:hint="eastAsia" w:ascii="宋体" w:hAnsi="宋体" w:eastAsia="宋体"/>
                <w:b w:val="0"/>
                <w:bCs w:val="0"/>
                <w:kern w:val="2"/>
                <w:sz w:val="24"/>
                <w:szCs w:val="20"/>
              </w:rPr>
              <w:t>如认为参考品牌有限定性、唯一性、明显不在同一档次等级的或者其他异议的，应在本项目询问截止时间前以书面方式提交给采购人或代理机构。</w:t>
            </w:r>
          </w:p>
        </w:tc>
      </w:tr>
      <w:tr w14:paraId="41299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16488D41">
            <w:pPr>
              <w:wordWrap w:val="0"/>
              <w:spacing w:line="360" w:lineRule="auto"/>
              <w:jc w:val="center"/>
              <w:rPr>
                <w:rFonts w:ascii="宋体" w:hAnsi="宋体" w:eastAsia="宋体"/>
                <w:sz w:val="24"/>
              </w:rPr>
            </w:pPr>
            <w:r>
              <w:rPr>
                <w:rFonts w:ascii="宋体" w:hAnsi="宋体" w:eastAsia="宋体"/>
                <w:sz w:val="24"/>
              </w:rPr>
              <w:t>9</w:t>
            </w:r>
          </w:p>
        </w:tc>
        <w:tc>
          <w:tcPr>
            <w:tcW w:w="1291" w:type="dxa"/>
            <w:noWrap w:val="0"/>
            <w:vAlign w:val="center"/>
          </w:tcPr>
          <w:p w14:paraId="6B8EE60D">
            <w:pPr>
              <w:pStyle w:val="4"/>
              <w:widowControl w:val="0"/>
              <w:wordWrap w:val="0"/>
              <w:spacing w:before="0" w:beforeAutospacing="0" w:after="0" w:afterAutospacing="0" w:line="360" w:lineRule="auto"/>
              <w:jc w:val="both"/>
              <w:rPr>
                <w:rFonts w:hint="eastAsia" w:ascii="宋体" w:hAnsi="宋体" w:eastAsia="宋体"/>
                <w:b w:val="0"/>
                <w:bCs w:val="0"/>
                <w:kern w:val="2"/>
                <w:sz w:val="24"/>
                <w:szCs w:val="20"/>
              </w:rPr>
            </w:pPr>
            <w:r>
              <w:rPr>
                <w:rFonts w:hint="eastAsia" w:ascii="宋体" w:hAnsi="宋体" w:eastAsia="宋体"/>
                <w:b w:val="0"/>
                <w:bCs w:val="0"/>
                <w:kern w:val="2"/>
                <w:sz w:val="24"/>
                <w:szCs w:val="20"/>
              </w:rPr>
              <w:t>工程施工重点难点（如有）</w:t>
            </w:r>
          </w:p>
        </w:tc>
        <w:tc>
          <w:tcPr>
            <w:tcW w:w="6355" w:type="dxa"/>
            <w:noWrap w:val="0"/>
            <w:vAlign w:val="center"/>
          </w:tcPr>
          <w:p w14:paraId="2747C4BB">
            <w:pPr>
              <w:pStyle w:val="4"/>
              <w:widowControl w:val="0"/>
              <w:wordWrap w:val="0"/>
              <w:spacing w:before="0" w:beforeAutospacing="0" w:after="0" w:afterAutospacing="0" w:line="360" w:lineRule="auto"/>
              <w:jc w:val="both"/>
              <w:rPr>
                <w:rFonts w:hint="eastAsia" w:ascii="宋体" w:hAnsi="宋体" w:eastAsia="宋体"/>
                <w:b w:val="0"/>
                <w:bCs w:val="0"/>
                <w:kern w:val="2"/>
                <w:sz w:val="24"/>
                <w:szCs w:val="20"/>
              </w:rPr>
            </w:pPr>
            <w:r>
              <w:rPr>
                <w:rFonts w:hint="eastAsia" w:ascii="宋体" w:hAnsi="宋体" w:eastAsia="宋体"/>
                <w:b w:val="0"/>
                <w:bCs w:val="0"/>
                <w:kern w:val="2"/>
                <w:sz w:val="24"/>
                <w:szCs w:val="20"/>
              </w:rPr>
              <w:t>/</w:t>
            </w:r>
          </w:p>
        </w:tc>
      </w:tr>
      <w:tr w14:paraId="0F285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243C502C">
            <w:pPr>
              <w:wordWrap w:val="0"/>
              <w:spacing w:line="360" w:lineRule="auto"/>
              <w:jc w:val="center"/>
              <w:rPr>
                <w:rFonts w:ascii="宋体" w:hAnsi="宋体" w:eastAsia="宋体"/>
                <w:sz w:val="24"/>
              </w:rPr>
            </w:pPr>
            <w:r>
              <w:rPr>
                <w:rFonts w:ascii="宋体" w:hAnsi="宋体" w:eastAsia="宋体"/>
                <w:sz w:val="24"/>
              </w:rPr>
              <w:t>10</w:t>
            </w:r>
          </w:p>
        </w:tc>
        <w:tc>
          <w:tcPr>
            <w:tcW w:w="1291" w:type="dxa"/>
            <w:noWrap w:val="0"/>
            <w:vAlign w:val="center"/>
          </w:tcPr>
          <w:p w14:paraId="0CFB2FE6">
            <w:pPr>
              <w:pStyle w:val="4"/>
              <w:widowControl w:val="0"/>
              <w:wordWrap w:val="0"/>
              <w:spacing w:before="0" w:beforeAutospacing="0" w:after="0" w:afterAutospacing="0" w:line="360" w:lineRule="auto"/>
              <w:jc w:val="both"/>
              <w:rPr>
                <w:rFonts w:ascii="宋体" w:hAnsi="宋体" w:eastAsia="宋体"/>
                <w:b w:val="0"/>
                <w:bCs w:val="0"/>
                <w:kern w:val="2"/>
                <w:sz w:val="24"/>
                <w:szCs w:val="20"/>
              </w:rPr>
            </w:pPr>
            <w:r>
              <w:rPr>
                <w:rFonts w:hint="eastAsia" w:ascii="宋体" w:hAnsi="宋体" w:eastAsia="宋体"/>
                <w:b w:val="0"/>
                <w:bCs w:val="0"/>
                <w:kern w:val="2"/>
                <w:sz w:val="24"/>
                <w:szCs w:val="20"/>
              </w:rPr>
              <w:t>报价须知</w:t>
            </w:r>
          </w:p>
        </w:tc>
        <w:tc>
          <w:tcPr>
            <w:tcW w:w="6355" w:type="dxa"/>
            <w:noWrap w:val="0"/>
            <w:vAlign w:val="center"/>
          </w:tcPr>
          <w:p w14:paraId="0F47E5E0">
            <w:pPr>
              <w:pStyle w:val="4"/>
              <w:widowControl w:val="0"/>
              <w:wordWrap w:val="0"/>
              <w:spacing w:before="0" w:beforeAutospacing="0" w:after="0" w:afterAutospacing="0" w:line="360" w:lineRule="auto"/>
              <w:jc w:val="both"/>
              <w:rPr>
                <w:rFonts w:ascii="宋体" w:hAnsi="宋体" w:eastAsia="宋体"/>
                <w:b w:val="0"/>
                <w:bCs w:val="0"/>
                <w:kern w:val="2"/>
                <w:sz w:val="24"/>
                <w:szCs w:val="20"/>
              </w:rPr>
            </w:pPr>
            <w:r>
              <w:rPr>
                <w:rFonts w:ascii="宋体" w:hAnsi="宋体" w:eastAsia="宋体"/>
                <w:b w:val="0"/>
                <w:sz w:val="24"/>
              </w:rPr>
              <w:t>供应商最后报价均不得高于</w:t>
            </w:r>
            <w:r>
              <w:rPr>
                <w:rFonts w:hint="eastAsia" w:ascii="宋体" w:hAnsi="宋体" w:eastAsia="宋体"/>
                <w:b w:val="0"/>
                <w:sz w:val="24"/>
              </w:rPr>
              <w:t>磋商</w:t>
            </w:r>
            <w:r>
              <w:rPr>
                <w:rFonts w:ascii="宋体" w:hAnsi="宋体" w:eastAsia="宋体"/>
                <w:b w:val="0"/>
                <w:sz w:val="24"/>
              </w:rPr>
              <w:t>文件（公告）列明的项目预算</w:t>
            </w:r>
            <w:r>
              <w:rPr>
                <w:rFonts w:hint="eastAsia" w:ascii="宋体" w:hAnsi="宋体" w:eastAsia="宋体"/>
                <w:b w:val="0"/>
                <w:sz w:val="24"/>
              </w:rPr>
              <w:t>、最高投标限价（控制价）</w:t>
            </w:r>
            <w:r>
              <w:rPr>
                <w:rFonts w:ascii="宋体" w:hAnsi="宋体" w:eastAsia="宋体"/>
                <w:b w:val="0"/>
                <w:sz w:val="24"/>
              </w:rPr>
              <w:t>，否则其响应文件将被认定为响应无效</w:t>
            </w:r>
            <w:r>
              <w:rPr>
                <w:rFonts w:hint="eastAsia" w:ascii="宋体" w:hAnsi="宋体" w:eastAsia="宋体"/>
                <w:b w:val="0"/>
                <w:bCs w:val="0"/>
                <w:kern w:val="2"/>
                <w:sz w:val="24"/>
                <w:szCs w:val="20"/>
              </w:rPr>
              <w:t>。</w:t>
            </w:r>
          </w:p>
        </w:tc>
      </w:tr>
      <w:tr w14:paraId="3354C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7C28F58F">
            <w:pPr>
              <w:wordWrap w:val="0"/>
              <w:spacing w:line="360" w:lineRule="auto"/>
              <w:jc w:val="center"/>
              <w:rPr>
                <w:rFonts w:ascii="宋体" w:hAnsi="宋体" w:eastAsia="宋体"/>
                <w:sz w:val="24"/>
              </w:rPr>
            </w:pPr>
            <w:r>
              <w:rPr>
                <w:rFonts w:hint="eastAsia" w:ascii="宋体" w:hAnsi="宋体" w:eastAsia="宋体"/>
                <w:sz w:val="24"/>
              </w:rPr>
              <w:t>1</w:t>
            </w:r>
            <w:r>
              <w:rPr>
                <w:rFonts w:ascii="宋体" w:hAnsi="宋体" w:eastAsia="宋体"/>
                <w:sz w:val="24"/>
              </w:rPr>
              <w:t>1</w:t>
            </w:r>
          </w:p>
        </w:tc>
        <w:tc>
          <w:tcPr>
            <w:tcW w:w="1291" w:type="dxa"/>
            <w:noWrap w:val="0"/>
            <w:vAlign w:val="center"/>
          </w:tcPr>
          <w:p w14:paraId="420424B9">
            <w:pPr>
              <w:pStyle w:val="4"/>
              <w:widowControl w:val="0"/>
              <w:wordWrap w:val="0"/>
              <w:spacing w:before="0" w:beforeAutospacing="0" w:after="0" w:afterAutospacing="0" w:line="360" w:lineRule="auto"/>
              <w:jc w:val="both"/>
              <w:rPr>
                <w:rFonts w:ascii="宋体" w:hAnsi="宋体" w:eastAsia="宋体"/>
                <w:b w:val="0"/>
                <w:bCs w:val="0"/>
                <w:kern w:val="2"/>
                <w:sz w:val="24"/>
                <w:szCs w:val="20"/>
              </w:rPr>
            </w:pPr>
            <w:r>
              <w:rPr>
                <w:rFonts w:hint="eastAsia" w:ascii="宋体" w:hAnsi="宋体" w:eastAsia="宋体"/>
                <w:b w:val="0"/>
                <w:bCs w:val="0"/>
                <w:kern w:val="2"/>
                <w:sz w:val="24"/>
                <w:szCs w:val="20"/>
              </w:rPr>
              <w:t>重要说明</w:t>
            </w:r>
          </w:p>
        </w:tc>
        <w:tc>
          <w:tcPr>
            <w:tcW w:w="6355" w:type="dxa"/>
            <w:noWrap w:val="0"/>
            <w:vAlign w:val="center"/>
          </w:tcPr>
          <w:p w14:paraId="6BAA299A">
            <w:pPr>
              <w:pStyle w:val="4"/>
              <w:widowControl w:val="0"/>
              <w:wordWrap w:val="0"/>
              <w:spacing w:before="0" w:beforeAutospacing="0" w:after="0" w:afterAutospacing="0" w:line="360" w:lineRule="auto"/>
              <w:jc w:val="both"/>
              <w:rPr>
                <w:rFonts w:hint="eastAsia" w:ascii="宋体" w:hAnsi="宋体" w:eastAsia="宋体"/>
                <w:b w:val="0"/>
                <w:bCs w:val="0"/>
                <w:kern w:val="2"/>
                <w:sz w:val="24"/>
                <w:szCs w:val="20"/>
              </w:rPr>
            </w:pPr>
            <w:r>
              <w:rPr>
                <w:rFonts w:hint="eastAsia" w:ascii="宋体" w:hAnsi="宋体" w:eastAsia="宋体"/>
                <w:b w:val="0"/>
                <w:bCs w:val="0"/>
                <w:kern w:val="2"/>
                <w:sz w:val="24"/>
                <w:szCs w:val="20"/>
              </w:rPr>
              <w:t>（1）本项目的磋商文件、工程量清单、最高投标限价（控制价）、澄清、修改、补充等相关资料均通过</w:t>
            </w:r>
            <w:r>
              <w:rPr>
                <w:rFonts w:hint="eastAsia" w:ascii="宋体" w:hAnsi="宋体" w:eastAsia="宋体" w:cs="宋体"/>
                <w:b w:val="0"/>
                <w:bCs w:val="0"/>
                <w:sz w:val="24"/>
                <w:szCs w:val="24"/>
              </w:rPr>
              <w:t>安招采平台</w:t>
            </w:r>
            <w:r>
              <w:rPr>
                <w:rFonts w:hint="eastAsia" w:ascii="宋体" w:hAnsi="宋体" w:eastAsia="宋体"/>
                <w:b w:val="0"/>
                <w:bCs w:val="0"/>
                <w:kern w:val="2"/>
                <w:sz w:val="24"/>
                <w:szCs w:val="20"/>
              </w:rPr>
              <w:t>发布，请供应商自行从网上下载，供应商应当及时查看有无相关澄清、修改、补充等内容。</w:t>
            </w:r>
          </w:p>
          <w:p w14:paraId="0483D72A">
            <w:pPr>
              <w:pStyle w:val="4"/>
              <w:widowControl w:val="0"/>
              <w:wordWrap w:val="0"/>
              <w:spacing w:before="0" w:beforeAutospacing="0" w:after="0" w:afterAutospacing="0" w:line="360" w:lineRule="auto"/>
              <w:jc w:val="both"/>
              <w:rPr>
                <w:rFonts w:ascii="宋体" w:hAnsi="宋体" w:eastAsia="宋体"/>
                <w:b w:val="0"/>
                <w:bCs w:val="0"/>
                <w:kern w:val="2"/>
                <w:sz w:val="24"/>
                <w:szCs w:val="20"/>
              </w:rPr>
            </w:pPr>
            <w:r>
              <w:rPr>
                <w:rFonts w:hint="eastAsia" w:ascii="宋体" w:hAnsi="宋体" w:eastAsia="宋体"/>
                <w:b w:val="0"/>
                <w:bCs w:val="0"/>
                <w:kern w:val="2"/>
                <w:sz w:val="24"/>
                <w:szCs w:val="20"/>
              </w:rPr>
              <w:t>（2）在工程项目磋商过程中，供应商最后报价与公布的最高投标限价（控制价）或项目概算相比降幅过小，或供应商最后报价明显缺乏竞争性的，磋商小组可以否决其报价。</w:t>
            </w:r>
          </w:p>
          <w:p w14:paraId="10C2D326">
            <w:pPr>
              <w:pStyle w:val="4"/>
              <w:widowControl w:val="0"/>
              <w:wordWrap w:val="0"/>
              <w:spacing w:before="0" w:beforeAutospacing="0" w:after="0" w:afterAutospacing="0" w:line="360" w:lineRule="auto"/>
              <w:jc w:val="both"/>
              <w:rPr>
                <w:rFonts w:ascii="宋体" w:hAnsi="宋体" w:eastAsia="宋体"/>
                <w:b w:val="0"/>
                <w:bCs w:val="0"/>
                <w:kern w:val="2"/>
                <w:sz w:val="24"/>
                <w:szCs w:val="20"/>
              </w:rPr>
            </w:pPr>
            <w:r>
              <w:rPr>
                <w:rFonts w:hint="eastAsia" w:ascii="宋体" w:hAnsi="宋体" w:eastAsia="宋体"/>
                <w:b w:val="0"/>
                <w:bCs w:val="0"/>
                <w:kern w:val="2"/>
                <w:sz w:val="24"/>
                <w:szCs w:val="20"/>
              </w:rPr>
              <w:t>（3）外地建安企业磋商并成交后必须在项目所在地交纳相关税费。</w:t>
            </w:r>
          </w:p>
          <w:p w14:paraId="002EE0A2">
            <w:pPr>
              <w:pStyle w:val="4"/>
              <w:widowControl w:val="0"/>
              <w:wordWrap w:val="0"/>
              <w:spacing w:before="0" w:beforeAutospacing="0" w:after="0" w:afterAutospacing="0" w:line="360" w:lineRule="auto"/>
              <w:jc w:val="both"/>
              <w:rPr>
                <w:rFonts w:ascii="宋体" w:hAnsi="宋体" w:eastAsia="宋体"/>
                <w:b w:val="0"/>
                <w:bCs w:val="0"/>
                <w:kern w:val="2"/>
                <w:sz w:val="24"/>
                <w:szCs w:val="20"/>
              </w:rPr>
            </w:pPr>
            <w:r>
              <w:rPr>
                <w:rFonts w:hint="eastAsia" w:ascii="宋体" w:hAnsi="宋体" w:eastAsia="宋体"/>
                <w:b w:val="0"/>
                <w:bCs w:val="0"/>
                <w:kern w:val="2"/>
                <w:sz w:val="24"/>
                <w:szCs w:val="20"/>
              </w:rPr>
              <w:t>（4）承包人在工程实施过程中用工行为，必须严格执行国家及地方政府的有关规定，依法签订劳动合同，并按规定及时足额支付工资。</w:t>
            </w:r>
          </w:p>
          <w:p w14:paraId="5436EB4C">
            <w:pPr>
              <w:pStyle w:val="4"/>
              <w:widowControl w:val="0"/>
              <w:wordWrap w:val="0"/>
              <w:spacing w:before="0" w:beforeAutospacing="0" w:after="0" w:afterAutospacing="0" w:line="360" w:lineRule="auto"/>
              <w:jc w:val="both"/>
              <w:rPr>
                <w:rFonts w:ascii="宋体" w:hAnsi="宋体" w:eastAsia="宋体"/>
                <w:b w:val="0"/>
                <w:bCs w:val="0"/>
                <w:kern w:val="2"/>
                <w:sz w:val="24"/>
                <w:szCs w:val="20"/>
              </w:rPr>
            </w:pPr>
            <w:r>
              <w:rPr>
                <w:rFonts w:hint="eastAsia" w:ascii="宋体" w:hAnsi="宋体" w:eastAsia="宋体"/>
                <w:b w:val="0"/>
                <w:bCs w:val="0"/>
                <w:kern w:val="2"/>
                <w:sz w:val="24"/>
                <w:szCs w:val="20"/>
              </w:rPr>
              <w:t>（5）承包人在建设工程扬尘污染防治措施和费用管理上，必须严格执行</w:t>
            </w:r>
            <w:r>
              <w:rPr>
                <w:rFonts w:hint="eastAsia" w:ascii="宋体" w:hAnsi="宋体" w:eastAsia="宋体"/>
                <w:b w:val="0"/>
                <w:bCs w:val="0"/>
                <w:kern w:val="2"/>
                <w:sz w:val="24"/>
                <w:szCs w:val="20"/>
                <w:lang w:val="en-US" w:eastAsia="zh-CN"/>
              </w:rPr>
              <w:t>项目所在地</w:t>
            </w:r>
            <w:r>
              <w:rPr>
                <w:rFonts w:hint="eastAsia" w:ascii="宋体" w:hAnsi="宋体" w:eastAsia="宋体"/>
                <w:b w:val="0"/>
                <w:bCs w:val="0"/>
                <w:kern w:val="2"/>
                <w:sz w:val="24"/>
                <w:szCs w:val="20"/>
              </w:rPr>
              <w:t>规定。本工程最高投标限价（控制价）已按《关于关于贯彻执行2018版安徽省建设工程计价依据的通知》（合造价[2018]13号）的规定计取，供应商报价中已包含磋商文件公布的施工扬尘污染防治措施费用，供应商成交后办理相关专户设立等事宜。</w:t>
            </w:r>
          </w:p>
        </w:tc>
      </w:tr>
      <w:tr w14:paraId="5FF8E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54CDE043">
            <w:pPr>
              <w:wordWrap w:val="0"/>
              <w:spacing w:line="360" w:lineRule="auto"/>
              <w:jc w:val="center"/>
              <w:rPr>
                <w:rFonts w:ascii="宋体" w:hAnsi="宋体" w:eastAsia="宋体"/>
                <w:sz w:val="24"/>
              </w:rPr>
            </w:pPr>
            <w:r>
              <w:rPr>
                <w:rFonts w:hint="eastAsia" w:ascii="宋体" w:hAnsi="宋体" w:eastAsia="宋体"/>
                <w:sz w:val="24"/>
              </w:rPr>
              <w:t>1</w:t>
            </w:r>
            <w:r>
              <w:rPr>
                <w:rFonts w:ascii="宋体" w:hAnsi="宋体" w:eastAsia="宋体"/>
                <w:sz w:val="24"/>
              </w:rPr>
              <w:t>2</w:t>
            </w:r>
          </w:p>
        </w:tc>
        <w:tc>
          <w:tcPr>
            <w:tcW w:w="1291" w:type="dxa"/>
            <w:noWrap w:val="0"/>
            <w:vAlign w:val="center"/>
          </w:tcPr>
          <w:p w14:paraId="750955BC">
            <w:pPr>
              <w:pStyle w:val="4"/>
              <w:widowControl w:val="0"/>
              <w:wordWrap w:val="0"/>
              <w:spacing w:before="0" w:beforeAutospacing="0" w:after="0" w:afterAutospacing="0" w:line="360" w:lineRule="auto"/>
              <w:jc w:val="both"/>
              <w:rPr>
                <w:rFonts w:ascii="宋体" w:hAnsi="宋体" w:eastAsia="宋体"/>
                <w:b w:val="0"/>
                <w:bCs w:val="0"/>
                <w:kern w:val="2"/>
                <w:sz w:val="24"/>
                <w:szCs w:val="20"/>
              </w:rPr>
            </w:pPr>
            <w:r>
              <w:rPr>
                <w:rFonts w:hint="eastAsia" w:ascii="宋体" w:hAnsi="宋体" w:eastAsia="宋体"/>
                <w:b w:val="0"/>
                <w:bCs w:val="0"/>
                <w:kern w:val="2"/>
                <w:sz w:val="24"/>
                <w:szCs w:val="20"/>
              </w:rPr>
              <w:t>其他</w:t>
            </w:r>
          </w:p>
        </w:tc>
        <w:tc>
          <w:tcPr>
            <w:tcW w:w="6355" w:type="dxa"/>
            <w:noWrap w:val="0"/>
            <w:vAlign w:val="center"/>
          </w:tcPr>
          <w:p w14:paraId="62D52ED8">
            <w:pPr>
              <w:pStyle w:val="4"/>
              <w:widowControl w:val="0"/>
              <w:wordWrap w:val="0"/>
              <w:spacing w:before="0" w:beforeAutospacing="0" w:after="0" w:afterAutospacing="0" w:line="360" w:lineRule="auto"/>
              <w:jc w:val="both"/>
              <w:rPr>
                <w:rFonts w:hint="eastAsia" w:ascii="宋体" w:hAnsi="宋体" w:eastAsia="宋体"/>
                <w:b w:val="0"/>
                <w:bCs w:val="0"/>
                <w:kern w:val="2"/>
                <w:sz w:val="24"/>
                <w:szCs w:val="20"/>
              </w:rPr>
            </w:pPr>
            <w:r>
              <w:rPr>
                <w:rFonts w:hint="eastAsia" w:ascii="宋体" w:hAnsi="宋体" w:eastAsia="宋体"/>
                <w:b w:val="0"/>
                <w:bCs w:val="0"/>
                <w:kern w:val="2"/>
                <w:sz w:val="24"/>
                <w:szCs w:val="20"/>
              </w:rPr>
              <w:t>执行现行的国家、政府标准、规范和规定</w:t>
            </w:r>
          </w:p>
        </w:tc>
      </w:tr>
    </w:tbl>
    <w:p w14:paraId="2D55B686">
      <w:pPr>
        <w:spacing w:line="360" w:lineRule="auto"/>
        <w:ind w:firstLine="437"/>
        <w:outlineLvl w:val="2"/>
        <w:rPr>
          <w:rFonts w:ascii="Arial" w:hAnsi="Arial" w:eastAsia="宋体" w:cs="Arial"/>
          <w:b/>
          <w:sz w:val="24"/>
          <w:szCs w:val="24"/>
        </w:rPr>
      </w:pPr>
      <w:r>
        <w:rPr>
          <w:rFonts w:ascii="Arial" w:hAnsi="Arial" w:eastAsia="宋体" w:cs="Arial"/>
          <w:b/>
          <w:sz w:val="24"/>
          <w:szCs w:val="24"/>
        </w:rPr>
        <w:t>一、项目概况</w:t>
      </w:r>
    </w:p>
    <w:p w14:paraId="79869BA9">
      <w:pPr>
        <w:wordWrap w:val="0"/>
        <w:spacing w:line="360" w:lineRule="auto"/>
        <w:ind w:firstLine="480" w:firstLineChars="200"/>
        <w:rPr>
          <w:rFonts w:hint="eastAsia" w:ascii="宋体" w:hAnsi="宋体" w:eastAsia="宋体"/>
          <w:sz w:val="24"/>
        </w:rPr>
      </w:pPr>
      <w:r>
        <w:rPr>
          <w:rFonts w:ascii="宋体" w:hAnsi="宋体" w:eastAsia="宋体"/>
          <w:sz w:val="24"/>
        </w:rPr>
        <w:t xml:space="preserve"> </w:t>
      </w:r>
      <w:r>
        <w:rPr>
          <w:rFonts w:hint="eastAsia" w:ascii="宋体" w:hAnsi="宋体" w:eastAsia="宋体"/>
          <w:sz w:val="24"/>
        </w:rPr>
        <w:t>本项目为安徽理工大学“一站式”学生社区建设项目（东组团），具体详见</w:t>
      </w:r>
      <w:r>
        <w:rPr>
          <w:rFonts w:hint="eastAsia" w:ascii="宋体" w:hAnsi="宋体" w:eastAsia="宋体"/>
          <w:sz w:val="24"/>
          <w:lang w:val="en-US" w:eastAsia="zh-CN"/>
        </w:rPr>
        <w:t>简易</w:t>
      </w:r>
      <w:r>
        <w:rPr>
          <w:rFonts w:hint="eastAsia" w:ascii="宋体" w:hAnsi="宋体" w:eastAsia="宋体"/>
          <w:sz w:val="24"/>
        </w:rPr>
        <w:t>工程量清单、磋商文件。</w:t>
      </w:r>
    </w:p>
    <w:p w14:paraId="775FF661">
      <w:pPr>
        <w:spacing w:line="360" w:lineRule="auto"/>
        <w:ind w:firstLine="437"/>
        <w:outlineLvl w:val="2"/>
        <w:rPr>
          <w:rFonts w:ascii="Arial" w:hAnsi="Arial" w:eastAsia="宋体" w:cs="Arial"/>
          <w:b/>
          <w:sz w:val="24"/>
          <w:szCs w:val="24"/>
        </w:rPr>
      </w:pPr>
      <w:r>
        <w:rPr>
          <w:rFonts w:ascii="Arial" w:hAnsi="Arial" w:eastAsia="宋体" w:cs="Arial"/>
          <w:b/>
          <w:sz w:val="24"/>
          <w:szCs w:val="24"/>
        </w:rPr>
        <w:t xml:space="preserve">二、施工要求 </w:t>
      </w:r>
    </w:p>
    <w:p w14:paraId="3F16654B">
      <w:pPr>
        <w:wordWrap w:val="0"/>
        <w:spacing w:line="360" w:lineRule="auto"/>
        <w:ind w:firstLine="480" w:firstLineChars="200"/>
        <w:rPr>
          <w:rFonts w:ascii="宋体" w:hAnsi="宋体" w:eastAsia="宋体"/>
          <w:sz w:val="24"/>
        </w:rPr>
      </w:pPr>
      <w:r>
        <w:rPr>
          <w:rFonts w:ascii="宋体" w:hAnsi="宋体" w:eastAsia="宋体"/>
          <w:sz w:val="24"/>
        </w:rPr>
        <w:t>1.工程质量、安全必须符合国家及地方现行相关法律、法规、技术规范及管理规定。</w:t>
      </w:r>
    </w:p>
    <w:p w14:paraId="397BBF1C">
      <w:pPr>
        <w:wordWrap w:val="0"/>
        <w:spacing w:line="360" w:lineRule="auto"/>
        <w:ind w:firstLine="480" w:firstLineChars="200"/>
        <w:rPr>
          <w:rFonts w:ascii="宋体" w:hAnsi="宋体" w:eastAsia="宋体"/>
          <w:sz w:val="24"/>
        </w:rPr>
      </w:pPr>
      <w:r>
        <w:rPr>
          <w:rFonts w:ascii="宋体" w:hAnsi="宋体" w:eastAsia="宋体"/>
          <w:sz w:val="24"/>
        </w:rPr>
        <w:t>2.施工单位负责施工范围内的一切安全责任，务必做好各项安全维护、防护措施，确保施工安全、道路安全，行人安全、车辆安全等。</w:t>
      </w:r>
    </w:p>
    <w:p w14:paraId="3A62E8E7">
      <w:pPr>
        <w:wordWrap w:val="0"/>
        <w:spacing w:line="360" w:lineRule="auto"/>
        <w:ind w:firstLine="480" w:firstLineChars="200"/>
        <w:rPr>
          <w:rFonts w:ascii="宋体" w:hAnsi="宋体" w:eastAsia="宋体"/>
          <w:sz w:val="24"/>
        </w:rPr>
      </w:pPr>
      <w:r>
        <w:rPr>
          <w:rFonts w:ascii="宋体" w:hAnsi="宋体" w:eastAsia="宋体"/>
          <w:sz w:val="24"/>
        </w:rPr>
        <w:t>3.供应商务必自行踏勘现场，充分预测考虑施工周围环境以及各项风险。</w:t>
      </w:r>
    </w:p>
    <w:p w14:paraId="0F8BFCC3">
      <w:pPr>
        <w:wordWrap w:val="0"/>
        <w:spacing w:line="360" w:lineRule="auto"/>
        <w:ind w:firstLine="480" w:firstLineChars="200"/>
        <w:rPr>
          <w:rFonts w:ascii="宋体" w:hAnsi="宋体" w:eastAsia="宋体"/>
          <w:sz w:val="24"/>
        </w:rPr>
      </w:pPr>
      <w:r>
        <w:rPr>
          <w:rFonts w:ascii="宋体" w:hAnsi="宋体" w:eastAsia="宋体"/>
          <w:sz w:val="24"/>
        </w:rPr>
        <w:t>4.施工单位需严格遵守校园管理规定，施工时要注意加强管理，文明施工。</w:t>
      </w:r>
    </w:p>
    <w:p w14:paraId="36304099">
      <w:pPr>
        <w:spacing w:line="360" w:lineRule="auto"/>
        <w:ind w:firstLine="437"/>
        <w:outlineLvl w:val="2"/>
        <w:rPr>
          <w:rFonts w:ascii="Arial" w:hAnsi="Arial" w:eastAsia="宋体" w:cs="Arial"/>
          <w:b/>
          <w:sz w:val="24"/>
          <w:szCs w:val="24"/>
        </w:rPr>
      </w:pPr>
      <w:r>
        <w:rPr>
          <w:rFonts w:ascii="Arial" w:hAnsi="Arial" w:eastAsia="宋体" w:cs="Arial"/>
          <w:b/>
          <w:sz w:val="24"/>
          <w:szCs w:val="24"/>
        </w:rPr>
        <w:t>三、响应报价要求</w:t>
      </w:r>
    </w:p>
    <w:p w14:paraId="16029A8F">
      <w:pPr>
        <w:wordWrap w:val="0"/>
        <w:spacing w:line="360" w:lineRule="auto"/>
        <w:ind w:firstLine="480" w:firstLineChars="200"/>
        <w:rPr>
          <w:rFonts w:ascii="宋体" w:hAnsi="宋体" w:eastAsia="宋体"/>
          <w:sz w:val="24"/>
        </w:rPr>
      </w:pPr>
      <w:r>
        <w:rPr>
          <w:rFonts w:ascii="宋体" w:hAnsi="宋体" w:eastAsia="宋体"/>
          <w:sz w:val="24"/>
        </w:rPr>
        <w:t>供应商应仔细阅读采购文件及附件资料，了解拟采购项目的全部工程内容。供应商的响应报价应是采购文件所确定的采购范围内全部工程内容的价格体现。供应商的响应报价，应是在满足采购文件规定工期、质量要求下，完成采购项目范围的全部工作的报价。</w:t>
      </w:r>
    </w:p>
    <w:p w14:paraId="4F2F6A53">
      <w:pPr>
        <w:spacing w:line="360" w:lineRule="auto"/>
        <w:ind w:firstLine="437"/>
        <w:outlineLvl w:val="2"/>
        <w:rPr>
          <w:rFonts w:ascii="Arial" w:hAnsi="Arial" w:eastAsia="宋体" w:cs="Arial"/>
          <w:b/>
          <w:sz w:val="24"/>
          <w:szCs w:val="24"/>
        </w:rPr>
      </w:pPr>
      <w:r>
        <w:rPr>
          <w:rFonts w:ascii="Arial" w:hAnsi="Arial" w:eastAsia="宋体" w:cs="Arial"/>
          <w:b/>
          <w:sz w:val="24"/>
          <w:szCs w:val="24"/>
        </w:rPr>
        <w:t>四、其他要求</w:t>
      </w:r>
    </w:p>
    <w:p w14:paraId="50A252FB">
      <w:pPr>
        <w:wordWrap w:val="0"/>
        <w:spacing w:line="360" w:lineRule="auto"/>
        <w:ind w:firstLine="480" w:firstLineChars="200"/>
        <w:rPr>
          <w:rFonts w:ascii="宋体" w:hAnsi="宋体" w:eastAsia="宋体"/>
          <w:sz w:val="24"/>
        </w:rPr>
      </w:pPr>
      <w:r>
        <w:rPr>
          <w:rFonts w:ascii="宋体" w:hAnsi="宋体" w:eastAsia="宋体"/>
          <w:sz w:val="24"/>
        </w:rPr>
        <w:t>1.供应商在编制工程进度计划时须充分考虑劳动力、材料物资、机械设备等资源投入和夜间加班计划，保证工期目标的实现，并做好相应的安全及文明施工保障措施。</w:t>
      </w:r>
    </w:p>
    <w:p w14:paraId="4EBAD434">
      <w:pPr>
        <w:wordWrap w:val="0"/>
        <w:spacing w:line="360" w:lineRule="auto"/>
        <w:ind w:firstLine="480" w:firstLineChars="200"/>
        <w:rPr>
          <w:rFonts w:ascii="宋体" w:hAnsi="宋体" w:eastAsia="宋体"/>
          <w:sz w:val="24"/>
        </w:rPr>
      </w:pPr>
      <w:r>
        <w:rPr>
          <w:rFonts w:ascii="宋体" w:hAnsi="宋体" w:eastAsia="宋体"/>
          <w:sz w:val="24"/>
        </w:rPr>
        <w:t>2.成交供应商在施工时须严格做好成品保护工作。</w:t>
      </w:r>
    </w:p>
    <w:p w14:paraId="0275BF9E">
      <w:pPr>
        <w:wordWrap w:val="0"/>
        <w:spacing w:line="360" w:lineRule="auto"/>
        <w:ind w:firstLine="480" w:firstLineChars="200"/>
        <w:rPr>
          <w:rFonts w:ascii="宋体" w:hAnsi="宋体" w:eastAsia="宋体"/>
          <w:sz w:val="24"/>
        </w:rPr>
      </w:pPr>
      <w:r>
        <w:rPr>
          <w:rFonts w:ascii="宋体" w:hAnsi="宋体" w:eastAsia="宋体"/>
          <w:sz w:val="24"/>
        </w:rPr>
        <w:t>3.该项目严禁转包分包。</w:t>
      </w:r>
    </w:p>
    <w:p w14:paraId="10D8C58E">
      <w:pPr>
        <w:spacing w:line="360" w:lineRule="auto"/>
        <w:ind w:firstLine="437"/>
        <w:outlineLvl w:val="2"/>
        <w:rPr>
          <w:rFonts w:ascii="Arial" w:hAnsi="Arial" w:eastAsia="宋体" w:cs="Arial"/>
          <w:b/>
          <w:sz w:val="24"/>
          <w:szCs w:val="24"/>
        </w:rPr>
      </w:pPr>
      <w:r>
        <w:rPr>
          <w:rFonts w:ascii="Arial" w:hAnsi="Arial" w:eastAsia="宋体" w:cs="Arial"/>
          <w:b/>
          <w:sz w:val="24"/>
          <w:szCs w:val="24"/>
        </w:rPr>
        <w:t>五、工程量清单（另附）</w:t>
      </w:r>
    </w:p>
    <w:p w14:paraId="5A140DE3">
      <w:r>
        <w:rPr>
          <w:rFonts w:hint="eastAsia" w:ascii="宋体" w:hAnsi="宋体" w:eastAsia="宋体"/>
          <w:b/>
          <w:bCs/>
          <w:sz w:val="24"/>
          <w:lang w:val="en-US" w:eastAsia="zh-CN"/>
        </w:rPr>
        <w:t>本项目采用总价包干形式，所提供工程量清单较为简易，供应商可自行完善，提供完整工程量清单，简易工程量清单中涉及的项目名称及数量不得减少。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2F1174"/>
    <w:rsid w:val="012F1174"/>
    <w:rsid w:val="264233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2025-08-13T08:23:00Z</dcterms:created>
  <dc:creator>森</dc:creator>
  <cp:lastModifiedBy>森</cp:lastModifiedBy>
  <dcterms:modified xsi:type="dcterms:W3CDTF">2025-08-13T08:24:27Z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19CEE94104B64F5CAE14C651DF62B0E9_11</vt:lpwstr>
  </property>
  <property fmtid="{D5CDD505-2E9C-101B-9397-08002B2CF9AE}" pid="4" name="KSOTemplateDocerSaveRecord">
    <vt:lpwstr>eyJoZGlkIjoiOTc3M2Y5NzIzMDFlZjAyY2Q4Njk5ODkyYjFjNzBiNTQiLCJ1c2VySWQiOiI0MzAwMTYzNzkifQ==</vt:lpwstr>
  </property>
</Properties>
</file>