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29979">
      <w:pPr>
        <w:wordWrap w:val="0"/>
        <w:spacing w:line="360" w:lineRule="auto"/>
        <w:jc w:val="center"/>
        <w:outlineLvl w:val="1"/>
        <w:rPr>
          <w:rFonts w:hint="eastAsia" w:ascii="华文中宋" w:hAnsi="华文中宋" w:eastAsia="华文中宋" w:cs="Times New Roman"/>
          <w:b/>
          <w:bCs/>
          <w:kern w:val="44"/>
          <w:sz w:val="44"/>
          <w:szCs w:val="44"/>
        </w:rPr>
      </w:pPr>
      <w:bookmarkStart w:id="0" w:name="_Toc1940"/>
      <w:r>
        <w:rPr>
          <w:rFonts w:hint="eastAsia" w:ascii="华文中宋" w:hAnsi="华文中宋" w:eastAsia="华文中宋" w:cs="Times New Roman"/>
          <w:b/>
          <w:bCs/>
          <w:kern w:val="44"/>
          <w:sz w:val="44"/>
          <w:szCs w:val="44"/>
        </w:rPr>
        <w:t>第三章  采购需求</w:t>
      </w:r>
      <w:bookmarkEnd w:id="0"/>
    </w:p>
    <w:p w14:paraId="474C1F43">
      <w:pPr>
        <w:wordWrap w:val="0"/>
        <w:spacing w:line="360" w:lineRule="auto"/>
        <w:rPr>
          <w:rFonts w:ascii="宋体" w:hAnsi="宋体" w:eastAsia="宋体"/>
          <w:b/>
          <w:sz w:val="24"/>
        </w:rPr>
      </w:pPr>
      <w:r>
        <w:rPr>
          <w:rFonts w:hint="eastAsia" w:ascii="宋体" w:hAnsi="宋体" w:eastAsia="宋体"/>
          <w:b/>
          <w:sz w:val="24"/>
        </w:rPr>
        <w:t>前注：</w:t>
      </w:r>
    </w:p>
    <w:p w14:paraId="2F58B66C">
      <w:pPr>
        <w:wordWrap w:val="0"/>
        <w:spacing w:line="360" w:lineRule="auto"/>
        <w:ind w:firstLine="437"/>
        <w:rPr>
          <w:rFonts w:ascii="宋体" w:hAnsi="宋体" w:eastAsia="宋体"/>
          <w:sz w:val="24"/>
          <w:szCs w:val="18"/>
        </w:rPr>
      </w:pPr>
      <w:r>
        <w:rPr>
          <w:rFonts w:hint="eastAsia" w:ascii="宋体" w:hAnsi="宋体" w:eastAsia="宋体"/>
          <w:sz w:val="24"/>
        </w:rPr>
        <w:t>1.</w:t>
      </w:r>
      <w:r>
        <w:rPr>
          <w:rFonts w:ascii="宋体" w:hAnsi="宋体" w:eastAsia="宋体"/>
          <w:sz w:val="24"/>
        </w:rPr>
        <w:t>本说明中提出的技术方案</w:t>
      </w:r>
      <w:r>
        <w:rPr>
          <w:rFonts w:hint="eastAsia" w:ascii="宋体" w:hAnsi="宋体" w:eastAsia="宋体"/>
          <w:sz w:val="24"/>
        </w:rPr>
        <w:t>、品牌</w:t>
      </w:r>
      <w:r>
        <w:rPr>
          <w:rFonts w:ascii="宋体" w:hAnsi="宋体" w:eastAsia="宋体"/>
          <w:sz w:val="24"/>
        </w:rPr>
        <w:t>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w:t>
      </w:r>
      <w:r>
        <w:rPr>
          <w:rFonts w:hint="eastAsia" w:ascii="宋体" w:hAnsi="宋体" w:eastAsia="宋体"/>
          <w:sz w:val="24"/>
        </w:rPr>
        <w:t>、品牌</w:t>
      </w:r>
      <w:r>
        <w:rPr>
          <w:rFonts w:ascii="宋体" w:hAnsi="宋体" w:eastAsia="宋体"/>
          <w:sz w:val="24"/>
        </w:rPr>
        <w:t>，且此方案</w:t>
      </w:r>
      <w:r>
        <w:rPr>
          <w:rFonts w:hint="eastAsia" w:ascii="宋体" w:hAnsi="宋体" w:eastAsia="宋体"/>
          <w:sz w:val="24"/>
        </w:rPr>
        <w:t>、品牌</w:t>
      </w:r>
      <w:r>
        <w:rPr>
          <w:rFonts w:ascii="宋体" w:hAnsi="宋体" w:eastAsia="宋体"/>
          <w:sz w:val="24"/>
        </w:rPr>
        <w:t>须经</w:t>
      </w:r>
      <w:r>
        <w:rPr>
          <w:rFonts w:hint="eastAsia" w:ascii="宋体" w:hAnsi="宋体" w:eastAsia="宋体"/>
          <w:sz w:val="24"/>
        </w:rPr>
        <w:t>谈判</w:t>
      </w:r>
      <w:r>
        <w:rPr>
          <w:rFonts w:ascii="宋体" w:hAnsi="宋体" w:eastAsia="宋体"/>
          <w:sz w:val="24"/>
        </w:rPr>
        <w:t>小组评审认可</w:t>
      </w:r>
      <w:r>
        <w:rPr>
          <w:rFonts w:hint="eastAsia" w:ascii="宋体" w:hAnsi="宋体" w:eastAsia="宋体"/>
          <w:sz w:val="24"/>
        </w:rPr>
        <w:t>。</w:t>
      </w:r>
    </w:p>
    <w:p w14:paraId="16B887AF">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7B392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75CC6F82">
            <w:pPr>
              <w:pStyle w:val="6"/>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noWrap w:val="0"/>
            <w:vAlign w:val="center"/>
          </w:tcPr>
          <w:p w14:paraId="1AD804EB">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noWrap w:val="0"/>
            <w:vAlign w:val="center"/>
          </w:tcPr>
          <w:p w14:paraId="57CA8079">
            <w:pPr>
              <w:pStyle w:val="7"/>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7A0A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40F445C6">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noWrap w:val="0"/>
            <w:vAlign w:val="center"/>
          </w:tcPr>
          <w:p w14:paraId="74182616">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noWrap w:val="0"/>
            <w:vAlign w:val="center"/>
          </w:tcPr>
          <w:p w14:paraId="4E2D98A4">
            <w:pPr>
              <w:pStyle w:val="7"/>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验收合格后，2周内支付成交金额的100%。</w:t>
            </w:r>
          </w:p>
        </w:tc>
      </w:tr>
      <w:tr w14:paraId="1F78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2718EAB7">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noWrap w:val="0"/>
            <w:vAlign w:val="center"/>
          </w:tcPr>
          <w:p w14:paraId="0EFB208E">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noWrap w:val="0"/>
            <w:vAlign w:val="center"/>
          </w:tcPr>
          <w:p w14:paraId="4B77DB0B">
            <w:pPr>
              <w:pStyle w:val="7"/>
              <w:widowControl w:val="0"/>
              <w:wordWrap w:val="0"/>
              <w:spacing w:before="0" w:beforeAutospacing="0" w:after="0" w:afterAutospacing="0" w:line="360" w:lineRule="auto"/>
              <w:jc w:val="left"/>
              <w:rPr>
                <w:rFonts w:ascii="宋体" w:hAnsi="宋体" w:eastAsia="宋体"/>
                <w:b w:val="0"/>
                <w:bCs w:val="0"/>
                <w:sz w:val="24"/>
              </w:rPr>
            </w:pPr>
            <w:r>
              <w:rPr>
                <w:rFonts w:hint="eastAsia" w:ascii="宋体" w:hAnsi="宋体" w:eastAsia="宋体"/>
                <w:b w:val="0"/>
                <w:bCs w:val="0"/>
                <w:sz w:val="24"/>
              </w:rPr>
              <w:t>安徽理工大学或采购人指定地点</w:t>
            </w:r>
          </w:p>
        </w:tc>
      </w:tr>
      <w:tr w14:paraId="37924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687DA751">
            <w:pPr>
              <w:pStyle w:val="6"/>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noWrap w:val="0"/>
            <w:vAlign w:val="center"/>
          </w:tcPr>
          <w:p w14:paraId="52F7C8C8">
            <w:pPr>
              <w:pStyle w:val="7"/>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noWrap w:val="0"/>
            <w:vAlign w:val="center"/>
          </w:tcPr>
          <w:p w14:paraId="0034F21C">
            <w:pPr>
              <w:pStyle w:val="7"/>
              <w:widowControl w:val="0"/>
              <w:wordWrap w:val="0"/>
              <w:spacing w:before="0" w:beforeAutospacing="0" w:after="0" w:afterAutospacing="0" w:line="360" w:lineRule="auto"/>
              <w:jc w:val="left"/>
              <w:rPr>
                <w:rFonts w:hint="eastAsia" w:ascii="宋体" w:hAnsi="宋体" w:eastAsia="宋体"/>
                <w:b w:val="0"/>
                <w:bCs w:val="0"/>
                <w:sz w:val="24"/>
              </w:rPr>
            </w:pPr>
            <w:r>
              <w:rPr>
                <w:rFonts w:hint="eastAsia" w:ascii="宋体" w:hAnsi="宋体" w:eastAsia="宋体"/>
                <w:b w:val="0"/>
                <w:bCs w:val="0"/>
                <w:sz w:val="24"/>
              </w:rPr>
              <w:t>合同签订之日起1</w:t>
            </w:r>
            <w:r>
              <w:rPr>
                <w:rFonts w:ascii="宋体" w:hAnsi="宋体" w:eastAsia="宋体"/>
                <w:b w:val="0"/>
                <w:bCs w:val="0"/>
                <w:sz w:val="24"/>
              </w:rPr>
              <w:t>0日历天</w:t>
            </w:r>
            <w:r>
              <w:rPr>
                <w:rFonts w:hint="eastAsia" w:ascii="宋体" w:hAnsi="宋体" w:eastAsia="宋体"/>
                <w:b w:val="0"/>
                <w:bCs w:val="0"/>
                <w:sz w:val="24"/>
              </w:rPr>
              <w:t>内完成供货安装工作。</w:t>
            </w:r>
          </w:p>
        </w:tc>
      </w:tr>
      <w:tr w14:paraId="1A852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4E8899BA">
            <w:pPr>
              <w:pStyle w:val="6"/>
              <w:pBdr>
                <w:bottom w:val="none" w:color="auto" w:sz="0" w:space="0"/>
              </w:pBdr>
              <w:tabs>
                <w:tab w:val="clear" w:pos="4153"/>
                <w:tab w:val="clear" w:pos="8306"/>
              </w:tabs>
              <w:adjustRightInd/>
              <w:spacing w:line="240" w:lineRule="auto"/>
              <w:textAlignment w:val="auto"/>
              <w:rPr>
                <w:rFonts w:hint="eastAsia" w:ascii="宋体" w:hAnsi="宋体" w:eastAsia="宋体"/>
                <w:bCs/>
                <w:kern w:val="2"/>
              </w:rPr>
            </w:pPr>
            <w:r>
              <w:rPr>
                <w:rFonts w:hint="eastAsia" w:ascii="宋体" w:hAnsi="宋体" w:eastAsia="宋体"/>
                <w:bCs/>
                <w:kern w:val="2"/>
              </w:rPr>
              <w:t>4</w:t>
            </w:r>
          </w:p>
        </w:tc>
        <w:tc>
          <w:tcPr>
            <w:tcW w:w="2054" w:type="dxa"/>
            <w:noWrap w:val="0"/>
            <w:vAlign w:val="center"/>
          </w:tcPr>
          <w:p w14:paraId="2F7EA633">
            <w:pPr>
              <w:pStyle w:val="7"/>
              <w:widowControl w:val="0"/>
              <w:spacing w:before="0" w:beforeAutospacing="0" w:after="0" w:afterAutospacing="0" w:line="360" w:lineRule="auto"/>
              <w:rPr>
                <w:rFonts w:hint="eastAsia" w:ascii="宋体" w:hAnsi="宋体" w:eastAsia="宋体"/>
                <w:b w:val="0"/>
                <w:sz w:val="24"/>
              </w:rPr>
            </w:pPr>
            <w:r>
              <w:rPr>
                <w:rFonts w:hint="eastAsia" w:ascii="宋体" w:hAnsi="宋体" w:eastAsia="宋体"/>
                <w:b w:val="0"/>
                <w:sz w:val="24"/>
              </w:rPr>
              <w:t>免费质保期</w:t>
            </w:r>
          </w:p>
        </w:tc>
        <w:tc>
          <w:tcPr>
            <w:tcW w:w="5544" w:type="dxa"/>
            <w:noWrap w:val="0"/>
            <w:vAlign w:val="center"/>
          </w:tcPr>
          <w:p w14:paraId="0ACFE5F1">
            <w:pPr>
              <w:pStyle w:val="7"/>
              <w:widowControl w:val="0"/>
              <w:wordWrap w:val="0"/>
              <w:spacing w:before="0" w:beforeAutospacing="0" w:after="0" w:afterAutospacing="0" w:line="360" w:lineRule="auto"/>
              <w:jc w:val="left"/>
              <w:rPr>
                <w:rFonts w:ascii="宋体" w:hAnsi="宋体" w:eastAsia="宋体"/>
                <w:b w:val="0"/>
                <w:bCs w:val="0"/>
                <w:sz w:val="24"/>
              </w:rPr>
            </w:pPr>
            <w:r>
              <w:rPr>
                <w:rFonts w:hint="eastAsia" w:ascii="宋体" w:hAnsi="宋体" w:eastAsia="宋体" w:cs="宋体"/>
                <w:b w:val="0"/>
                <w:bCs w:val="0"/>
                <w:sz w:val="24"/>
                <w:szCs w:val="24"/>
              </w:rPr>
              <w:t>自验收合格之日起不少于2年，</w:t>
            </w:r>
            <w:r>
              <w:rPr>
                <w:rFonts w:ascii="Times New Roman" w:hAnsi="Times New Roman" w:eastAsia="宋体" w:cs="Times New Roman"/>
                <w:sz w:val="24"/>
                <w:szCs w:val="24"/>
              </w:rPr>
              <w:t>货物需求表另有规定的，以货物需求表为准。</w:t>
            </w:r>
          </w:p>
        </w:tc>
      </w:tr>
    </w:tbl>
    <w:p w14:paraId="7848A56D">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二、货物需求</w:t>
      </w:r>
    </w:p>
    <w:p w14:paraId="56CBA43B">
      <w:pPr>
        <w:wordWrap w:val="0"/>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（一）货物需求说明</w:t>
      </w:r>
    </w:p>
    <w:tbl>
      <w:tblPr>
        <w:tblStyle w:val="4"/>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58"/>
        <w:gridCol w:w="5751"/>
      </w:tblGrid>
      <w:tr w14:paraId="0BF8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0E825137">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标识重要性</w:t>
            </w:r>
          </w:p>
        </w:tc>
        <w:tc>
          <w:tcPr>
            <w:tcW w:w="1258" w:type="dxa"/>
            <w:noWrap w:val="0"/>
            <w:vAlign w:val="center"/>
          </w:tcPr>
          <w:p w14:paraId="7D0D301A">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标识符号</w:t>
            </w:r>
          </w:p>
        </w:tc>
        <w:tc>
          <w:tcPr>
            <w:tcW w:w="5751" w:type="dxa"/>
            <w:noWrap w:val="0"/>
            <w:vAlign w:val="center"/>
          </w:tcPr>
          <w:p w14:paraId="0B74A54C">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代表意思</w:t>
            </w:r>
          </w:p>
        </w:tc>
      </w:tr>
      <w:tr w14:paraId="4A50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79904C78">
            <w:pPr>
              <w:spacing w:line="360" w:lineRule="exact"/>
              <w:jc w:val="center"/>
              <w:rPr>
                <w:rFonts w:ascii="Times New Roman" w:hAnsi="Times New Roman" w:eastAsia="宋体" w:cs="Times New Roman"/>
                <w:b/>
                <w:bCs/>
                <w:sz w:val="24"/>
              </w:rPr>
            </w:pPr>
            <w:r>
              <w:rPr>
                <w:rFonts w:hint="eastAsia" w:ascii="宋体" w:hAnsi="宋体" w:eastAsia="宋体" w:cs="宋体"/>
                <w:b/>
                <w:bCs/>
                <w:sz w:val="24"/>
              </w:rPr>
              <w:t>核心指标项</w:t>
            </w:r>
          </w:p>
        </w:tc>
        <w:tc>
          <w:tcPr>
            <w:tcW w:w="1258" w:type="dxa"/>
            <w:noWrap w:val="0"/>
            <w:vAlign w:val="center"/>
          </w:tcPr>
          <w:p w14:paraId="498C3864">
            <w:pPr>
              <w:spacing w:line="360" w:lineRule="exact"/>
              <w:jc w:val="center"/>
              <w:rPr>
                <w:rFonts w:ascii="Times New Roman" w:hAnsi="Times New Roman" w:eastAsia="宋体" w:cs="Times New Roman"/>
                <w:b/>
                <w:bCs/>
                <w:sz w:val="28"/>
                <w:szCs w:val="28"/>
              </w:rPr>
            </w:pPr>
            <w:r>
              <w:rPr>
                <w:rFonts w:hint="eastAsia" w:ascii="宋体" w:hAnsi="宋体" w:eastAsia="宋体" w:cs="宋体"/>
                <w:b/>
                <w:bCs/>
                <w:sz w:val="24"/>
              </w:rPr>
              <w:t>★</w:t>
            </w:r>
          </w:p>
        </w:tc>
        <w:tc>
          <w:tcPr>
            <w:tcW w:w="5751" w:type="dxa"/>
            <w:noWrap w:val="0"/>
            <w:vAlign w:val="center"/>
          </w:tcPr>
          <w:p w14:paraId="759C3C61">
            <w:pPr>
              <w:pStyle w:val="7"/>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作为实质性要求，负偏离（或未响应），将导致响应无效。</w:t>
            </w:r>
          </w:p>
        </w:tc>
      </w:tr>
      <w:tr w14:paraId="5F438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71897D26">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一般技术指标（无标识项）</w:t>
            </w:r>
          </w:p>
        </w:tc>
        <w:tc>
          <w:tcPr>
            <w:tcW w:w="1258" w:type="dxa"/>
            <w:noWrap w:val="0"/>
            <w:vAlign w:val="center"/>
          </w:tcPr>
          <w:p w14:paraId="35ACDE08">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无</w:t>
            </w:r>
          </w:p>
        </w:tc>
        <w:tc>
          <w:tcPr>
            <w:tcW w:w="5751" w:type="dxa"/>
            <w:noWrap w:val="0"/>
            <w:vAlign w:val="center"/>
          </w:tcPr>
          <w:p w14:paraId="666625F7">
            <w:pPr>
              <w:spacing w:line="360" w:lineRule="auto"/>
              <w:jc w:val="left"/>
              <w:rPr>
                <w:rFonts w:hint="eastAsia" w:ascii="宋体" w:hAnsi="宋体" w:eastAsia="宋体" w:cs="宋体"/>
                <w:sz w:val="24"/>
                <w:szCs w:val="18"/>
              </w:rPr>
            </w:pPr>
            <w:r>
              <w:rPr>
                <w:rFonts w:ascii="宋体" w:hAnsi="宋体" w:eastAsia="宋体" w:cs="宋体"/>
                <w:b/>
                <w:kern w:val="0"/>
                <w:sz w:val="24"/>
                <w:szCs w:val="24"/>
              </w:rPr>
              <w:t>作为基础指标，</w:t>
            </w:r>
            <w:r>
              <w:rPr>
                <w:rFonts w:hint="eastAsia" w:ascii="宋体" w:hAnsi="宋体" w:eastAsia="宋体" w:cs="宋体"/>
                <w:b/>
                <w:kern w:val="0"/>
                <w:sz w:val="24"/>
                <w:szCs w:val="24"/>
              </w:rPr>
              <w:t>最大偏离数量为5项，超过5项（不含5项）以上</w:t>
            </w:r>
            <w:r>
              <w:rPr>
                <w:rFonts w:hint="eastAsia" w:ascii="Times New Roman" w:hAnsi="Times New Roman" w:eastAsia="宋体" w:cs="Times New Roman"/>
                <w:b/>
                <w:sz w:val="24"/>
                <w:szCs w:val="22"/>
              </w:rPr>
              <w:t>负偏离（或未响应），将导致响应无效。</w:t>
            </w:r>
          </w:p>
        </w:tc>
      </w:tr>
      <w:tr w14:paraId="7F99E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0" w:type="dxa"/>
            <w:gridSpan w:val="3"/>
            <w:noWrap w:val="0"/>
            <w:vAlign w:val="center"/>
          </w:tcPr>
          <w:p w14:paraId="57C7F22F">
            <w:pPr>
              <w:spacing w:line="360" w:lineRule="auto"/>
              <w:rPr>
                <w:rFonts w:hint="eastAsia" w:ascii="宋体" w:hAnsi="宋体" w:eastAsia="宋体" w:cs="宋体"/>
                <w:b/>
                <w:sz w:val="24"/>
              </w:rPr>
            </w:pPr>
            <w:r>
              <w:rPr>
                <w:rFonts w:hint="eastAsia" w:ascii="宋体" w:hAnsi="宋体" w:eastAsia="宋体" w:cs="宋体"/>
                <w:b/>
                <w:kern w:val="0"/>
                <w:sz w:val="24"/>
                <w:szCs w:val="24"/>
              </w:rPr>
              <w:t>注：</w:t>
            </w:r>
          </w:p>
          <w:p w14:paraId="15775DA0">
            <w:pPr>
              <w:spacing w:line="360" w:lineRule="auto"/>
              <w:jc w:val="left"/>
              <w:rPr>
                <w:rFonts w:hint="eastAsia" w:ascii="宋体" w:hAnsi="宋体" w:eastAsia="宋体" w:cs="宋体"/>
                <w:b/>
                <w:bCs/>
                <w:color w:val="FF0000"/>
                <w:sz w:val="24"/>
                <w:szCs w:val="24"/>
              </w:rPr>
            </w:pPr>
            <w:r>
              <w:rPr>
                <w:rFonts w:hint="eastAsia" w:ascii="宋体" w:hAnsi="宋体" w:eastAsia="宋体" w:cs="宋体"/>
                <w:b/>
                <w:bCs/>
                <w:color w:val="FF0000"/>
                <w:sz w:val="24"/>
                <w:szCs w:val="24"/>
              </w:rPr>
              <w:t>（1）针对下表中标注★的指标项须在响应文件中提供证明材料予以佐证。</w:t>
            </w:r>
          </w:p>
          <w:p w14:paraId="7D87AB24">
            <w:pPr>
              <w:spacing w:line="360" w:lineRule="auto"/>
              <w:jc w:val="left"/>
              <w:rPr>
                <w:rFonts w:hint="eastAsia" w:ascii="宋体" w:hAnsi="宋体" w:eastAsia="宋体" w:cs="宋体"/>
                <w:b/>
                <w:sz w:val="24"/>
                <w:szCs w:val="24"/>
                <w:lang w:val="zh-CN"/>
              </w:rPr>
            </w:pPr>
            <w:r>
              <w:rPr>
                <w:rFonts w:hint="eastAsia" w:ascii="宋体" w:hAnsi="宋体" w:eastAsia="宋体" w:cs="宋体"/>
                <w:b/>
                <w:sz w:val="24"/>
                <w:szCs w:val="24"/>
              </w:rPr>
              <w:t>1.采购需求中</w:t>
            </w:r>
            <w:r>
              <w:rPr>
                <w:rFonts w:hint="eastAsia" w:ascii="宋体" w:hAnsi="宋体" w:eastAsia="宋体" w:cs="宋体"/>
                <w:b/>
                <w:sz w:val="24"/>
                <w:szCs w:val="24"/>
                <w:lang w:val="zh-CN"/>
              </w:rPr>
              <w:t>明确要求提供</w:t>
            </w:r>
            <w:r>
              <w:rPr>
                <w:rFonts w:hint="eastAsia" w:ascii="宋体" w:hAnsi="宋体" w:eastAsia="宋体" w:cs="宋体"/>
                <w:b/>
                <w:sz w:val="24"/>
                <w:szCs w:val="24"/>
              </w:rPr>
              <w:t>相关</w:t>
            </w:r>
            <w:r>
              <w:rPr>
                <w:rFonts w:hint="eastAsia" w:ascii="宋体" w:hAnsi="宋体" w:eastAsia="宋体" w:cs="宋体"/>
                <w:b/>
                <w:sz w:val="24"/>
                <w:szCs w:val="24"/>
                <w:lang w:val="zh-CN"/>
              </w:rPr>
              <w:t>材料</w:t>
            </w:r>
            <w:r>
              <w:rPr>
                <w:rFonts w:hint="eastAsia" w:ascii="宋体" w:hAnsi="宋体" w:eastAsia="宋体" w:cs="宋体"/>
                <w:b/>
                <w:sz w:val="24"/>
                <w:szCs w:val="24"/>
              </w:rPr>
              <w:t>的</w:t>
            </w:r>
            <w:r>
              <w:rPr>
                <w:rFonts w:hint="eastAsia" w:ascii="宋体" w:hAnsi="宋体" w:eastAsia="宋体" w:cs="宋体"/>
                <w:b/>
                <w:sz w:val="24"/>
                <w:szCs w:val="24"/>
                <w:lang w:val="zh-CN"/>
              </w:rPr>
              <w:t>按采购需求要求提供</w:t>
            </w:r>
            <w:r>
              <w:rPr>
                <w:rFonts w:hint="eastAsia" w:ascii="宋体" w:hAnsi="宋体" w:eastAsia="宋体" w:cs="宋体"/>
                <w:b/>
                <w:sz w:val="24"/>
                <w:szCs w:val="24"/>
              </w:rPr>
              <w:t>对应证明材料</w:t>
            </w:r>
            <w:r>
              <w:rPr>
                <w:rFonts w:hint="eastAsia" w:ascii="宋体" w:hAnsi="宋体" w:eastAsia="宋体" w:cs="宋体"/>
                <w:b/>
                <w:sz w:val="24"/>
                <w:szCs w:val="24"/>
                <w:lang w:val="zh-CN"/>
              </w:rPr>
              <w:t>；</w:t>
            </w:r>
          </w:p>
          <w:p w14:paraId="143A781C">
            <w:pPr>
              <w:spacing w:line="360" w:lineRule="auto"/>
              <w:rPr>
                <w:rFonts w:hint="eastAsia" w:ascii="宋体" w:hAnsi="宋体" w:eastAsia="宋体" w:cs="宋体"/>
                <w:b/>
                <w:bCs/>
                <w:sz w:val="24"/>
                <w:szCs w:val="24"/>
              </w:rPr>
            </w:pPr>
            <w:r>
              <w:rPr>
                <w:rFonts w:hint="eastAsia" w:ascii="宋体" w:hAnsi="宋体" w:eastAsia="宋体" w:cs="宋体"/>
                <w:b/>
                <w:sz w:val="24"/>
                <w:szCs w:val="24"/>
              </w:rPr>
              <w:t>2.采购需求中未明确要求提供证明料的，供应商须自行提供</w:t>
            </w:r>
            <w:r>
              <w:rPr>
                <w:rFonts w:hint="eastAsia" w:ascii="宋体" w:hAnsi="宋体" w:eastAsia="宋体" w:cs="宋体"/>
                <w:b/>
                <w:bCs/>
                <w:sz w:val="24"/>
                <w:szCs w:val="24"/>
              </w:rPr>
              <w:t>证明材料，包括产品技术白皮书、产品技术说明书、产品彩页（产品功能截图）、厂家（制造商）官网截图、第三方机构出具的带有CMA标识的检测报告，提供其中之一即可。未按以上要求提供证明材料的视为负偏离或未响应（为便于评审，建议供应商对证明材料中的关键参数进行标注）。</w:t>
            </w:r>
          </w:p>
          <w:p w14:paraId="4FDC67DE">
            <w:pPr>
              <w:spacing w:line="360" w:lineRule="auto"/>
              <w:jc w:val="left"/>
              <w:rPr>
                <w:rFonts w:ascii="Times New Roman" w:hAnsi="Times New Roman" w:eastAsia="宋体" w:cs="Times New Roman"/>
                <w:sz w:val="24"/>
              </w:rPr>
            </w:pPr>
            <w:r>
              <w:rPr>
                <w:rFonts w:hint="eastAsia" w:ascii="宋体" w:hAnsi="宋体" w:eastAsia="宋体" w:cs="宋体"/>
                <w:b/>
                <w:sz w:val="24"/>
              </w:rPr>
              <w:t>（2）如某项标识中包含多条技术参数或要求，则该项标识所含内容均需满足或优于谈判文件要求，否则不予认可。</w:t>
            </w:r>
          </w:p>
        </w:tc>
      </w:tr>
    </w:tbl>
    <w:p w14:paraId="7637B571">
      <w:pPr>
        <w:spacing w:line="360" w:lineRule="auto"/>
        <w:ind w:firstLine="480" w:firstLineChars="200"/>
        <w:rPr>
          <w:rFonts w:ascii="宋体" w:hAnsi="宋体" w:eastAsia="宋体"/>
          <w:b/>
          <w:sz w:val="28"/>
          <w:szCs w:val="28"/>
        </w:rPr>
      </w:pPr>
      <w:r>
        <w:rPr>
          <w:rFonts w:hint="eastAsia" w:ascii="宋体" w:hAnsi="宋体" w:eastAsia="宋体" w:cs="宋体"/>
          <w:bCs/>
          <w:sz w:val="24"/>
          <w:szCs w:val="24"/>
        </w:rPr>
        <w:t>（二）货物参数</w:t>
      </w:r>
    </w:p>
    <w:tbl>
      <w:tblPr>
        <w:tblStyle w:val="4"/>
        <w:tblW w:w="8604" w:type="dxa"/>
        <w:jc w:val="center"/>
        <w:tblLayout w:type="fixed"/>
        <w:tblCellMar>
          <w:top w:w="0" w:type="dxa"/>
          <w:left w:w="108" w:type="dxa"/>
          <w:bottom w:w="0" w:type="dxa"/>
          <w:right w:w="108" w:type="dxa"/>
        </w:tblCellMar>
      </w:tblPr>
      <w:tblGrid>
        <w:gridCol w:w="666"/>
        <w:gridCol w:w="883"/>
        <w:gridCol w:w="5124"/>
        <w:gridCol w:w="589"/>
        <w:gridCol w:w="816"/>
        <w:gridCol w:w="526"/>
      </w:tblGrid>
      <w:tr w14:paraId="60963BC9">
        <w:tblPrEx>
          <w:tblCellMar>
            <w:top w:w="0" w:type="dxa"/>
            <w:left w:w="108" w:type="dxa"/>
            <w:bottom w:w="0" w:type="dxa"/>
            <w:right w:w="108" w:type="dxa"/>
          </w:tblCellMar>
        </w:tblPrEx>
        <w:trPr>
          <w:trHeight w:val="480" w:hRule="atLeast"/>
          <w:jc w:val="center"/>
        </w:trPr>
        <w:tc>
          <w:tcPr>
            <w:tcW w:w="666" w:type="dxa"/>
            <w:tcBorders>
              <w:top w:val="single" w:color="000000" w:sz="4" w:space="0"/>
              <w:left w:val="single" w:color="000000" w:sz="4" w:space="0"/>
              <w:bottom w:val="single" w:color="000000" w:sz="4" w:space="0"/>
              <w:right w:val="single" w:color="000000" w:sz="4" w:space="0"/>
            </w:tcBorders>
            <w:noWrap/>
            <w:vAlign w:val="center"/>
          </w:tcPr>
          <w:p w14:paraId="61AB63F0">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序号</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5338FFC">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名称</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7E952954">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技术参数</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2650E408">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单位</w:t>
            </w: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2E6693A9">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数量</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4204D7B5">
            <w:pPr>
              <w:widowControl/>
              <w:jc w:val="center"/>
              <w:textAlignment w:val="center"/>
              <w:rPr>
                <w:rFonts w:ascii="宋体" w:hAnsi="宋体" w:eastAsia="宋体" w:cs="宋体"/>
                <w:b/>
                <w:bCs/>
                <w:color w:val="000000"/>
                <w:sz w:val="20"/>
              </w:rPr>
            </w:pPr>
            <w:r>
              <w:rPr>
                <w:rFonts w:hint="eastAsia" w:ascii="宋体" w:hAnsi="宋体" w:eastAsia="宋体" w:cs="宋体"/>
                <w:b/>
                <w:bCs/>
                <w:color w:val="000000"/>
                <w:kern w:val="0"/>
                <w:sz w:val="20"/>
                <w:lang w:bidi="ar"/>
              </w:rPr>
              <w:t>备注</w:t>
            </w:r>
          </w:p>
        </w:tc>
      </w:tr>
      <w:tr w14:paraId="3B0935B0">
        <w:tblPrEx>
          <w:tblCellMar>
            <w:top w:w="0" w:type="dxa"/>
            <w:left w:w="108" w:type="dxa"/>
            <w:bottom w:w="0" w:type="dxa"/>
            <w:right w:w="108" w:type="dxa"/>
          </w:tblCellMar>
        </w:tblPrEx>
        <w:trPr>
          <w:trHeight w:val="1704"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6A8A253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12E3D26E">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室内全彩显示屏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0F551B5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r>
              <w:rPr>
                <w:rFonts w:hint="eastAsia" w:ascii="宋体" w:hAnsi="宋体" w:eastAsia="宋体" w:cs="宋体"/>
                <w:kern w:val="0"/>
                <w:sz w:val="24"/>
                <w:szCs w:val="24"/>
                <w:lang w:bidi="ar"/>
              </w:rPr>
              <w:t>显示尺寸：裸屏尺寸不小于3.84m×1.76m。</w:t>
            </w:r>
            <w:r>
              <w:rPr>
                <w:rFonts w:hint="eastAsia" w:ascii="宋体" w:hAnsi="宋体" w:eastAsia="宋体" w:cs="宋体"/>
                <w:color w:val="000000"/>
                <w:kern w:val="0"/>
                <w:sz w:val="24"/>
                <w:szCs w:val="24"/>
                <w:lang w:bidi="ar"/>
              </w:rPr>
              <w:t>像素点间距：≤1.538mm。像素密度：</w:t>
            </w:r>
            <w:r>
              <w:rPr>
                <w:rFonts w:hint="eastAsia" w:ascii="宋体" w:hAnsi="宋体" w:eastAsia="宋体" w:cs="宋体"/>
                <w:color w:val="000000"/>
                <w:kern w:val="0"/>
                <w:sz w:val="24"/>
                <w:szCs w:val="24"/>
                <w:lang w:val="en-US" w:eastAsia="zh-CN" w:bidi="ar"/>
              </w:rPr>
              <w:t>不弱于</w:t>
            </w:r>
            <w:r>
              <w:rPr>
                <w:rFonts w:hint="eastAsia" w:ascii="宋体" w:hAnsi="宋体" w:eastAsia="宋体" w:cs="宋体"/>
                <w:color w:val="000000"/>
                <w:kern w:val="0"/>
                <w:sz w:val="24"/>
                <w:szCs w:val="24"/>
                <w:lang w:bidi="ar"/>
              </w:rPr>
              <w:t>422500/㎡</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模组分辨（W*H）：不低于208*104；</w:t>
            </w:r>
          </w:p>
          <w:p w14:paraId="39719DF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2、视角（水平、垂直）：H不低于171°V不低于166°；</w:t>
            </w:r>
          </w:p>
          <w:p w14:paraId="3B33AEF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3、平整度：P不低于0.05mm；</w:t>
            </w:r>
          </w:p>
          <w:p w14:paraId="2801BB2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4、白平衡亮度:不低于600cd/㎡；</w:t>
            </w:r>
          </w:p>
          <w:p w14:paraId="5FFE0FC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★5、亮度调节功能：0-100%高度可调，屏幕高度具有随环境照度的变化任意调整功能；</w:t>
            </w:r>
          </w:p>
          <w:p w14:paraId="2F0C7DF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6、换帧频率：不低于60HZ；</w:t>
            </w:r>
          </w:p>
          <w:p w14:paraId="6BE8688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★7、刷新频率：不低于3840.0HZ；</w:t>
            </w:r>
          </w:p>
          <w:p w14:paraId="31289BD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8、最大对比度：不低于8000:1；</w:t>
            </w:r>
          </w:p>
          <w:p w14:paraId="2850CD4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★9、色温：3000~21000可调；</w:t>
            </w:r>
          </w:p>
          <w:p w14:paraId="14F5904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★10、最大功耗：≤600W/㎡；平均功耗：不高于200W/㎡；；</w:t>
            </w:r>
          </w:p>
          <w:p w14:paraId="06E2486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11、亮度均匀性：Icu≥98%，色度均匀性±0.002Cx，Cy之内；</w:t>
            </w:r>
          </w:p>
          <w:p w14:paraId="18CB153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★12、发光点间距偏差：JX≤2.5%；</w:t>
            </w:r>
          </w:p>
          <w:p w14:paraId="6A4D504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★13、低亮高灰：100%高度时，16bit灰度；</w:t>
            </w:r>
          </w:p>
          <w:p w14:paraId="63C77AC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70%亮度时，16bit灰度；    </w:t>
            </w:r>
          </w:p>
          <w:p w14:paraId="4924FA2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50%亮度时，16bit灰度；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14.防潮工作运行：在 10%-90%的湿度环境下</w:t>
            </w:r>
          </w:p>
          <w:p w14:paraId="2BAC326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检测工作正常       </w:t>
            </w:r>
            <w:r>
              <w:rPr>
                <w:rFonts w:hint="eastAsia" w:ascii="宋体" w:hAnsi="宋体" w:eastAsia="宋体" w:cs="宋体"/>
                <w:color w:val="000000"/>
                <w:kern w:val="0"/>
                <w:sz w:val="24"/>
                <w:szCs w:val="24"/>
                <w:lang w:bidi="ar"/>
              </w:rPr>
              <w:br w:type="textWrapping"/>
            </w:r>
            <w:r>
              <w:rPr>
                <w:rFonts w:hint="eastAsia" w:ascii="宋体" w:hAnsi="宋体" w:eastAsia="宋体" w:cs="宋体"/>
                <w:b/>
                <w:bCs/>
                <w:color w:val="000000"/>
                <w:kern w:val="0"/>
                <w:sz w:val="24"/>
                <w:szCs w:val="24"/>
                <w:lang w:bidi="ar"/>
              </w:rPr>
              <w:t>★15.产品应具有中国强制性产品认证3C证书、中国节能产品认证证书并提供证书复印件或影印件。</w:t>
            </w:r>
            <w:r>
              <w:rPr>
                <w:rFonts w:hint="eastAsia" w:ascii="宋体" w:hAnsi="宋体" w:eastAsia="宋体" w:cs="宋体"/>
                <w:b/>
                <w:color w:val="FF0000"/>
                <w:kern w:val="0"/>
                <w:sz w:val="24"/>
                <w:szCs w:val="24"/>
                <w:lang w:bidi="ar"/>
              </w:rPr>
              <w:br w:type="textWrapping"/>
            </w:r>
            <w:r>
              <w:rPr>
                <w:rFonts w:hint="eastAsia" w:ascii="宋体" w:hAnsi="宋体" w:eastAsia="宋体" w:cs="宋体"/>
                <w:color w:val="000000"/>
                <w:kern w:val="0"/>
                <w:sz w:val="24"/>
                <w:szCs w:val="24"/>
                <w:lang w:bidi="ar"/>
              </w:rPr>
              <w:t>16.视觉舒适度：（VICO指数）范围在0-1级，满足CSA035.2-2017标准，通过光生物安全及蓝光危害评估无危害类检测。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17.显示屏灯珠进行了耐焊耐热，冷热冲击，漏电等实验，显示正常。</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18.恒定湿热试验温度85℃在试验时间不低于168h后无异常。</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037E7F8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3D4A38BC">
            <w:pPr>
              <w:widowControl/>
              <w:jc w:val="center"/>
              <w:textAlignment w:val="center"/>
              <w:rPr>
                <w:rFonts w:hint="eastAsia" w:ascii="宋体" w:hAnsi="宋体" w:eastAsia="宋体" w:cs="宋体"/>
                <w:color w:val="000000"/>
                <w:sz w:val="24"/>
                <w:szCs w:val="24"/>
              </w:rPr>
            </w:pPr>
            <w:bookmarkStart w:id="1" w:name="OLE_LINK17"/>
            <w:bookmarkStart w:id="2" w:name="OLE_LINK16"/>
            <w:r>
              <w:rPr>
                <w:rFonts w:hint="eastAsia" w:ascii="宋体" w:hAnsi="宋体" w:eastAsia="宋体" w:cs="宋体"/>
                <w:color w:val="000000"/>
                <w:kern w:val="0"/>
                <w:sz w:val="24"/>
                <w:szCs w:val="24"/>
                <w:lang w:bidi="ar"/>
              </w:rPr>
              <w:t>6.76</w:t>
            </w:r>
            <w:bookmarkEnd w:id="1"/>
            <w:bookmarkEnd w:id="2"/>
            <w:r>
              <w:rPr>
                <w:rFonts w:hint="eastAsia" w:ascii="宋体" w:hAnsi="宋体" w:eastAsia="宋体" w:cs="宋体"/>
                <w:color w:val="000000"/>
                <w:kern w:val="0"/>
                <w:sz w:val="24"/>
                <w:szCs w:val="24"/>
                <w:lang w:bidi="ar"/>
              </w:rPr>
              <w:t xml:space="preserve"> </w:t>
            </w:r>
          </w:p>
        </w:tc>
        <w:tc>
          <w:tcPr>
            <w:tcW w:w="526" w:type="dxa"/>
            <w:tcBorders>
              <w:top w:val="single" w:color="000000" w:sz="4" w:space="0"/>
              <w:left w:val="single" w:color="000000" w:sz="4" w:space="0"/>
              <w:bottom w:val="single" w:color="000000" w:sz="4" w:space="0"/>
              <w:right w:val="single" w:color="000000" w:sz="4" w:space="0"/>
            </w:tcBorders>
            <w:noWrap w:val="0"/>
            <w:vAlign w:val="center"/>
          </w:tcPr>
          <w:p w14:paraId="5D5ED05A">
            <w:pPr>
              <w:jc w:val="center"/>
              <w:rPr>
                <w:rFonts w:hint="eastAsia" w:ascii="宋体" w:hAnsi="宋体" w:eastAsia="宋体" w:cs="宋体"/>
                <w:color w:val="000000"/>
                <w:sz w:val="24"/>
                <w:szCs w:val="24"/>
              </w:rPr>
            </w:pPr>
          </w:p>
        </w:tc>
      </w:tr>
      <w:tr w14:paraId="2C65FA11">
        <w:tblPrEx>
          <w:tblCellMar>
            <w:top w:w="0" w:type="dxa"/>
            <w:left w:w="108" w:type="dxa"/>
            <w:bottom w:w="0" w:type="dxa"/>
            <w:right w:w="108" w:type="dxa"/>
          </w:tblCellMar>
        </w:tblPrEx>
        <w:trPr>
          <w:trHeight w:val="2780"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6AB7D95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20FFC7E">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视频处理器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3DCEAD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★1.为方便使用，处理器需具有同步、异步（投屏）功能，处理器需为高度集成化一体设计，不得使用分立式设备拼凑实现同步、异步（投屏）功能。    </w:t>
            </w:r>
          </w:p>
          <w:p w14:paraId="4DF1720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★2.为方便使用，设备需支持选配安卓子卡，并满足以下基本功能:</w:t>
            </w:r>
          </w:p>
          <w:p w14:paraId="62ECD01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2.1至少8 核处理器，主频不低于1.5GHz，采用不低于Android 5.1系统；</w:t>
            </w:r>
          </w:p>
          <w:p w14:paraId="71CD3DC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2.2支持WIFI、千兆网络、U盘三种通讯方式，并支持后期加装4G；</w:t>
            </w:r>
          </w:p>
          <w:p w14:paraId="772AD0B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2.3WIFI至少支持AP和STA两种通讯模式，并至少支持U盘、网线两种设置方式；</w:t>
            </w:r>
          </w:p>
          <w:p w14:paraId="23106D9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2.4支持有线网络、3G/4G/Wi-Fi无线网络接入互联网管理；</w:t>
            </w:r>
          </w:p>
          <w:p w14:paraId="628493C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2.5支持UDP、DHCP网络通讯协议；</w:t>
            </w:r>
          </w:p>
          <w:p w14:paraId="7AA3A3F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2.6支持本地服务器发布内容；</w:t>
            </w:r>
          </w:p>
          <w:p w14:paraId="3ECDA10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2.7支持远程集群发布管理系统，支持C/S、B/S双架构发布管理；</w:t>
            </w:r>
          </w:p>
          <w:p w14:paraId="597106C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2.8支持云登录动态验证，支持分组、分级、监控、审核等权限管理；</w:t>
            </w:r>
          </w:p>
          <w:p w14:paraId="67335F5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2.9支持节目顺序、定时等播放方式；支持紧急事件信息插播；</w:t>
            </w:r>
          </w:p>
          <w:p w14:paraId="6A84EC7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2.10支持日志，屏幕状态查询；多平台发送节目，支持手机、iPad、PC多平台节目发送；</w:t>
            </w:r>
          </w:p>
          <w:p w14:paraId="7926392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2.11支持手机遥控器功能，可通过手机对设备进行，节目快进、快退、暂停、播放、素材列表上下切换、节目列表上下切换、节目和内容点播、音量加减、 亮度调节、开关屏；</w:t>
            </w:r>
          </w:p>
          <w:p w14:paraId="0402238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2.12支持通过手机切换处理器信号源、局部全屏切换；</w:t>
            </w:r>
          </w:p>
          <w:p w14:paraId="3516A36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2.13支持多设备同步播放；</w:t>
            </w:r>
          </w:p>
          <w:p w14:paraId="7ABA4E5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2.14支持天气预报、网页、流媒体等；</w:t>
            </w:r>
          </w:p>
          <w:p w14:paraId="793DA54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2.15支持Mysql等标准数据库；支持数采仪、PLC等对接。 </w:t>
            </w:r>
          </w:p>
          <w:p w14:paraId="164C3E2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★3.为方便使用，设备需支持配备无线投屏子卡，并满足以下基本功能:</w:t>
            </w:r>
          </w:p>
          <w:p w14:paraId="189557D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3.1最大支持带载 不低于1920×1080@60Hz 分辨率的显示屏（点对点显示）；</w:t>
            </w:r>
          </w:p>
          <w:p w14:paraId="40D7900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3.2支持画面缩放；</w:t>
            </w:r>
          </w:p>
          <w:p w14:paraId="2418199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3.3支持多平台终端无线投屏：包括Windows、Mac OS、iOS、Android系统；</w:t>
            </w:r>
          </w:p>
          <w:p w14:paraId="0263402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3.4 配合终端APP可实现无线投屏控制：镜像反控：演讲者通过终端反向控制LED会议屏进行操作；</w:t>
            </w:r>
          </w:p>
          <w:p w14:paraId="7017E75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3.5WiFi 5G模式：增强通讯速率；</w:t>
            </w:r>
          </w:p>
          <w:p w14:paraId="1CE3F11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3.6支持有线、无线双模式投屏；</w:t>
            </w:r>
          </w:p>
          <w:p w14:paraId="25DB83C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3.7支持设备网线联网的情况下，投屏的设备也可以上网。 </w:t>
            </w:r>
          </w:p>
          <w:p w14:paraId="1F5CB07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4.支持以下输出信号接口：LAN(RJ45)×6（带网口连接状态指示），支持上下、左右任意拼接；整机最大支持分辨率不低于390万像素，支持自定义分辨率，最宽不低于8192像素，最高不低于2160像素；支持monitor接口输出。 </w:t>
            </w:r>
          </w:p>
          <w:p w14:paraId="0F9FFCC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5.支持多路输入信号接口：两路HDMI，一路VGA。  </w:t>
            </w:r>
          </w:p>
          <w:p w14:paraId="4C87254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6.为提高设备分辨率兼容性，设备需支持EDID配置管理。</w:t>
            </w:r>
          </w:p>
          <w:p w14:paraId="182A076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7.为解决模拟信号在传输过程中容易产生的黑边、偏移的问，设备需支持VGA校正功能。</w:t>
            </w:r>
          </w:p>
          <w:p w14:paraId="70180DC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8.为解决画面缩小尺寸限制，并保留图像细节，减轻画面放大多倍后产生的失焦现象，设备需支持Super Resolution放大技术及视频补偿处理算法功能。 </w:t>
            </w:r>
          </w:p>
          <w:p w14:paraId="19DC421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9.为解决输入信号（如VGA信号及非标准摄像头的输出信号）产生的黑边问题，保证满屏显示，设备需具备任意信号源做任意裁剪/去黑边功能。</w:t>
            </w:r>
          </w:p>
          <w:p w14:paraId="117DC0C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10.为避免过电压、过电流的冲击，保护输入输出I/O接口，设备需具备通道保护功能，通道间相互独立且彼此互补。</w:t>
            </w:r>
          </w:p>
          <w:p w14:paraId="459946C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11.为减少电压波动对设备的影响，设备需具备AC 100~240V，50/60HZ宽供电电压输入</w:t>
            </w:r>
          </w:p>
          <w:p w14:paraId="3864C98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12.支持LED屏幕测试，黑屏、蓝屏、红屏等任意显示切换，支持画面冻结。</w:t>
            </w:r>
          </w:p>
          <w:p w14:paraId="1FC3C0E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13.支持亮度调节：实时、快捷进行屏体显示亮度调整；</w:t>
            </w:r>
          </w:p>
          <w:p w14:paraId="748A8ED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14.支持切换特效：信号源通道与通道之间均支持淡入淡出/秒切的切换特效；</w:t>
            </w:r>
          </w:p>
          <w:p w14:paraId="0689351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15.支持场景调用与保存。 </w:t>
            </w:r>
          </w:p>
          <w:p w14:paraId="6AECD4DA">
            <w:pPr>
              <w:widowControl/>
              <w:jc w:val="left"/>
              <w:textAlignment w:val="center"/>
              <w:rPr>
                <w:rFonts w:hint="eastAsia" w:ascii="宋体" w:hAnsi="宋体" w:eastAsia="宋体" w:cs="宋体"/>
                <w:b/>
                <w:bCs/>
                <w:color w:val="000000"/>
                <w:kern w:val="0"/>
                <w:sz w:val="24"/>
                <w:szCs w:val="24"/>
                <w:lang w:bidi="ar"/>
              </w:rPr>
            </w:pPr>
            <w:r>
              <w:rPr>
                <w:rFonts w:hint="eastAsia" w:ascii="宋体" w:hAnsi="宋体" w:eastAsia="宋体" w:cs="宋体"/>
                <w:color w:val="000000"/>
                <w:kern w:val="0"/>
                <w:sz w:val="24"/>
                <w:szCs w:val="24"/>
                <w:lang w:bidi="ar"/>
              </w:rPr>
              <w:t>16.为方便对接音响设备，处理器需自带Audio（PJ35）音频输出。（不得使用多功能卡）</w:t>
            </w:r>
          </w:p>
          <w:p w14:paraId="34D5EF4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★17.为达到音视频同步切换效果，视频处理器应同时具备常用信号源HDMI、VGA音频输入接口，达到音视频同步切换效果。</w:t>
            </w:r>
          </w:p>
          <w:p w14:paraId="4988216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18.设备液晶屏需显示网络通讯状态。</w:t>
            </w:r>
          </w:p>
          <w:p w14:paraId="460B09D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19.设备需具备网线检测功能，通过指示灯状态判断网线通断问题。</w:t>
            </w:r>
          </w:p>
          <w:p w14:paraId="6287FE8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20.为防止误操作，导致显示屏参数紊乱，需具备菜单锁功能，锁定后不能进行参数更改，但不影响信道正常切换。</w:t>
            </w:r>
          </w:p>
          <w:p w14:paraId="1B38E11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21.为防止误操作，需支持全键锁锁定功能。</w:t>
            </w:r>
          </w:p>
          <w:p w14:paraId="054BEA65">
            <w:pPr>
              <w:widowControl/>
              <w:jc w:val="left"/>
              <w:textAlignment w:val="center"/>
              <w:rPr>
                <w:rFonts w:hint="eastAsia" w:ascii="宋体" w:hAnsi="宋体" w:eastAsia="宋体" w:cs="宋体"/>
                <w:b/>
                <w:bCs/>
                <w:color w:val="000000"/>
                <w:kern w:val="0"/>
                <w:sz w:val="24"/>
                <w:szCs w:val="24"/>
                <w:lang w:bidi="ar"/>
              </w:rPr>
            </w:pPr>
            <w:r>
              <w:rPr>
                <w:rFonts w:hint="eastAsia" w:ascii="宋体" w:hAnsi="宋体" w:eastAsia="宋体" w:cs="宋体"/>
                <w:color w:val="000000"/>
                <w:kern w:val="0"/>
                <w:sz w:val="24"/>
                <w:szCs w:val="24"/>
                <w:lang w:bidi="ar"/>
              </w:rPr>
              <w:t>★22.为方便调试和使用，处理器旋钮需具备自动精准对位功能</w:t>
            </w:r>
            <w:r>
              <w:rPr>
                <w:rFonts w:hint="eastAsia" w:ascii="宋体" w:hAnsi="宋体" w:eastAsia="宋体" w:cs="宋体"/>
                <w:b/>
                <w:bCs/>
                <w:color w:val="000000"/>
                <w:kern w:val="0"/>
                <w:sz w:val="24"/>
                <w:szCs w:val="24"/>
                <w:lang w:bidi="ar"/>
              </w:rPr>
              <w:t>（响应文件中须提供相关证明材料）</w:t>
            </w:r>
          </w:p>
          <w:p w14:paraId="50C8E03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★23.为方便后期功能更新，处理器需具备U盘自动升级功能。</w:t>
            </w:r>
          </w:p>
          <w:p w14:paraId="1345878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★24.为保障系统信息安全，要求核心运算芯片和通讯芯片必须为高性能国产芯片。</w:t>
            </w:r>
          </w:p>
          <w:p w14:paraId="46EFE21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25.设备通过CCC认证并提供相应证书。</w:t>
            </w:r>
          </w:p>
          <w:p w14:paraId="70D6046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r>
              <w:rPr>
                <w:rFonts w:ascii="宋体" w:hAnsi="宋体" w:eastAsia="宋体" w:cs="宋体"/>
                <w:color w:val="000000"/>
                <w:kern w:val="0"/>
                <w:sz w:val="24"/>
                <w:szCs w:val="24"/>
                <w:lang w:bidi="ar"/>
              </w:rPr>
              <w:t>6</w:t>
            </w:r>
            <w:r>
              <w:rPr>
                <w:rFonts w:hint="eastAsia" w:ascii="宋体" w:hAnsi="宋体" w:eastAsia="宋体" w:cs="宋体"/>
                <w:color w:val="000000"/>
                <w:kern w:val="0"/>
                <w:sz w:val="24"/>
                <w:szCs w:val="24"/>
                <w:lang w:bidi="ar"/>
              </w:rPr>
              <w:t>.须具有LED显示屏控制软件和播放软件计算机软件著作权证书。</w:t>
            </w:r>
          </w:p>
          <w:p w14:paraId="056F1C3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r>
              <w:rPr>
                <w:rFonts w:ascii="宋体" w:hAnsi="宋体" w:eastAsia="宋体" w:cs="宋体"/>
                <w:color w:val="000000"/>
                <w:kern w:val="0"/>
                <w:sz w:val="24"/>
                <w:szCs w:val="24"/>
                <w:lang w:bidi="ar"/>
              </w:rPr>
              <w:t>7</w:t>
            </w:r>
            <w:r>
              <w:rPr>
                <w:rFonts w:hint="eastAsia" w:ascii="宋体" w:hAnsi="宋体" w:eastAsia="宋体" w:cs="宋体"/>
                <w:color w:val="000000"/>
                <w:kern w:val="0"/>
                <w:sz w:val="24"/>
                <w:szCs w:val="24"/>
                <w:lang w:bidi="ar"/>
              </w:rPr>
              <w:t>.须提供视频处理器软件著作权登记证书。</w:t>
            </w:r>
          </w:p>
          <w:p w14:paraId="0D1A91A1">
            <w:pPr>
              <w:pStyle w:val="2"/>
              <w:rPr>
                <w:rFonts w:hint="eastAsia" w:ascii="宋体" w:hAnsi="宋体" w:eastAsia="宋体" w:cs="宋体"/>
                <w:b/>
                <w:bCs/>
                <w:color w:val="000000"/>
                <w:kern w:val="0"/>
                <w:sz w:val="24"/>
                <w:szCs w:val="24"/>
                <w:lang w:bidi="ar"/>
              </w:rPr>
            </w:pPr>
            <w:r>
              <w:rPr>
                <w:rFonts w:hint="eastAsia" w:ascii="宋体" w:hAnsi="宋体" w:eastAsia="宋体" w:cs="宋体"/>
                <w:color w:val="000000"/>
                <w:kern w:val="0"/>
                <w:sz w:val="24"/>
                <w:szCs w:val="24"/>
                <w:lang w:bidi="ar"/>
              </w:rPr>
              <w:t>★2</w:t>
            </w:r>
            <w:r>
              <w:rPr>
                <w:rFonts w:ascii="宋体" w:hAnsi="宋体" w:eastAsia="宋体" w:cs="宋体"/>
                <w:color w:val="000000"/>
                <w:kern w:val="0"/>
                <w:sz w:val="24"/>
                <w:szCs w:val="24"/>
                <w:lang w:bidi="ar"/>
              </w:rPr>
              <w:t>8</w:t>
            </w:r>
            <w:r>
              <w:rPr>
                <w:rFonts w:hint="eastAsia" w:ascii="宋体" w:hAnsi="宋体" w:eastAsia="宋体" w:cs="宋体"/>
                <w:color w:val="000000"/>
                <w:kern w:val="0"/>
                <w:sz w:val="24"/>
                <w:szCs w:val="24"/>
                <w:lang w:bidi="ar"/>
              </w:rPr>
              <w:t>.供应商须承诺成交后提供控制卡生产厂家针对本项目的售后服务承诺函</w:t>
            </w:r>
            <w:r>
              <w:rPr>
                <w:rFonts w:hint="eastAsia" w:ascii="宋体" w:hAnsi="宋体" w:eastAsia="宋体" w:cs="宋体"/>
                <w:b/>
                <w:bCs/>
                <w:color w:val="000000"/>
                <w:kern w:val="0"/>
                <w:sz w:val="24"/>
                <w:szCs w:val="24"/>
                <w:lang w:bidi="ar"/>
              </w:rPr>
              <w:t>（响应文件中须提供承诺函，格式自拟）</w:t>
            </w:r>
          </w:p>
          <w:p w14:paraId="5EB0E23A">
            <w:pPr>
              <w:widowControl/>
              <w:jc w:val="left"/>
              <w:textAlignment w:val="center"/>
              <w:rPr>
                <w:rFonts w:hint="eastAsia" w:ascii="宋体" w:hAnsi="宋体" w:eastAsia="宋体" w:cs="宋体"/>
                <w:color w:val="000000"/>
                <w:sz w:val="24"/>
                <w:szCs w:val="24"/>
              </w:rPr>
            </w:pPr>
            <w:r>
              <w:rPr>
                <w:rFonts w:ascii="宋体" w:hAnsi="宋体" w:eastAsia="宋体" w:cs="宋体"/>
                <w:color w:val="000000"/>
                <w:kern w:val="0"/>
                <w:sz w:val="24"/>
                <w:szCs w:val="24"/>
                <w:lang w:bidi="ar"/>
              </w:rPr>
              <w:t>29</w:t>
            </w:r>
            <w:r>
              <w:rPr>
                <w:rFonts w:hint="eastAsia" w:ascii="宋体" w:hAnsi="宋体" w:eastAsia="宋体" w:cs="宋体"/>
                <w:color w:val="000000"/>
                <w:kern w:val="0"/>
                <w:sz w:val="24"/>
                <w:szCs w:val="24"/>
                <w:lang w:bidi="ar"/>
              </w:rPr>
              <w:t>.1U标准机箱设计。</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5D5E4D3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7FC798F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135389F7">
            <w:pPr>
              <w:jc w:val="center"/>
              <w:rPr>
                <w:rFonts w:hint="eastAsia" w:ascii="宋体" w:hAnsi="宋体" w:eastAsia="宋体" w:cs="宋体"/>
                <w:color w:val="000000"/>
                <w:sz w:val="24"/>
                <w:szCs w:val="24"/>
              </w:rPr>
            </w:pPr>
          </w:p>
        </w:tc>
      </w:tr>
      <w:tr w14:paraId="415C12F5">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2189AC2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015D798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配电柜及</w:t>
            </w:r>
          </w:p>
          <w:p w14:paraId="10471095">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备品备件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6D73C1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1.金属外壳 冷轧钢板过塑</w:t>
            </w:r>
          </w:p>
          <w:p w14:paraId="576FF75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2.安装方式 壁挂式控制方式 手动控制 本地按键 一键启动 停止</w:t>
            </w:r>
          </w:p>
          <w:p w14:paraId="4D50D1B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时控控制 四组定时开关 时间段</w:t>
            </w:r>
          </w:p>
          <w:p w14:paraId="39AE2DA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遥控控制 空旷距离100米，拉伸遥控器天线</w:t>
            </w:r>
          </w:p>
          <w:p w14:paraId="48CCCD6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中控控制 MODBUS 485通信协议</w:t>
            </w:r>
          </w:p>
          <w:p w14:paraId="7FCD3CC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设备联动 由电脑或视频处理器开关机联动配电箱开关</w:t>
            </w:r>
          </w:p>
          <w:p w14:paraId="1E2E79B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电脑控制 专用智能配电箱软件接口功能 IN1 GND 外部多功能卡或远程开关量输入</w:t>
            </w:r>
          </w:p>
          <w:p w14:paraId="0863E56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IN2 GND 外部浸水或烟雾传感器告警信号输入</w:t>
            </w:r>
          </w:p>
          <w:p w14:paraId="51070D1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IN3 GND 外部电脑或视频处理器联动信号输入</w:t>
            </w:r>
          </w:p>
          <w:p w14:paraId="0CA6CB6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A+ B- 485协议总线，一条总线可挂载不少于255个配电箱(可独立或集中控制)</w:t>
            </w:r>
          </w:p>
          <w:p w14:paraId="1558FA2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3.零线温度传感器 热电偶 K型 （内置）输入接线 接线方式 国家标准3相5线制输入</w:t>
            </w:r>
          </w:p>
          <w:p w14:paraId="76C19BD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输入电压 可选单相220V三相380V输入，50HZ/60HZ</w:t>
            </w:r>
          </w:p>
          <w:p w14:paraId="2BE0291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额定功率 15KW   </w:t>
            </w:r>
          </w:p>
          <w:p w14:paraId="7FAD76C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输入电缆 4*10㎡+4㎡  </w:t>
            </w:r>
          </w:p>
          <w:p w14:paraId="64587F2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4.输出接线 接线方式 单相3线，L，N，PE   单相6线，L，N，PE</w:t>
            </w:r>
          </w:p>
          <w:p w14:paraId="50FD3A4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输出电压 单相220V</w:t>
            </w:r>
          </w:p>
          <w:p w14:paraId="311CC5B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单路功率 不低于5KW (MAX25台 5V40A(200W) LED专用电源)</w:t>
            </w:r>
          </w:p>
          <w:p w14:paraId="32214E9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输出路数  不低于3路 输出</w:t>
            </w:r>
          </w:p>
          <w:p w14:paraId="25BEA87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输出电缆 3*4㎡   </w:t>
            </w:r>
          </w:p>
          <w:p w14:paraId="6060E6E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工作环境 温度 -10 — 40摄氏度</w:t>
            </w:r>
          </w:p>
          <w:p w14:paraId="2CEFD02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湿度 ≤80% RH</w:t>
            </w:r>
          </w:p>
          <w:p w14:paraId="25672DF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存储环境 温度 -10 — 80摄氏度</w:t>
            </w:r>
          </w:p>
          <w:p w14:paraId="6204F52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湿度 ≤95% RH</w:t>
            </w:r>
          </w:p>
          <w:p w14:paraId="08EB26D7">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r>
              <w:rPr>
                <w:rFonts w:ascii="宋体" w:hAnsi="宋体" w:eastAsia="宋体" w:cs="宋体"/>
                <w:color w:val="000000"/>
                <w:kern w:val="0"/>
                <w:sz w:val="24"/>
                <w:szCs w:val="24"/>
                <w:lang w:bidi="ar"/>
              </w:rPr>
              <w:t>.</w:t>
            </w:r>
            <w:r>
              <w:rPr>
                <w:rFonts w:hint="eastAsia" w:ascii="宋体" w:hAnsi="宋体" w:eastAsia="宋体" w:cs="宋体"/>
                <w:color w:val="000000"/>
                <w:kern w:val="0"/>
                <w:sz w:val="24"/>
                <w:szCs w:val="24"/>
                <w:lang w:bidi="ar"/>
              </w:rPr>
              <w:t xml:space="preserve">物理规格  ≥260mm*184mm*67mm                                              </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2D6CC63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套</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1BFF216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13C28D93">
            <w:pPr>
              <w:jc w:val="center"/>
              <w:rPr>
                <w:rFonts w:hint="eastAsia" w:ascii="宋体" w:hAnsi="宋体" w:eastAsia="宋体" w:cs="宋体"/>
                <w:color w:val="000000"/>
                <w:sz w:val="24"/>
                <w:szCs w:val="24"/>
              </w:rPr>
            </w:pPr>
          </w:p>
        </w:tc>
      </w:tr>
      <w:tr w14:paraId="72CC40AA">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38E312A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EECC60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0BEE33A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含LED屏的工程结构、包边装饰、专用线材、售后服务、技术支持、操作人员培训等。</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D09E73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38AF7CE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6.76 </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6CD12C4A">
            <w:pPr>
              <w:jc w:val="center"/>
              <w:rPr>
                <w:rFonts w:hint="eastAsia" w:ascii="宋体" w:hAnsi="宋体" w:eastAsia="宋体" w:cs="宋体"/>
                <w:color w:val="000000"/>
                <w:sz w:val="24"/>
                <w:szCs w:val="24"/>
              </w:rPr>
            </w:pPr>
          </w:p>
        </w:tc>
      </w:tr>
      <w:tr w14:paraId="248497C0">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024879B5">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2D4BF73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液晶拼接屏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5F54253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1.液晶显示单元不小于65"超窄边液晶屏，支持4K高清显示； </w:t>
            </w:r>
          </w:p>
          <w:p w14:paraId="01DABAB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2.显示比例：不低于16:9，分辨率：不低于1920*1080，最高支持：3840*2160显示，响应时间≤ 8ms； </w:t>
            </w:r>
          </w:p>
          <w:p w14:paraId="202A417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3.显示单元物理拼缝≤0.88mm，亮度≥700cd/㎡，对比度≥3000:1，可视角度：不低于178°(横向和纵向)，全彩16.7M色，图像显示清晰度≥950TVL，亮度鉴别等级不低于11级； </w:t>
            </w:r>
          </w:p>
          <w:p w14:paraId="3D5AE3A5">
            <w:pPr>
              <w:widowControl/>
              <w:jc w:val="left"/>
              <w:textAlignment w:val="center"/>
              <w:rPr>
                <w:rFonts w:hint="eastAsia" w:ascii="宋体" w:hAnsi="宋体" w:eastAsia="宋体" w:cs="宋体"/>
                <w:b/>
                <w:bCs/>
                <w:color w:val="000000"/>
                <w:kern w:val="0"/>
                <w:sz w:val="24"/>
                <w:szCs w:val="24"/>
                <w:lang w:bidi="ar"/>
              </w:rPr>
            </w:pPr>
            <w:r>
              <w:rPr>
                <w:rFonts w:hint="eastAsia" w:ascii="宋体" w:hAnsi="宋体" w:eastAsia="宋体" w:cs="宋体"/>
                <w:color w:val="000000"/>
                <w:kern w:val="0"/>
                <w:sz w:val="24"/>
                <w:szCs w:val="24"/>
                <w:lang w:bidi="ar"/>
              </w:rPr>
              <w:t>★4.液晶显示单元通过CCC检测认证，并提供CCC认证证书；具备能效等级不低于1级的CQC节能认证证书、CEC环境I型认证证书，</w:t>
            </w:r>
            <w:r>
              <w:rPr>
                <w:rFonts w:hint="eastAsia" w:ascii="宋体" w:hAnsi="宋体" w:eastAsia="宋体" w:cs="宋体"/>
                <w:b/>
                <w:bCs/>
                <w:color w:val="000000"/>
                <w:kern w:val="0"/>
                <w:sz w:val="24"/>
                <w:szCs w:val="24"/>
                <w:lang w:bidi="ar"/>
              </w:rPr>
              <w:t>响应文件中须提供相应证书扫描件或复印件；</w:t>
            </w:r>
          </w:p>
          <w:p w14:paraId="6AC44D9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r>
              <w:rPr>
                <w:rFonts w:hint="eastAsia" w:ascii="宋体" w:hAnsi="宋体" w:eastAsia="宋体" w:cs="宋体"/>
                <w:sz w:val="24"/>
                <w:szCs w:val="24"/>
              </w:rPr>
              <w:t xml:space="preserve"> </w:t>
            </w:r>
            <w:r>
              <w:rPr>
                <w:rFonts w:hint="eastAsia" w:ascii="宋体" w:hAnsi="宋体" w:eastAsia="宋体" w:cs="宋体"/>
                <w:color w:val="000000"/>
                <w:kern w:val="0"/>
                <w:sz w:val="24"/>
                <w:szCs w:val="24"/>
                <w:lang w:bidi="ar"/>
              </w:rPr>
              <w:t xml:space="preserve">输入输出端口：HDMI2.1、DVI、USB3.0、RJ45，支持投屏器投屏和无线投屏； </w:t>
            </w:r>
          </w:p>
          <w:p w14:paraId="50DE31D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6.显示单元具备液晶产品色差校正系统软件； </w:t>
            </w:r>
          </w:p>
          <w:p w14:paraId="5001FE9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7.显示单元具备智能光感护眼功能,液晶单元可自动识别环境光强弱,根据环境光变化调节屏幕亮度；</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3C3846F8">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块</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13DD5578">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3B0C0DE9">
            <w:pPr>
              <w:jc w:val="center"/>
              <w:rPr>
                <w:rFonts w:hint="eastAsia" w:ascii="宋体" w:hAnsi="宋体" w:eastAsia="宋体" w:cs="宋体"/>
                <w:color w:val="000000"/>
                <w:sz w:val="24"/>
                <w:szCs w:val="24"/>
              </w:rPr>
            </w:pPr>
          </w:p>
        </w:tc>
      </w:tr>
      <w:tr w14:paraId="7326E0B1">
        <w:tblPrEx>
          <w:tblCellMar>
            <w:top w:w="0" w:type="dxa"/>
            <w:left w:w="108" w:type="dxa"/>
            <w:bottom w:w="0" w:type="dxa"/>
            <w:right w:w="108" w:type="dxa"/>
          </w:tblCellMar>
        </w:tblPrEx>
        <w:trPr>
          <w:trHeight w:val="491"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08F87BF9">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471D93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分配器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050A41E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1.至少支持1路HDMI信号输入，4路HDMI信号输出，方便与电脑、各种远端控制设备配合使用,支持分辨率：不低于1920*1080 ，可全屏显示。</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7A7DA3EC">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1FCEDF77">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0B7897BC">
            <w:pPr>
              <w:jc w:val="center"/>
              <w:rPr>
                <w:rFonts w:hint="eastAsia" w:ascii="宋体" w:hAnsi="宋体" w:eastAsia="宋体" w:cs="宋体"/>
                <w:color w:val="000000"/>
                <w:sz w:val="24"/>
                <w:szCs w:val="24"/>
              </w:rPr>
            </w:pPr>
          </w:p>
        </w:tc>
      </w:tr>
      <w:tr w14:paraId="673B3E9D">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0C15F631">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290CD27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前维护液压支架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E3E841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1.屏幕支架可挂载至少4台不小于65寸拼接屏； </w:t>
            </w:r>
          </w:p>
          <w:p w14:paraId="1CCE156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2.支架高度按现场实际高度设计，主体结构要求采用模块化组合式设计，以方便拆卸与将来的扩展，可在不需要对其进行切割、钻孔及加工的情况下重新配置； </w:t>
            </w:r>
          </w:p>
          <w:p w14:paraId="427EA72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3.要求采用厚度不低于2.0mm的冷轧镀锌钢板折弯制作，折弯高度不小于45mm； </w:t>
            </w:r>
          </w:p>
          <w:p w14:paraId="0CF47B4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4.侧板：要求采用厚度不低于1.2mm的冷轧镀锌钢板制作；侧板的宽度不小于150mm； </w:t>
            </w:r>
          </w:p>
          <w:p w14:paraId="78CDD0A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5.屏幕支架设计有布线空间和通道，布线通道不影响设备安装和布线，电源与信号分开布线； </w:t>
            </w:r>
          </w:p>
          <w:p w14:paraId="297F24C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6.屏幕支架符合国标GB/T3325-2017（金属家具通用技术条件）标准出具的检测报告表面涂层/覆面的性能要求； </w:t>
            </w:r>
          </w:p>
          <w:p w14:paraId="2FF8979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7.主体框架结构应使用优质冷轧钢板，其中主承重结构采用3.0mm厚冷轧钢板加工，符合GB/T13668-2015(钢制书柜、资料柜通用技术条件)。</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A9EDBE4">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组</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50AAA0E6">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77D582E0">
            <w:pPr>
              <w:jc w:val="center"/>
              <w:rPr>
                <w:rFonts w:hint="eastAsia" w:ascii="宋体" w:hAnsi="宋体" w:eastAsia="宋体" w:cs="宋体"/>
                <w:color w:val="000000"/>
                <w:sz w:val="24"/>
                <w:szCs w:val="24"/>
              </w:rPr>
            </w:pPr>
          </w:p>
        </w:tc>
      </w:tr>
      <w:tr w14:paraId="7A60FFB6">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21F2E8E3">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122E8C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619690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含液晶拼接屏的运输、安装、包边装饰、专用线材、辅材配件、正版控制软件、售后服务、技术支持、操作人员培训等。</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8657F0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项</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4A5E3F87">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184676EA">
            <w:pPr>
              <w:jc w:val="center"/>
              <w:rPr>
                <w:rFonts w:hint="eastAsia" w:ascii="宋体" w:hAnsi="宋体" w:eastAsia="宋体" w:cs="宋体"/>
                <w:color w:val="000000"/>
                <w:sz w:val="24"/>
                <w:szCs w:val="24"/>
              </w:rPr>
            </w:pPr>
          </w:p>
        </w:tc>
      </w:tr>
      <w:tr w14:paraId="4B38D8C2">
        <w:tblPrEx>
          <w:tblCellMar>
            <w:top w:w="0" w:type="dxa"/>
            <w:left w:w="108" w:type="dxa"/>
            <w:bottom w:w="0" w:type="dxa"/>
            <w:right w:w="108" w:type="dxa"/>
          </w:tblCellMar>
        </w:tblPrEx>
        <w:trPr>
          <w:trHeight w:val="735" w:hRule="atLeast"/>
          <w:jc w:val="center"/>
        </w:trPr>
        <w:tc>
          <w:tcPr>
            <w:tcW w:w="8604" w:type="dxa"/>
            <w:gridSpan w:val="6"/>
            <w:tcBorders>
              <w:top w:val="single" w:color="000000" w:sz="4" w:space="0"/>
              <w:left w:val="single" w:color="000000" w:sz="4" w:space="0"/>
              <w:bottom w:val="single" w:color="000000" w:sz="4" w:space="0"/>
              <w:right w:val="single" w:color="000000" w:sz="4" w:space="0"/>
            </w:tcBorders>
            <w:noWrap w:val="0"/>
            <w:vAlign w:val="center"/>
          </w:tcPr>
          <w:p w14:paraId="5905C269">
            <w:pPr>
              <w:jc w:val="center"/>
              <w:rPr>
                <w:rFonts w:hint="eastAsia" w:ascii="宋体" w:hAnsi="宋体" w:eastAsia="宋体" w:cs="宋体"/>
                <w:color w:val="000000"/>
                <w:sz w:val="24"/>
                <w:szCs w:val="24"/>
              </w:rPr>
            </w:pPr>
            <w:r>
              <w:rPr>
                <w:rFonts w:hint="eastAsia" w:ascii="宋体" w:hAnsi="宋体" w:eastAsia="宋体" w:cs="宋体"/>
                <w:spacing w:val="-17"/>
                <w:sz w:val="24"/>
                <w:szCs w:val="24"/>
              </w:rPr>
              <w:t>LED高清显示屏参数</w:t>
            </w:r>
          </w:p>
        </w:tc>
      </w:tr>
      <w:tr w14:paraId="7D6BBD1B">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2912A638">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E6134A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LED显示屏</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4BB861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1、尺寸：</w:t>
            </w:r>
            <w:r>
              <w:rPr>
                <w:rFonts w:hint="eastAsia" w:ascii="宋体" w:hAnsi="宋体" w:eastAsia="宋体" w:cs="宋体"/>
                <w:kern w:val="0"/>
                <w:sz w:val="24"/>
                <w:szCs w:val="24"/>
                <w:lang w:bidi="ar"/>
              </w:rPr>
              <w:t>裸屏尺寸不小于</w:t>
            </w:r>
            <w:r>
              <w:rPr>
                <w:rFonts w:hint="eastAsia" w:ascii="宋体" w:hAnsi="宋体" w:eastAsia="宋体" w:cs="宋体"/>
                <w:color w:val="000000"/>
                <w:kern w:val="0"/>
                <w:sz w:val="24"/>
                <w:szCs w:val="24"/>
                <w:lang w:bidi="ar"/>
              </w:rPr>
              <w:t>3.94m*2.66m；</w:t>
            </w:r>
          </w:p>
          <w:p w14:paraId="0260EDE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1.像素点间距：≤2.5mm。像素密度：不低于160000/㎡</w:t>
            </w:r>
          </w:p>
          <w:p w14:paraId="2808E26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模组分辨（W*H）：不低于128*64；</w:t>
            </w:r>
          </w:p>
          <w:p w14:paraId="437CC27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2、视角（水平、垂直）不小于：H=171°V=169°；</w:t>
            </w:r>
          </w:p>
          <w:p w14:paraId="7810312B">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3、平整度：P=0.06mm；</w:t>
            </w:r>
          </w:p>
          <w:p w14:paraId="54D79AA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4、白平衡亮度:不低于600cd/㎡；</w:t>
            </w:r>
          </w:p>
          <w:p w14:paraId="197E38B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★5、亮度调节功能：0-100%高度可调，屏幕高度具有随环境照度的变化任意调整功能；</w:t>
            </w:r>
          </w:p>
          <w:p w14:paraId="4CC9051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6、换帧频率：不低于60HZ；</w:t>
            </w:r>
          </w:p>
          <w:p w14:paraId="09D5676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★7、刷新频率：不低于3840.0HZ；</w:t>
            </w:r>
          </w:p>
          <w:p w14:paraId="2533501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8、最大对比度：不低于8000.50:1；</w:t>
            </w:r>
          </w:p>
          <w:p w14:paraId="6F53B41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★9、色温：3000~21000可调；</w:t>
            </w:r>
          </w:p>
          <w:p w14:paraId="74E9C67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★10、最大功耗：≤600W/㎡；平均功耗：不高于200W/㎡；；</w:t>
            </w:r>
          </w:p>
          <w:p w14:paraId="06C0425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11、亮度均匀性：Icu≥98%，色度均匀性±0.002Cx，Cy之内；</w:t>
            </w:r>
          </w:p>
          <w:p w14:paraId="2DA623F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★12、发光点间距偏差：JX≤2.5%；</w:t>
            </w:r>
          </w:p>
          <w:p w14:paraId="236603D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★13、低亮高灰：100%高度时，16bit灰度；</w:t>
            </w:r>
          </w:p>
          <w:p w14:paraId="1A9D273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70%亮度时，16bit灰度；    </w:t>
            </w:r>
          </w:p>
          <w:p w14:paraId="06D163C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50%亮度时，16bit灰度；               </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14.防潮工作运行：在 10%-90%的湿度环境下</w:t>
            </w:r>
          </w:p>
          <w:p w14:paraId="60301DFC">
            <w:pPr>
              <w:widowControl/>
              <w:jc w:val="left"/>
              <w:textAlignment w:val="center"/>
              <w:rPr>
                <w:rFonts w:hint="eastAsia" w:ascii="宋体" w:hAnsi="宋体" w:eastAsia="宋体" w:cs="宋体"/>
                <w:b/>
                <w:color w:val="FF0000"/>
                <w:kern w:val="0"/>
                <w:sz w:val="24"/>
                <w:szCs w:val="24"/>
                <w:lang w:bidi="ar"/>
              </w:rPr>
            </w:pPr>
            <w:r>
              <w:rPr>
                <w:rFonts w:hint="eastAsia" w:ascii="宋体" w:hAnsi="宋体" w:eastAsia="宋体" w:cs="宋体"/>
                <w:color w:val="000000"/>
                <w:kern w:val="0"/>
                <w:sz w:val="24"/>
                <w:szCs w:val="24"/>
                <w:lang w:bidi="ar"/>
              </w:rPr>
              <w:t xml:space="preserve">检测工作正常       </w:t>
            </w:r>
            <w:r>
              <w:rPr>
                <w:rFonts w:hint="eastAsia" w:ascii="宋体" w:hAnsi="宋体" w:eastAsia="宋体" w:cs="宋体"/>
                <w:color w:val="000000"/>
                <w:kern w:val="0"/>
                <w:sz w:val="24"/>
                <w:szCs w:val="24"/>
                <w:lang w:bidi="ar"/>
              </w:rPr>
              <w:br w:type="textWrapping"/>
            </w:r>
            <w:r>
              <w:rPr>
                <w:rFonts w:hint="eastAsia" w:ascii="宋体" w:hAnsi="宋体" w:eastAsia="宋体" w:cs="宋体"/>
                <w:b/>
                <w:bCs/>
                <w:color w:val="000000"/>
                <w:kern w:val="0"/>
                <w:sz w:val="24"/>
                <w:szCs w:val="24"/>
                <w:lang w:bidi="ar"/>
              </w:rPr>
              <w:t>★15.产品应具有中国强制性产品认证 3C 证书、中国节能产品认证证书并提供证书复印件或影印件。</w:t>
            </w:r>
          </w:p>
          <w:p w14:paraId="58F05F0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16.视觉舒适度：（VICO指数）范围在0-1级，满足CSA035.2-2017标准，通过光生物安全及蓝光危害评估无危害类检测。</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17.显示屏灯珠进行了耐焊耐热，冷热冲击，漏电等实验，显示正常。</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18.恒定湿热试验温度85℃在试验时间至少168h后无异常。</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790CAC1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75A1A1F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10.48 </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4820DD45">
            <w:pPr>
              <w:jc w:val="center"/>
              <w:rPr>
                <w:rFonts w:hint="eastAsia" w:ascii="宋体" w:hAnsi="宋体" w:eastAsia="宋体" w:cs="宋体"/>
                <w:color w:val="000000"/>
                <w:sz w:val="24"/>
                <w:szCs w:val="24"/>
              </w:rPr>
            </w:pPr>
          </w:p>
        </w:tc>
      </w:tr>
      <w:tr w14:paraId="43EEC6F5">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571961BD">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4AACCDF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视频处理器</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6CAD3AE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★1.为方便使用，处理器需具有同步、异步（投屏）功能，处理器需为高度集成化一体设计，不得使用分立式设备拼凑实现同步、异步（投屏）功能。  </w:t>
            </w:r>
          </w:p>
          <w:p w14:paraId="69FD43B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★2.为方便使用，设备需支持选配安卓子卡，并满足以下基本功能:</w:t>
            </w:r>
          </w:p>
          <w:p w14:paraId="606C1B5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2.1不低于8 核处理器，主频不低于1.5GHz，2.2采用不低于Android 5.1系统；</w:t>
            </w:r>
          </w:p>
          <w:p w14:paraId="75F94AE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2.3至少支持WIFI、千兆网络、U盘三种通讯方式，并支持后期配备4G；</w:t>
            </w:r>
          </w:p>
          <w:p w14:paraId="73FE4A6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2.4 至少WIFI支持AP和STA两种通讯模式，并至少支持U盘、网线两种设置方式；</w:t>
            </w:r>
          </w:p>
          <w:p w14:paraId="2FDB3756">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2.5支持有线网络、3G/4G/Wi-Fi无线网络接入互联网管理；</w:t>
            </w:r>
          </w:p>
          <w:p w14:paraId="5E18F31F">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2.6支持UDP、DHCP网络通讯协议；</w:t>
            </w:r>
          </w:p>
          <w:p w14:paraId="2FBA67F0">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2.7支持本地服务器发布内容；</w:t>
            </w:r>
          </w:p>
          <w:p w14:paraId="537371F7">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2.8支持远程集群发布管理系统，支持C/S、B/S双架构发布管理；</w:t>
            </w:r>
          </w:p>
          <w:p w14:paraId="0D3F0B46">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2.9支持云登录动态验证，支持分组、分级、监控、审核等权限管理；</w:t>
            </w:r>
          </w:p>
          <w:p w14:paraId="4A0B8FA4">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2.10支持节目顺序、定时等播放方式；支持紧急事件信息插播；</w:t>
            </w:r>
          </w:p>
          <w:p w14:paraId="158CDC4C">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2.11支持日志，屏幕状态查询；多平台发送节目，支持手机、iPad、PC多平台节目发送；</w:t>
            </w:r>
          </w:p>
          <w:p w14:paraId="5DADA7CE">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2.12支持手机遥控器功能，可通过手机对设备进行，节目快进、快退、暂停、播放、素材列表上下切换、节目列表上下切换、节目和内容点播、音量加减、亮度调节、开关屏；</w:t>
            </w:r>
          </w:p>
          <w:p w14:paraId="1A01AB3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2.13支持通过手机切换处理器信号源、局部全屏切换；</w:t>
            </w:r>
          </w:p>
          <w:p w14:paraId="69A43D6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2.14支持多设备同步播放；</w:t>
            </w:r>
          </w:p>
          <w:p w14:paraId="560D2BB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2.15支持天气预报、网页、流媒体等；</w:t>
            </w:r>
          </w:p>
          <w:p w14:paraId="2E18CAE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2.16支持Mysql等标准数据库；支持数采仪、PLC等对接。 </w:t>
            </w:r>
          </w:p>
          <w:p w14:paraId="3337ED6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★3.为方便使用，设备需支持配备无线投屏子卡，并满足以下基本功能:</w:t>
            </w:r>
          </w:p>
          <w:p w14:paraId="495F746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3.1最大支持带载 不低于1920×1080@60Hz 分辨率的显示屏（点对点显示）；</w:t>
            </w:r>
          </w:p>
          <w:p w14:paraId="3B7B965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3.2支持画面缩放；</w:t>
            </w:r>
          </w:p>
          <w:p w14:paraId="14C5ADF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3.3支持多平台终端无线投屏：包括Windows、Mac OS、iOS、Android系统；</w:t>
            </w:r>
          </w:p>
          <w:p w14:paraId="2AFEE2E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3.4配合终端APP可实现无线投屏控制：镜像反控：演讲者通过终端反向控制LED会议屏进行操作；</w:t>
            </w:r>
          </w:p>
          <w:p w14:paraId="6EBB4BB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3.5 WiFi 5G模式：增强通讯速率；</w:t>
            </w:r>
          </w:p>
          <w:p w14:paraId="63E71D4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3.6支持有线、无线双模式投屏；</w:t>
            </w:r>
          </w:p>
          <w:p w14:paraId="279E81B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3.7支持设备网线联网的情况下，投屏的设备也可以上网。 </w:t>
            </w:r>
          </w:p>
          <w:p w14:paraId="5245013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4.至少支持以下输出信号接口：LAN(RJ45)×4（带网口连接状态指示），支持上下、左右任意拼接；整机最大支持分辨率不低于260万像素，支持自定义分辨率，最宽不低于8192像素，最高不低于2160像素；支持monitor接口输出。 </w:t>
            </w:r>
          </w:p>
          <w:p w14:paraId="4F37ED5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5.支持多路输入信号接口：两路HDMI，一路VGA。  </w:t>
            </w:r>
          </w:p>
          <w:p w14:paraId="49C1CD6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6.为提高设备分辨率兼容性，设备需支持EDID配置管理。</w:t>
            </w:r>
          </w:p>
          <w:p w14:paraId="51C430C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7.为解决模拟信号在传输过程中容易产生的黑边、偏移的问，设备需支持VGA校正功能。</w:t>
            </w:r>
          </w:p>
          <w:p w14:paraId="699041F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8.为解决画面缩小尺寸限制，并保留图像细节，减轻画面放大多倍后产生的失焦现象，设备需支持Super Resolution放大技术及视频补偿处理算法功能。 </w:t>
            </w:r>
          </w:p>
          <w:p w14:paraId="277B919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9.为解决输入信号（如VGA信号及非标准摄像头的输出信号）产生的黑边问题，保证满屏显示，设备需具备任意信号源做任意裁剪/去黑边功能。</w:t>
            </w:r>
          </w:p>
          <w:p w14:paraId="52A7065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10.为避免过电压、过电流的冲击，保护输入输出I/O接口，设备需具备通道保护功能，通道间相互独立且彼此互补。</w:t>
            </w:r>
          </w:p>
          <w:p w14:paraId="5E3F6AB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11.为减少电压波动对设备的影响，设备需具备AC 100~240V，50/60HZ宽供电电压输入</w:t>
            </w:r>
          </w:p>
          <w:p w14:paraId="2BF3082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12.支持LED屏幕测试，黑屏、蓝屏、红屏等任意显示切换，支持画面冻结。</w:t>
            </w:r>
          </w:p>
          <w:p w14:paraId="0A5202F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13.支持亮度调节：实时、快捷进行屏体显示亮度调整；</w:t>
            </w:r>
          </w:p>
          <w:p w14:paraId="342EDFC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14.支持切换特效：信号源通道与通道之间均支持淡入淡出/秒切的切换特效；</w:t>
            </w:r>
          </w:p>
          <w:p w14:paraId="2225701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15.支持场景调用与保存。 </w:t>
            </w:r>
          </w:p>
          <w:p w14:paraId="287A71F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16.为方便对接音响设备，处理器需自带Audio（PJ35）音频输出。（不得使用多功能卡）</w:t>
            </w:r>
          </w:p>
          <w:p w14:paraId="4723BAD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★17.为达到音视频同步切换效果，视频处理器应同时具备常用信号源HDMI、VGA音频输入接口，达到音视频同步切换效果。</w:t>
            </w:r>
          </w:p>
          <w:p w14:paraId="1BE3129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18.设备液晶屏需显示网络通讯状态。</w:t>
            </w:r>
          </w:p>
          <w:p w14:paraId="151F663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19.设备需具备网线检测功能，通过指示灯状态判断网线通断问题。</w:t>
            </w:r>
          </w:p>
          <w:p w14:paraId="010BA10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★20.为防止误操作，导致显示屏参数紊乱，需具备菜单锁功能，锁定后不能进行参数更改，但不影响信道正常切换。</w:t>
            </w:r>
          </w:p>
          <w:p w14:paraId="716B7B47">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★21.为防止误操作，需支持全键锁锁定功能。</w:t>
            </w:r>
          </w:p>
          <w:p w14:paraId="136B7BE0">
            <w:pPr>
              <w:widowControl/>
              <w:jc w:val="left"/>
              <w:textAlignment w:val="center"/>
              <w:rPr>
                <w:rFonts w:hint="eastAsia" w:ascii="宋体" w:hAnsi="宋体" w:eastAsia="宋体" w:cs="宋体"/>
                <w:b/>
                <w:bCs/>
                <w:color w:val="000000"/>
                <w:kern w:val="0"/>
                <w:sz w:val="24"/>
                <w:szCs w:val="24"/>
                <w:lang w:bidi="ar"/>
              </w:rPr>
            </w:pPr>
            <w:r>
              <w:rPr>
                <w:rFonts w:hint="eastAsia" w:ascii="宋体" w:hAnsi="宋体" w:eastAsia="宋体" w:cs="宋体"/>
                <w:color w:val="000000"/>
                <w:kern w:val="0"/>
                <w:sz w:val="24"/>
                <w:szCs w:val="24"/>
                <w:lang w:bidi="ar"/>
              </w:rPr>
              <w:t>★22.为方便调试和使用，处理器旋钮需具备自动精准对位功能</w:t>
            </w:r>
            <w:r>
              <w:rPr>
                <w:rFonts w:hint="eastAsia" w:ascii="宋体" w:hAnsi="宋体" w:eastAsia="宋体" w:cs="宋体"/>
                <w:b/>
                <w:bCs/>
                <w:color w:val="000000"/>
                <w:kern w:val="0"/>
                <w:sz w:val="24"/>
                <w:szCs w:val="24"/>
                <w:lang w:bidi="ar"/>
              </w:rPr>
              <w:t>（响应文件中须提供相关证明材料）</w:t>
            </w:r>
          </w:p>
          <w:p w14:paraId="3728D1C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★23.为方便后期功能更新，处理器需具备U盘自动升级功能。</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3237BF2E">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台</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4FF55895">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5A65A304">
            <w:pPr>
              <w:jc w:val="center"/>
              <w:rPr>
                <w:rFonts w:hint="eastAsia" w:ascii="宋体" w:hAnsi="宋体" w:eastAsia="宋体" w:cs="宋体"/>
                <w:color w:val="000000"/>
                <w:sz w:val="24"/>
                <w:szCs w:val="24"/>
              </w:rPr>
            </w:pPr>
          </w:p>
        </w:tc>
      </w:tr>
      <w:tr w14:paraId="656FD49B">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6AE9B2B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3CA9827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配电柜及</w:t>
            </w:r>
          </w:p>
          <w:p w14:paraId="6404F7DC">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备品备件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0E886C6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1.金属外壳 冷轧钢板过塑</w:t>
            </w:r>
          </w:p>
          <w:p w14:paraId="6287B40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2.安装方式 壁挂式控制方式 手动控制 本地按键 一键启动 停止</w:t>
            </w:r>
          </w:p>
          <w:p w14:paraId="7680EB9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时控控制 四组定时开关 时间段</w:t>
            </w:r>
          </w:p>
          <w:p w14:paraId="4E54CD0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遥控控制 空旷距离100米，拉伸遥控器天线</w:t>
            </w:r>
          </w:p>
          <w:p w14:paraId="700B1DBF">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中控控制 MODBUS 485通信协议</w:t>
            </w:r>
          </w:p>
          <w:p w14:paraId="6408145A">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设备联动 由电脑或视频处理器开关机联动配电箱开关</w:t>
            </w:r>
          </w:p>
          <w:p w14:paraId="47F697D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电脑控制 专用智能配电箱软件接口功能 IN1 GND 外部多功能卡或远程开关量输入</w:t>
            </w:r>
          </w:p>
          <w:p w14:paraId="54C40A64">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IN2 GND 外部浸水或烟雾传感器告警信号输入</w:t>
            </w:r>
          </w:p>
          <w:p w14:paraId="675B4093">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IN3 GND 外部电脑或视频处理器联动信号输入</w:t>
            </w:r>
          </w:p>
          <w:p w14:paraId="5D9787C9">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A+ B- 485协议总线，一条总线可挂载不少于255个配电箱(可独立或集中控制)</w:t>
            </w:r>
          </w:p>
          <w:p w14:paraId="08FDAC85">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3.零线温度传感器 热电偶 K型 （内置）输入接线 接线方式 国家标准3相5线制输入</w:t>
            </w:r>
          </w:p>
          <w:p w14:paraId="1C8ED72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输入电压 可选单相220V三相380V输入，50HZ/60HZ</w:t>
            </w:r>
          </w:p>
          <w:p w14:paraId="1AEDE3F6">
            <w:pPr>
              <w:widowControl/>
              <w:jc w:val="left"/>
              <w:textAlignment w:val="center"/>
              <w:rPr>
                <w:rFonts w:hint="eastAsia" w:ascii="宋体" w:hAnsi="宋体" w:eastAsia="宋体" w:cs="宋体"/>
                <w:color w:val="FF0000"/>
                <w:kern w:val="0"/>
                <w:sz w:val="24"/>
                <w:szCs w:val="24"/>
                <w:lang w:bidi="ar"/>
              </w:rPr>
            </w:pPr>
            <w:r>
              <w:rPr>
                <w:rFonts w:hint="eastAsia" w:ascii="宋体" w:hAnsi="宋体" w:eastAsia="宋体" w:cs="宋体"/>
                <w:color w:val="000000"/>
                <w:kern w:val="0"/>
                <w:sz w:val="24"/>
                <w:szCs w:val="24"/>
                <w:lang w:bidi="ar"/>
              </w:rPr>
              <w:t>额定功</w:t>
            </w:r>
            <w:r>
              <w:rPr>
                <w:rFonts w:hint="eastAsia" w:ascii="宋体" w:hAnsi="宋体" w:eastAsia="宋体" w:cs="宋体"/>
                <w:kern w:val="0"/>
                <w:sz w:val="24"/>
                <w:szCs w:val="24"/>
                <w:lang w:bidi="ar"/>
              </w:rPr>
              <w:t xml:space="preserve">率15KW   </w:t>
            </w:r>
          </w:p>
          <w:p w14:paraId="0A02ECA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4.输出接线 接线方式 单相3线，L，N，PE   单相6线，L，N，PE</w:t>
            </w:r>
          </w:p>
          <w:p w14:paraId="22CD988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输出电压 单相220V</w:t>
            </w:r>
          </w:p>
          <w:p w14:paraId="4D15511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单路功率 不低于5KW (MAX25台 5V40A(200W) LED专用电源)</w:t>
            </w:r>
          </w:p>
          <w:p w14:paraId="7661848D">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输出路数  不少于3路 输出</w:t>
            </w:r>
          </w:p>
          <w:p w14:paraId="210CA15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工作环境 温度 -10至40摄氏度</w:t>
            </w:r>
          </w:p>
          <w:p w14:paraId="4E7BCF82">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湿度 ≤80% RH</w:t>
            </w:r>
          </w:p>
          <w:p w14:paraId="6E260FF8">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存储环境 温度 -10至80摄氏度</w:t>
            </w:r>
          </w:p>
          <w:p w14:paraId="0468E74E">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湿度 ≤95% RH</w:t>
            </w:r>
          </w:p>
          <w:p w14:paraId="6DE00AF5">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5.物理规格  260mm*184mm*67mm （各尺寸正负误差5mm</w:t>
            </w:r>
            <w:r>
              <w:rPr>
                <w:rFonts w:ascii="宋体" w:hAnsi="宋体" w:eastAsia="宋体" w:cs="宋体"/>
                <w:color w:val="000000"/>
                <w:kern w:val="0"/>
                <w:sz w:val="24"/>
                <w:szCs w:val="24"/>
                <w:lang w:bidi="ar"/>
              </w:rPr>
              <w:t>）</w:t>
            </w:r>
            <w:r>
              <w:rPr>
                <w:rFonts w:hint="eastAsia" w:ascii="宋体" w:hAnsi="宋体" w:eastAsia="宋体" w:cs="宋体"/>
                <w:color w:val="000000"/>
                <w:kern w:val="0"/>
                <w:sz w:val="24"/>
                <w:szCs w:val="24"/>
                <w:lang w:bidi="ar"/>
              </w:rPr>
              <w:t xml:space="preserve">                                             </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55DD0CA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套</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42C8D81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682CB998">
            <w:pPr>
              <w:jc w:val="center"/>
              <w:rPr>
                <w:rFonts w:hint="eastAsia" w:ascii="宋体" w:hAnsi="宋体" w:eastAsia="宋体" w:cs="宋体"/>
                <w:color w:val="000000"/>
                <w:sz w:val="24"/>
                <w:szCs w:val="24"/>
              </w:rPr>
            </w:pPr>
          </w:p>
        </w:tc>
      </w:tr>
      <w:tr w14:paraId="2A22C72E">
        <w:tblPrEx>
          <w:tblCellMar>
            <w:top w:w="0" w:type="dxa"/>
            <w:left w:w="108" w:type="dxa"/>
            <w:bottom w:w="0" w:type="dxa"/>
            <w:right w:w="108" w:type="dxa"/>
          </w:tblCellMar>
        </w:tblPrEx>
        <w:trPr>
          <w:trHeight w:val="735" w:hRule="atLeas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14:paraId="5C8E273A">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p>
        </w:tc>
        <w:tc>
          <w:tcPr>
            <w:tcW w:w="883" w:type="dxa"/>
            <w:tcBorders>
              <w:top w:val="single" w:color="000000" w:sz="4" w:space="0"/>
              <w:left w:val="single" w:color="000000" w:sz="4" w:space="0"/>
              <w:bottom w:val="single" w:color="000000" w:sz="4" w:space="0"/>
              <w:right w:val="single" w:color="000000" w:sz="4" w:space="0"/>
            </w:tcBorders>
            <w:noWrap w:val="0"/>
            <w:vAlign w:val="center"/>
          </w:tcPr>
          <w:p w14:paraId="73101D6C">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服务及配件</w:t>
            </w:r>
          </w:p>
        </w:tc>
        <w:tc>
          <w:tcPr>
            <w:tcW w:w="5124" w:type="dxa"/>
            <w:tcBorders>
              <w:top w:val="single" w:color="000000" w:sz="4" w:space="0"/>
              <w:left w:val="single" w:color="000000" w:sz="4" w:space="0"/>
              <w:bottom w:val="single" w:color="000000" w:sz="4" w:space="0"/>
              <w:right w:val="single" w:color="000000" w:sz="4" w:space="0"/>
            </w:tcBorders>
            <w:noWrap w:val="0"/>
            <w:vAlign w:val="center"/>
          </w:tcPr>
          <w:p w14:paraId="4692DF96">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含LED屏的工程结构、包边装饰、专用线材、售后服务、技术支持、操作人员培训等。</w:t>
            </w:r>
          </w:p>
        </w:tc>
        <w:tc>
          <w:tcPr>
            <w:tcW w:w="589" w:type="dxa"/>
            <w:tcBorders>
              <w:top w:val="single" w:color="000000" w:sz="4" w:space="0"/>
              <w:left w:val="single" w:color="000000" w:sz="4" w:space="0"/>
              <w:bottom w:val="single" w:color="000000" w:sz="4" w:space="0"/>
              <w:right w:val="single" w:color="000000" w:sz="4" w:space="0"/>
            </w:tcBorders>
            <w:noWrap w:val="0"/>
            <w:vAlign w:val="center"/>
          </w:tcPr>
          <w:p w14:paraId="1C361FA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p>
        </w:tc>
        <w:tc>
          <w:tcPr>
            <w:tcW w:w="816" w:type="dxa"/>
            <w:tcBorders>
              <w:top w:val="single" w:color="000000" w:sz="4" w:space="0"/>
              <w:left w:val="single" w:color="000000" w:sz="4" w:space="0"/>
              <w:bottom w:val="single" w:color="000000" w:sz="4" w:space="0"/>
              <w:right w:val="single" w:color="000000" w:sz="4" w:space="0"/>
            </w:tcBorders>
            <w:noWrap/>
            <w:vAlign w:val="center"/>
          </w:tcPr>
          <w:p w14:paraId="4A2E8F3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10.48 </w:t>
            </w:r>
          </w:p>
        </w:tc>
        <w:tc>
          <w:tcPr>
            <w:tcW w:w="526" w:type="dxa"/>
            <w:tcBorders>
              <w:top w:val="single" w:color="000000" w:sz="4" w:space="0"/>
              <w:left w:val="single" w:color="000000" w:sz="4" w:space="0"/>
              <w:bottom w:val="single" w:color="000000" w:sz="4" w:space="0"/>
              <w:right w:val="single" w:color="000000" w:sz="4" w:space="0"/>
            </w:tcBorders>
            <w:noWrap/>
            <w:vAlign w:val="center"/>
          </w:tcPr>
          <w:p w14:paraId="39226CBC">
            <w:pPr>
              <w:jc w:val="center"/>
              <w:rPr>
                <w:rFonts w:hint="eastAsia" w:ascii="宋体" w:hAnsi="宋体" w:eastAsia="宋体" w:cs="宋体"/>
                <w:color w:val="000000"/>
                <w:sz w:val="24"/>
                <w:szCs w:val="24"/>
              </w:rPr>
            </w:pPr>
          </w:p>
        </w:tc>
      </w:tr>
    </w:tbl>
    <w:p w14:paraId="6B8CA54B">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三、报价要求</w:t>
      </w:r>
    </w:p>
    <w:p w14:paraId="22EEEA66">
      <w:r>
        <w:rPr>
          <w:rFonts w:hint="eastAsia" w:ascii="Arial" w:hAnsi="Arial" w:eastAsia="宋体" w:cs="Arial"/>
          <w:sz w:val="24"/>
          <w:szCs w:val="18"/>
        </w:rPr>
        <w:t>本项目报总价，报价即完成本项目所需内容的所有费用，成交后采购人不再另行支付任何费用</w:t>
      </w:r>
      <w:r>
        <w:rPr>
          <w:rFonts w:hint="eastAsia" w:ascii="Arial" w:hAnsi="Arial" w:eastAsia="宋体" w:cs="Arial"/>
          <w:bCs/>
          <w:sz w:val="24"/>
          <w:szCs w:val="18"/>
        </w:rPr>
        <w:t>。</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89401F"/>
    <w:rsid w:val="69894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2025-08-07T02:18:00Z</dcterms:created>
  <dc:creator>森</dc:creator>
  <cp:lastModifiedBy>森</cp:lastModifiedBy>
  <dcterms:modified xsi:type="dcterms:W3CDTF">2025-08-07T02:18:39Z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40BE04F1CC3A4A1DB077D2046190E411_11</vt:lpwstr>
  </property>
  <property fmtid="{D5CDD505-2E9C-101B-9397-08002B2CF9AE}" pid="4" name="KSOTemplateDocerSaveRecord">
    <vt:lpwstr>eyJoZGlkIjoiOTc3M2Y5NzIzMDFlZjAyY2Q4Njk5ODkyYjFjNzBiNTQiLCJ1c2VySWQiOiI0MzAwMTYzNzkifQ==</vt:lpwstr>
  </property>
</Properties>
</file>