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5C0FD3">
      <w:pPr>
        <w:wordWrap w:val="0"/>
        <w:spacing w:line="360" w:lineRule="auto"/>
        <w:jc w:val="center"/>
        <w:outlineLvl w:val="1"/>
        <w:rPr>
          <w:rFonts w:ascii="华文中宋" w:hAnsi="华文中宋" w:eastAsia="华文中宋" w:cs="Times New Roman"/>
          <w:b/>
          <w:bCs/>
          <w:kern w:val="44"/>
          <w:sz w:val="44"/>
          <w:szCs w:val="44"/>
        </w:rPr>
      </w:pPr>
      <w:bookmarkStart w:id="0" w:name="_Toc5143"/>
      <w:bookmarkStart w:id="1" w:name="_Toc17676"/>
      <w:r>
        <w:rPr>
          <w:rFonts w:hint="eastAsia" w:ascii="华文中宋" w:hAnsi="华文中宋" w:eastAsia="华文中宋" w:cs="Times New Roman"/>
          <w:b/>
          <w:bCs/>
          <w:kern w:val="44"/>
          <w:sz w:val="44"/>
          <w:szCs w:val="44"/>
        </w:rPr>
        <w:t xml:space="preserve">第三章  </w:t>
      </w:r>
      <w:bookmarkEnd w:id="0"/>
      <w:bookmarkEnd w:id="1"/>
      <w:r>
        <w:rPr>
          <w:rFonts w:hint="eastAsia" w:ascii="华文中宋" w:hAnsi="华文中宋" w:eastAsia="华文中宋" w:cs="Times New Roman"/>
          <w:b/>
          <w:bCs/>
          <w:kern w:val="44"/>
          <w:sz w:val="44"/>
          <w:szCs w:val="44"/>
        </w:rPr>
        <w:t>采购需求</w:t>
      </w:r>
    </w:p>
    <w:p w14:paraId="43D7B2B2">
      <w:pPr>
        <w:wordWrap w:val="0"/>
        <w:spacing w:line="360" w:lineRule="auto"/>
        <w:rPr>
          <w:rFonts w:ascii="宋体" w:hAnsi="宋体" w:eastAsia="宋体"/>
          <w:b/>
          <w:sz w:val="24"/>
        </w:rPr>
      </w:pPr>
      <w:r>
        <w:rPr>
          <w:rFonts w:hint="eastAsia" w:ascii="宋体" w:hAnsi="宋体" w:eastAsia="宋体"/>
          <w:b/>
          <w:sz w:val="24"/>
        </w:rPr>
        <w:t>前注：</w:t>
      </w:r>
    </w:p>
    <w:p w14:paraId="44EF347A">
      <w:pPr>
        <w:wordWrap w:val="0"/>
        <w:spacing w:line="360" w:lineRule="auto"/>
        <w:ind w:firstLine="437"/>
        <w:rPr>
          <w:rFonts w:ascii="Arial" w:hAnsi="Arial" w:eastAsia="宋体" w:cs="Arial"/>
          <w:b/>
          <w:sz w:val="24"/>
          <w:szCs w:val="18"/>
        </w:rPr>
      </w:pPr>
      <w:r>
        <w:rPr>
          <w:rFonts w:hint="eastAsia" w:ascii="宋体" w:hAnsi="宋体" w:eastAsia="宋体"/>
          <w:sz w:val="24"/>
        </w:rPr>
        <w:t>1.</w:t>
      </w:r>
      <w:r>
        <w:rPr>
          <w:rFonts w:ascii="宋体" w:hAnsi="宋体" w:eastAsia="宋体"/>
          <w:sz w:val="24"/>
        </w:rPr>
        <w:t>本说明中提出的技术方案仅为参考，如无明确限制，</w:t>
      </w:r>
      <w:r>
        <w:rPr>
          <w:rFonts w:hint="eastAsia" w:ascii="宋体" w:hAnsi="宋体" w:eastAsia="宋体"/>
          <w:sz w:val="24"/>
        </w:rPr>
        <w:t>供应商</w:t>
      </w:r>
      <w:r>
        <w:rPr>
          <w:rFonts w:ascii="宋体" w:hAnsi="宋体" w:eastAsia="宋体"/>
          <w:sz w:val="24"/>
        </w:rPr>
        <w:t>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方案，且此方案须</w:t>
      </w:r>
      <w:r>
        <w:rPr>
          <w:rFonts w:hint="eastAsia" w:ascii="宋体" w:hAnsi="宋体" w:eastAsia="宋体"/>
          <w:sz w:val="24"/>
        </w:rPr>
        <w:t>评标委员会评标</w:t>
      </w:r>
      <w:r>
        <w:rPr>
          <w:rFonts w:ascii="宋体" w:hAnsi="宋体" w:eastAsia="宋体"/>
          <w:sz w:val="24"/>
        </w:rPr>
        <w:t>认可</w:t>
      </w:r>
      <w:r>
        <w:rPr>
          <w:rFonts w:hint="eastAsia" w:ascii="宋体" w:hAnsi="宋体" w:eastAsia="宋体"/>
          <w:sz w:val="24"/>
        </w:rPr>
        <w:t>。</w:t>
      </w:r>
    </w:p>
    <w:p w14:paraId="27BCFB26">
      <w:pPr>
        <w:wordWrap w:val="0"/>
        <w:spacing w:line="360" w:lineRule="auto"/>
        <w:ind w:firstLine="437"/>
        <w:outlineLvl w:val="1"/>
        <w:rPr>
          <w:rFonts w:ascii="Arial" w:hAnsi="Arial" w:eastAsia="宋体" w:cs="Arial"/>
          <w:b/>
          <w:sz w:val="28"/>
          <w:szCs w:val="28"/>
        </w:rPr>
      </w:pPr>
      <w:r>
        <w:rPr>
          <w:rFonts w:ascii="Arial" w:hAnsi="Arial" w:eastAsia="宋体" w:cs="Arial"/>
          <w:b/>
          <w:sz w:val="28"/>
          <w:szCs w:val="28"/>
        </w:rPr>
        <w:t>一、</w:t>
      </w:r>
      <w:r>
        <w:rPr>
          <w:rFonts w:hint="eastAsia" w:ascii="Arial" w:hAnsi="Arial" w:eastAsia="宋体" w:cs="Arial"/>
          <w:b/>
          <w:sz w:val="28"/>
          <w:szCs w:val="28"/>
        </w:rPr>
        <w:t>采购需求</w:t>
      </w:r>
      <w:r>
        <w:rPr>
          <w:rFonts w:ascii="Arial" w:hAnsi="Arial" w:eastAsia="宋体" w:cs="Arial"/>
          <w:b/>
          <w:sz w:val="28"/>
          <w:szCs w:val="28"/>
        </w:rPr>
        <w:t>前附表</w:t>
      </w:r>
    </w:p>
    <w:tbl>
      <w:tblPr>
        <w:tblStyle w:val="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4"/>
        <w:gridCol w:w="5976"/>
      </w:tblGrid>
      <w:tr w14:paraId="02652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17FB9794">
            <w:pPr>
              <w:pStyle w:val="10"/>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214" w:type="dxa"/>
            <w:vAlign w:val="center"/>
          </w:tcPr>
          <w:p w14:paraId="29F2DA24">
            <w:pPr>
              <w:pStyle w:val="11"/>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976" w:type="dxa"/>
            <w:vAlign w:val="center"/>
          </w:tcPr>
          <w:p w14:paraId="64A75498">
            <w:pPr>
              <w:pStyle w:val="11"/>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6A16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7E0659B6">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214" w:type="dxa"/>
            <w:vAlign w:val="center"/>
          </w:tcPr>
          <w:p w14:paraId="54AC9B8C">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976" w:type="dxa"/>
            <w:vAlign w:val="center"/>
          </w:tcPr>
          <w:p w14:paraId="0A7CA01A">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lang w:val="en-US" w:eastAsia="zh-CN"/>
              </w:rPr>
              <w:t>项目验收合格</w:t>
            </w:r>
            <w:r>
              <w:rPr>
                <w:rFonts w:hint="eastAsia" w:ascii="宋体" w:hAnsi="宋体" w:eastAsia="宋体" w:cs="宋体"/>
                <w:b w:val="0"/>
                <w:bCs w:val="0"/>
                <w:sz w:val="24"/>
                <w:szCs w:val="24"/>
                <w:lang w:eastAsia="zh-CN"/>
              </w:rPr>
              <w:t>7 个工作日内，</w:t>
            </w:r>
            <w:r>
              <w:rPr>
                <w:rFonts w:hint="eastAsia" w:ascii="宋体" w:hAnsi="宋体" w:eastAsia="宋体" w:cs="宋体"/>
                <w:b w:val="0"/>
                <w:bCs w:val="0"/>
                <w:sz w:val="24"/>
                <w:szCs w:val="24"/>
                <w:lang w:val="en-US" w:eastAsia="zh-CN"/>
              </w:rPr>
              <w:t>一次性付清合同额100%</w:t>
            </w:r>
            <w:r>
              <w:rPr>
                <w:rFonts w:hint="eastAsia" w:ascii="宋体" w:hAnsi="宋体" w:eastAsia="宋体" w:cs="宋体"/>
                <w:b w:val="0"/>
                <w:bCs w:val="0"/>
                <w:sz w:val="24"/>
                <w:szCs w:val="24"/>
                <w:lang w:eastAsia="zh-CN"/>
              </w:rPr>
              <w:t xml:space="preserve"> 。</w:t>
            </w:r>
          </w:p>
        </w:tc>
      </w:tr>
      <w:tr w14:paraId="512D8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02B01F35">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214" w:type="dxa"/>
            <w:vAlign w:val="center"/>
          </w:tcPr>
          <w:p w14:paraId="39A9DE4A">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976" w:type="dxa"/>
            <w:vAlign w:val="center"/>
          </w:tcPr>
          <w:p w14:paraId="44C192E7">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rPr>
              <w:t>安徽中医药大学或采购人指定地点</w:t>
            </w:r>
          </w:p>
        </w:tc>
      </w:tr>
      <w:tr w14:paraId="20854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5A8CD900">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214" w:type="dxa"/>
            <w:vAlign w:val="center"/>
          </w:tcPr>
          <w:p w14:paraId="686DB74E">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976" w:type="dxa"/>
            <w:vAlign w:val="center"/>
          </w:tcPr>
          <w:p w14:paraId="541E112A">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lang w:eastAsia="zh-CN"/>
              </w:rPr>
              <w:t>合同生效后25个日历日内完成供货及安装</w:t>
            </w:r>
            <w:r>
              <w:rPr>
                <w:rFonts w:hint="eastAsia" w:ascii="宋体" w:hAnsi="宋体" w:eastAsia="宋体" w:cs="宋体"/>
                <w:b w:val="0"/>
                <w:bCs w:val="0"/>
                <w:sz w:val="24"/>
                <w:szCs w:val="24"/>
              </w:rPr>
              <w:t xml:space="preserve">     </w:t>
            </w:r>
          </w:p>
        </w:tc>
      </w:tr>
      <w:tr w14:paraId="7A739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98" w:type="dxa"/>
            <w:vAlign w:val="center"/>
          </w:tcPr>
          <w:p w14:paraId="34CE04B7">
            <w:pPr>
              <w:pStyle w:val="10"/>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4</w:t>
            </w:r>
          </w:p>
        </w:tc>
        <w:tc>
          <w:tcPr>
            <w:tcW w:w="2214" w:type="dxa"/>
            <w:vAlign w:val="center"/>
          </w:tcPr>
          <w:p w14:paraId="5E979DEC">
            <w:pPr>
              <w:pStyle w:val="11"/>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免费质保期</w:t>
            </w:r>
          </w:p>
        </w:tc>
        <w:tc>
          <w:tcPr>
            <w:tcW w:w="5976" w:type="dxa"/>
            <w:vAlign w:val="center"/>
          </w:tcPr>
          <w:p w14:paraId="79923E79">
            <w:pPr>
              <w:pStyle w:val="11"/>
              <w:widowControl w:val="0"/>
              <w:wordWrap w:val="0"/>
              <w:spacing w:before="0" w:beforeAutospacing="0" w:after="0" w:afterAutospacing="0" w:line="440" w:lineRule="exact"/>
              <w:jc w:val="both"/>
              <w:rPr>
                <w:rFonts w:ascii="宋体" w:hAnsi="宋体" w:eastAsia="宋体" w:cs="宋体"/>
                <w:b w:val="0"/>
                <w:bCs w:val="0"/>
                <w:sz w:val="24"/>
                <w:szCs w:val="24"/>
              </w:rPr>
            </w:pPr>
            <w:r>
              <w:rPr>
                <w:rFonts w:hint="eastAsia" w:ascii="宋体" w:hAnsi="宋体" w:eastAsia="宋体" w:cs="宋体"/>
                <w:b w:val="0"/>
                <w:bCs w:val="0"/>
                <w:sz w:val="24"/>
                <w:szCs w:val="24"/>
              </w:rPr>
              <w:t>验收合格之日起</w:t>
            </w:r>
            <w:r>
              <w:rPr>
                <w:rFonts w:hint="eastAsia" w:ascii="宋体" w:hAnsi="宋体" w:eastAsia="宋体" w:cs="宋体"/>
                <w:b w:val="0"/>
                <w:bCs w:val="0"/>
                <w:sz w:val="24"/>
                <w:szCs w:val="24"/>
                <w:lang w:val="en-US" w:eastAsia="zh-CN"/>
              </w:rPr>
              <w:t>不少于</w:t>
            </w:r>
            <w:r>
              <w:rPr>
                <w:rFonts w:hint="eastAsia" w:ascii="宋体" w:hAnsi="宋体" w:eastAsia="宋体" w:cs="宋体"/>
                <w:b w:val="0"/>
                <w:bCs w:val="0"/>
                <w:sz w:val="24"/>
                <w:szCs w:val="24"/>
              </w:rPr>
              <w:t>3年，</w:t>
            </w:r>
            <w:r>
              <w:rPr>
                <w:rFonts w:hint="eastAsia" w:ascii="宋体" w:hAnsi="宋体" w:eastAsia="宋体" w:cs="宋体"/>
                <w:b/>
                <w:bCs/>
                <w:sz w:val="24"/>
                <w:szCs w:val="24"/>
              </w:rPr>
              <w:t>采购需求另有规定的，以采购需求为准。</w:t>
            </w:r>
          </w:p>
        </w:tc>
      </w:tr>
    </w:tbl>
    <w:p w14:paraId="5B8CB279">
      <w:pPr>
        <w:wordWrap w:val="0"/>
        <w:spacing w:line="440" w:lineRule="exact"/>
        <w:ind w:firstLine="437"/>
        <w:outlineLvl w:val="1"/>
        <w:rPr>
          <w:rFonts w:hint="default" w:ascii="Arial" w:hAnsi="Arial" w:eastAsia="宋体" w:cs="Arial"/>
          <w:b/>
          <w:bCs/>
          <w:sz w:val="28"/>
          <w:szCs w:val="28"/>
          <w:lang w:val="en-US" w:eastAsia="zh-CN"/>
        </w:rPr>
      </w:pPr>
      <w:r>
        <w:rPr>
          <w:rFonts w:hint="eastAsia" w:ascii="Arial" w:hAnsi="Arial" w:eastAsia="宋体" w:cs="Arial"/>
          <w:b/>
          <w:bCs/>
          <w:sz w:val="28"/>
          <w:szCs w:val="28"/>
          <w:lang w:val="en-US" w:eastAsia="zh-CN"/>
        </w:rPr>
        <w:t>二、项目概况</w:t>
      </w:r>
    </w:p>
    <w:p w14:paraId="56378782">
      <w:pPr>
        <w:wordWrap w:val="0"/>
        <w:spacing w:line="360" w:lineRule="auto"/>
        <w:ind w:left="0" w:leftChars="0" w:firstLine="437" w:firstLineChars="0"/>
        <w:jc w:val="left"/>
        <w:rPr>
          <w:rFonts w:hint="eastAsia" w:ascii="宋体" w:hAnsi="宋体" w:eastAsia="宋体" w:cs="@仿宋_GB2312"/>
          <w:kern w:val="2"/>
          <w:sz w:val="24"/>
          <w:szCs w:val="20"/>
          <w:lang w:val="en-US" w:eastAsia="zh-CN" w:bidi="ar-SA"/>
        </w:rPr>
      </w:pPr>
      <w:r>
        <w:rPr>
          <w:rFonts w:hint="eastAsia" w:ascii="宋体" w:hAnsi="宋体" w:eastAsia="宋体" w:cs="@仿宋_GB2312"/>
          <w:sz w:val="24"/>
          <w:szCs w:val="20"/>
          <w:lang w:val="zh-CN"/>
        </w:rPr>
        <w:t>本次项目建设为</w:t>
      </w:r>
      <w:r>
        <w:rPr>
          <w:rFonts w:hint="eastAsia" w:ascii="宋体" w:hAnsi="宋体" w:eastAsia="宋体" w:cs="@仿宋_GB2312"/>
          <w:sz w:val="24"/>
          <w:szCs w:val="20"/>
          <w:lang w:val="en-US" w:eastAsia="zh-CN"/>
        </w:rPr>
        <w:t>安徽中医药大学少荃湖校区监控存储扩容、解码器更换等；</w:t>
      </w:r>
      <w:r>
        <w:rPr>
          <w:rFonts w:hint="eastAsia" w:ascii="宋体" w:hAnsi="宋体" w:eastAsia="宋体" w:cs="@仿宋_GB2312"/>
          <w:sz w:val="24"/>
          <w:szCs w:val="20"/>
          <w:lang w:val="zh-CN"/>
        </w:rPr>
        <w:t>校园监控系统</w:t>
      </w:r>
      <w:r>
        <w:rPr>
          <w:rFonts w:hint="eastAsia" w:ascii="宋体" w:hAnsi="宋体" w:eastAsia="宋体" w:cs="@仿宋_GB2312"/>
          <w:sz w:val="24"/>
          <w:szCs w:val="20"/>
          <w:lang w:val="en-US" w:eastAsia="zh-CN"/>
        </w:rPr>
        <w:t>始建于2013年，目前宿舍区及室外道路等重点区域存储时间不足90日，</w:t>
      </w:r>
      <w:r>
        <w:rPr>
          <w:rFonts w:hint="eastAsia" w:ascii="宋体" w:hAnsi="宋体" w:eastAsia="宋体" w:cs="@仿宋_GB2312"/>
          <w:kern w:val="2"/>
          <w:sz w:val="24"/>
          <w:szCs w:val="20"/>
          <w:lang w:val="en-US" w:eastAsia="zh-CN" w:bidi="ar-SA"/>
        </w:rPr>
        <w:t>无法满足反恐法中“针对重点区域采集的视频图像信息保存期限不少于九十日”的要求.</w:t>
      </w:r>
    </w:p>
    <w:p w14:paraId="190F9FEA">
      <w:pPr>
        <w:wordWrap w:val="0"/>
        <w:spacing w:line="360" w:lineRule="auto"/>
        <w:ind w:firstLine="437"/>
        <w:rPr>
          <w:rFonts w:hint="eastAsia" w:ascii="宋体" w:hAnsi="宋体" w:eastAsia="宋体" w:cs="@仿宋_GB2312"/>
          <w:b w:val="0"/>
          <w:bCs w:val="0"/>
          <w:sz w:val="24"/>
          <w:szCs w:val="20"/>
        </w:rPr>
      </w:pPr>
      <w:r>
        <w:rPr>
          <w:rFonts w:hint="eastAsia" w:ascii="宋体" w:hAnsi="宋体" w:eastAsia="宋体" w:cs="@仿宋_GB2312"/>
          <w:sz w:val="24"/>
          <w:szCs w:val="20"/>
          <w:lang w:val="en-US" w:eastAsia="zh-CN"/>
        </w:rPr>
        <w:t>视频监控室大屏系统大屏画面时常出现黑屏状况，经重启解码器或者自行运行一段时间可以自行恢复，现场配套解码器，均为2013年底或2014年初投入使用，使用期限超10年，通过软件版本的升级已将设备软件更新为最新版本，但故障依旧未解决，考虑到此设备运行10年之久，电子元器件存在老化情况，通过重启可短期恢复正常使用，但无法排除偶发故障，且现使用解码器已停产停维，为</w:t>
      </w:r>
      <w:r>
        <w:rPr>
          <w:rFonts w:hint="eastAsia" w:ascii="宋体" w:hAnsi="宋体" w:eastAsia="宋体" w:cs="@仿宋_GB2312"/>
          <w:sz w:val="24"/>
          <w:szCs w:val="20"/>
          <w:lang w:val="zh-CN"/>
        </w:rPr>
        <w:t>确保使校园监控系统发挥正常功能，结合</w:t>
      </w:r>
      <w:r>
        <w:rPr>
          <w:rFonts w:hint="eastAsia" w:ascii="宋体" w:hAnsi="宋体" w:eastAsia="宋体" w:cs="@仿宋_GB2312"/>
          <w:sz w:val="24"/>
          <w:szCs w:val="20"/>
          <w:lang w:val="en-US" w:eastAsia="zh-CN"/>
        </w:rPr>
        <w:t>学校对</w:t>
      </w:r>
      <w:r>
        <w:rPr>
          <w:rFonts w:hint="eastAsia" w:ascii="宋体" w:hAnsi="宋体" w:eastAsia="宋体" w:cs="@仿宋_GB2312"/>
          <w:sz w:val="24"/>
          <w:szCs w:val="20"/>
          <w:lang w:val="zh-CN"/>
        </w:rPr>
        <w:t>监控系统设备</w:t>
      </w:r>
      <w:r>
        <w:rPr>
          <w:rFonts w:hint="eastAsia" w:ascii="宋体" w:hAnsi="宋体" w:eastAsia="宋体" w:cs="@仿宋_GB2312"/>
          <w:sz w:val="24"/>
          <w:szCs w:val="20"/>
          <w:lang w:val="en-US" w:eastAsia="zh-CN"/>
        </w:rPr>
        <w:t>的</w:t>
      </w:r>
      <w:r>
        <w:rPr>
          <w:rFonts w:hint="eastAsia" w:ascii="宋体" w:hAnsi="宋体" w:eastAsia="宋体" w:cs="@仿宋_GB2312"/>
          <w:sz w:val="24"/>
          <w:szCs w:val="20"/>
          <w:lang w:val="zh-CN"/>
        </w:rPr>
        <w:t>管理要求，使整个系统正常运行，以达到我校“平安校园”的实际使用目标。</w:t>
      </w:r>
    </w:p>
    <w:p w14:paraId="0355FE2E">
      <w:pPr>
        <w:wordWrap w:val="0"/>
        <w:spacing w:line="440" w:lineRule="exact"/>
        <w:ind w:firstLine="437"/>
        <w:outlineLvl w:val="1"/>
        <w:rPr>
          <w:rFonts w:hint="default" w:ascii="Arial" w:hAnsi="Arial" w:eastAsia="宋体" w:cs="Arial"/>
          <w:b/>
          <w:bCs/>
          <w:sz w:val="28"/>
          <w:szCs w:val="28"/>
          <w:lang w:val="en-US" w:eastAsia="zh-CN"/>
        </w:rPr>
      </w:pPr>
      <w:r>
        <w:rPr>
          <w:rFonts w:hint="eastAsia" w:ascii="Arial" w:hAnsi="Arial" w:eastAsia="宋体" w:cs="Arial"/>
          <w:b/>
          <w:bCs/>
          <w:sz w:val="28"/>
          <w:szCs w:val="28"/>
          <w:lang w:val="en-US" w:eastAsia="zh-CN"/>
        </w:rPr>
        <w:t>三、建设依据</w:t>
      </w:r>
    </w:p>
    <w:p w14:paraId="7880EC3A">
      <w:pPr>
        <w:pStyle w:val="1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系统建设依据国家相关法律规章、国家和行业相关标准、相关研究成果等资料进行规划设计，具体如下：</w:t>
      </w:r>
    </w:p>
    <w:p w14:paraId="56BF6B0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《视频安防监控系统技术要求》GA/T367</w:t>
      </w:r>
    </w:p>
    <w:p w14:paraId="05878A5D">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《民用闭路监视电视系统工程技术规范》GB50198</w:t>
      </w:r>
    </w:p>
    <w:p w14:paraId="115A973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《建筑及建筑群综合布线工程设计规范》GB/T50311</w:t>
      </w:r>
    </w:p>
    <w:p w14:paraId="4E63231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《计算机信息系统安全》GA 216.1</w:t>
      </w:r>
    </w:p>
    <w:p w14:paraId="39FEC5E0">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《安全防范工程程序与要求》GA/T75</w:t>
      </w:r>
    </w:p>
    <w:p w14:paraId="10145C38">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《安全防范工程技术规范》GB 50348</w:t>
      </w:r>
    </w:p>
    <w:p w14:paraId="724FC2E8">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《视频安防监控系统工程设计规范》GB50395-2015</w:t>
      </w:r>
    </w:p>
    <w:p w14:paraId="3558FF5A">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《安全防范系统设计与安装》06SX503</w:t>
      </w:r>
    </w:p>
    <w:p w14:paraId="20191A43">
      <w:pPr>
        <w:wordWrap w:val="0"/>
        <w:spacing w:line="440" w:lineRule="exact"/>
        <w:ind w:firstLine="437"/>
        <w:outlineLvl w:val="1"/>
        <w:rPr>
          <w:rFonts w:hint="default" w:ascii="Arial" w:hAnsi="Arial" w:eastAsia="宋体" w:cs="Arial"/>
          <w:b/>
          <w:bCs/>
          <w:sz w:val="28"/>
          <w:szCs w:val="28"/>
          <w:lang w:val="en-US" w:eastAsia="zh-CN"/>
        </w:rPr>
      </w:pPr>
      <w:r>
        <w:rPr>
          <w:rFonts w:hint="eastAsia" w:ascii="Arial" w:hAnsi="Arial" w:eastAsia="宋体" w:cs="Arial"/>
          <w:b/>
          <w:bCs/>
          <w:sz w:val="28"/>
          <w:szCs w:val="28"/>
          <w:lang w:val="en-US" w:eastAsia="zh-CN"/>
        </w:rPr>
        <w:t>四、建设意义</w:t>
      </w:r>
    </w:p>
    <w:p w14:paraId="068A8C50">
      <w:pPr>
        <w:wordWrap w:val="0"/>
        <w:spacing w:line="360" w:lineRule="auto"/>
        <w:ind w:firstLine="437"/>
        <w:rPr>
          <w:rFonts w:hint="eastAsia" w:ascii="宋体" w:hAnsi="宋体" w:eastAsia="宋体" w:cs="@仿宋_GB2312"/>
          <w:b w:val="0"/>
          <w:bCs w:val="0"/>
          <w:sz w:val="24"/>
          <w:szCs w:val="20"/>
        </w:rPr>
      </w:pPr>
      <w:r>
        <w:rPr>
          <w:rFonts w:hint="eastAsia" w:ascii="宋体" w:hAnsi="宋体" w:eastAsia="宋体" w:cs="@仿宋_GB2312"/>
          <w:sz w:val="24"/>
          <w:szCs w:val="20"/>
          <w:lang w:val="en-US" w:eastAsia="zh-CN"/>
        </w:rPr>
        <w:t>根据《关于加强公共安全视频监控建设联网应用工作的若干意见》（发改高技〔2015〕996号），国家鼓励公共安全视频监控系统的更新换代，以提升社会治理能力现代化水平。高校作为重要的社会组成部分，其安全监控系统的现代化对于保障师生安全和提升校园管理水平至关重要。</w:t>
      </w:r>
    </w:p>
    <w:p w14:paraId="6E9B32AA">
      <w:pPr>
        <w:wordWrap w:val="0"/>
        <w:spacing w:line="440" w:lineRule="exact"/>
        <w:ind w:firstLine="437"/>
        <w:outlineLvl w:val="1"/>
        <w:rPr>
          <w:rFonts w:hint="default" w:ascii="Arial" w:hAnsi="Arial" w:eastAsia="宋体" w:cs="Arial"/>
          <w:b/>
          <w:bCs/>
          <w:sz w:val="28"/>
          <w:szCs w:val="28"/>
          <w:lang w:val="en-US" w:eastAsia="zh-CN"/>
        </w:rPr>
      </w:pPr>
      <w:r>
        <w:rPr>
          <w:rFonts w:hint="eastAsia" w:ascii="Arial" w:hAnsi="Arial" w:eastAsia="宋体" w:cs="Arial"/>
          <w:b/>
          <w:bCs/>
          <w:sz w:val="28"/>
          <w:szCs w:val="28"/>
          <w:lang w:val="en-US" w:eastAsia="zh-CN"/>
        </w:rPr>
        <w:t>五、设计需求</w:t>
      </w:r>
    </w:p>
    <w:p w14:paraId="1EA56467">
      <w:pPr>
        <w:wordWrap w:val="0"/>
        <w:spacing w:line="440" w:lineRule="exact"/>
        <w:ind w:firstLine="437"/>
        <w:rPr>
          <w:rFonts w:hint="eastAsia" w:ascii="Arial" w:hAnsi="Arial" w:eastAsia="宋体" w:cs="Arial"/>
          <w:b/>
          <w:bCs/>
          <w:sz w:val="24"/>
          <w:szCs w:val="24"/>
        </w:rPr>
      </w:pPr>
      <w:bookmarkStart w:id="2" w:name="_Toc9468"/>
      <w:r>
        <w:rPr>
          <w:rFonts w:hint="eastAsia" w:ascii="Arial" w:hAnsi="Arial" w:eastAsia="宋体" w:cs="Arial"/>
          <w:b/>
          <w:bCs/>
          <w:sz w:val="24"/>
          <w:szCs w:val="24"/>
          <w:lang w:val="en-US" w:eastAsia="zh-CN"/>
        </w:rPr>
        <w:t>5.1</w:t>
      </w:r>
      <w:r>
        <w:rPr>
          <w:rFonts w:hint="eastAsia" w:ascii="Arial" w:hAnsi="Arial" w:eastAsia="宋体" w:cs="Arial"/>
          <w:b/>
          <w:bCs/>
          <w:sz w:val="24"/>
          <w:szCs w:val="24"/>
        </w:rPr>
        <w:t>存储扩容</w:t>
      </w:r>
      <w:bookmarkEnd w:id="2"/>
    </w:p>
    <w:p w14:paraId="67083EA7">
      <w:pPr>
        <w:wordWrap w:val="0"/>
        <w:spacing w:line="360" w:lineRule="auto"/>
        <w:ind w:left="0" w:leftChars="0" w:firstLine="437" w:firstLineChars="0"/>
        <w:jc w:val="left"/>
        <w:rPr>
          <w:rFonts w:hint="eastAsia" w:ascii="宋体" w:hAnsi="宋体" w:eastAsia="宋体" w:cs="@仿宋_GB2312"/>
          <w:sz w:val="24"/>
          <w:szCs w:val="20"/>
          <w:lang w:val="en-US" w:eastAsia="zh-CN"/>
        </w:rPr>
      </w:pPr>
      <w:r>
        <w:rPr>
          <w:rFonts w:hint="eastAsia" w:ascii="宋体" w:hAnsi="宋体" w:eastAsia="宋体" w:cs="@仿宋_GB2312"/>
          <w:sz w:val="24"/>
          <w:szCs w:val="20"/>
          <w:lang w:val="en-US" w:eastAsia="zh-CN"/>
        </w:rPr>
        <w:t>安徽中医药大学视频监视存储系统为浙江宇视设备，共计4台ISC6500、本次扩容需将学校一期、二期视频存储统一扩容至90天，并接入学校视频监控平台进行统一管理。</w:t>
      </w:r>
    </w:p>
    <w:p w14:paraId="04CD23EA">
      <w:pPr>
        <w:wordWrap w:val="0"/>
        <w:spacing w:line="360" w:lineRule="auto"/>
        <w:ind w:left="0" w:leftChars="0" w:firstLine="437" w:firstLineChars="0"/>
        <w:jc w:val="left"/>
        <w:rPr>
          <w:rFonts w:hint="eastAsia" w:ascii="宋体" w:hAnsi="宋体" w:eastAsia="宋体" w:cs="@仿宋_GB2312"/>
          <w:sz w:val="24"/>
          <w:szCs w:val="20"/>
          <w:lang w:val="en-US" w:eastAsia="zh-CN"/>
        </w:rPr>
      </w:pPr>
      <w:r>
        <w:rPr>
          <w:rFonts w:hint="eastAsia" w:ascii="宋体" w:hAnsi="宋体" w:eastAsia="宋体" w:cs="@仿宋_GB2312"/>
          <w:sz w:val="24"/>
          <w:szCs w:val="20"/>
          <w:lang w:val="en-US" w:eastAsia="zh-CN"/>
        </w:rPr>
        <w:t>5.1.1现有存储情况如下表：</w:t>
      </w:r>
    </w:p>
    <w:tbl>
      <w:tblPr>
        <w:tblStyle w:val="7"/>
        <w:tblW w:w="8739" w:type="dxa"/>
        <w:jc w:val="center"/>
        <w:tblLayout w:type="autofit"/>
        <w:tblCellMar>
          <w:top w:w="0" w:type="dxa"/>
          <w:left w:w="108" w:type="dxa"/>
          <w:bottom w:w="0" w:type="dxa"/>
          <w:right w:w="108" w:type="dxa"/>
        </w:tblCellMar>
      </w:tblPr>
      <w:tblGrid>
        <w:gridCol w:w="562"/>
        <w:gridCol w:w="1056"/>
        <w:gridCol w:w="1017"/>
        <w:gridCol w:w="878"/>
        <w:gridCol w:w="988"/>
        <w:gridCol w:w="1015"/>
        <w:gridCol w:w="1255"/>
        <w:gridCol w:w="1188"/>
        <w:gridCol w:w="780"/>
      </w:tblGrid>
      <w:tr w14:paraId="4713197D">
        <w:tblPrEx>
          <w:tblCellMar>
            <w:top w:w="0" w:type="dxa"/>
            <w:left w:w="108" w:type="dxa"/>
            <w:bottom w:w="0" w:type="dxa"/>
            <w:right w:w="108" w:type="dxa"/>
          </w:tblCellMar>
        </w:tblPrEx>
        <w:trPr>
          <w:trHeight w:val="400" w:hRule="atLeast"/>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14:paraId="43110F29">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序号</w:t>
            </w:r>
          </w:p>
        </w:tc>
        <w:tc>
          <w:tcPr>
            <w:tcW w:w="0" w:type="auto"/>
            <w:tcBorders>
              <w:top w:val="single" w:color="auto" w:sz="4" w:space="0"/>
              <w:left w:val="nil"/>
              <w:bottom w:val="single" w:color="auto" w:sz="4" w:space="0"/>
              <w:right w:val="single" w:color="auto" w:sz="4" w:space="0"/>
            </w:tcBorders>
            <w:noWrap w:val="0"/>
            <w:vAlign w:val="center"/>
          </w:tcPr>
          <w:p w14:paraId="337DEBB5">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设备</w:t>
            </w:r>
          </w:p>
        </w:tc>
        <w:tc>
          <w:tcPr>
            <w:tcW w:w="1017" w:type="dxa"/>
            <w:tcBorders>
              <w:top w:val="single" w:color="auto" w:sz="4" w:space="0"/>
              <w:left w:val="nil"/>
              <w:bottom w:val="single" w:color="auto" w:sz="4" w:space="0"/>
              <w:right w:val="single" w:color="auto" w:sz="4" w:space="0"/>
            </w:tcBorders>
            <w:noWrap w:val="0"/>
            <w:vAlign w:val="center"/>
          </w:tcPr>
          <w:p w14:paraId="54B2356D">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接入摄像机</w:t>
            </w:r>
          </w:p>
        </w:tc>
        <w:tc>
          <w:tcPr>
            <w:tcW w:w="878" w:type="dxa"/>
            <w:tcBorders>
              <w:top w:val="single" w:color="auto" w:sz="4" w:space="0"/>
              <w:left w:val="nil"/>
              <w:bottom w:val="single" w:color="auto" w:sz="4" w:space="0"/>
              <w:right w:val="single" w:color="auto" w:sz="4" w:space="0"/>
            </w:tcBorders>
            <w:noWrap w:val="0"/>
            <w:vAlign w:val="center"/>
          </w:tcPr>
          <w:p w14:paraId="2B0E8151">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硬盘数量</w:t>
            </w:r>
          </w:p>
        </w:tc>
        <w:tc>
          <w:tcPr>
            <w:tcW w:w="0" w:type="auto"/>
            <w:tcBorders>
              <w:top w:val="single" w:color="auto" w:sz="4" w:space="0"/>
              <w:left w:val="nil"/>
              <w:bottom w:val="single" w:color="auto" w:sz="4" w:space="0"/>
              <w:right w:val="single" w:color="auto" w:sz="4" w:space="0"/>
            </w:tcBorders>
            <w:noWrap w:val="0"/>
            <w:vAlign w:val="center"/>
          </w:tcPr>
          <w:p w14:paraId="4D633E46">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单块硬盘大小</w:t>
            </w:r>
          </w:p>
        </w:tc>
        <w:tc>
          <w:tcPr>
            <w:tcW w:w="0" w:type="auto"/>
            <w:tcBorders>
              <w:top w:val="single" w:color="auto" w:sz="4" w:space="0"/>
              <w:left w:val="nil"/>
              <w:bottom w:val="single" w:color="auto" w:sz="4" w:space="0"/>
              <w:right w:val="single" w:color="auto" w:sz="4" w:space="0"/>
            </w:tcBorders>
            <w:noWrap w:val="0"/>
            <w:vAlign w:val="center"/>
          </w:tcPr>
          <w:p w14:paraId="22568972">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总容量(TB)</w:t>
            </w:r>
          </w:p>
        </w:tc>
        <w:tc>
          <w:tcPr>
            <w:tcW w:w="0" w:type="auto"/>
            <w:tcBorders>
              <w:top w:val="single" w:color="auto" w:sz="4" w:space="0"/>
              <w:left w:val="nil"/>
              <w:bottom w:val="single" w:color="auto" w:sz="4" w:space="0"/>
              <w:right w:val="single" w:color="auto" w:sz="4" w:space="0"/>
            </w:tcBorders>
            <w:noWrap w:val="0"/>
            <w:vAlign w:val="center"/>
          </w:tcPr>
          <w:p w14:paraId="6C4D7508">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已用容量(TB)</w:t>
            </w:r>
          </w:p>
        </w:tc>
        <w:tc>
          <w:tcPr>
            <w:tcW w:w="0" w:type="auto"/>
            <w:tcBorders>
              <w:top w:val="single" w:color="auto" w:sz="4" w:space="0"/>
              <w:left w:val="nil"/>
              <w:bottom w:val="single" w:color="auto" w:sz="4" w:space="0"/>
              <w:right w:val="single" w:color="auto" w:sz="4" w:space="0"/>
            </w:tcBorders>
            <w:noWrap w:val="0"/>
            <w:vAlign w:val="center"/>
          </w:tcPr>
          <w:p w14:paraId="28720241">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剩余容量(TB)</w:t>
            </w:r>
          </w:p>
        </w:tc>
        <w:tc>
          <w:tcPr>
            <w:tcW w:w="779" w:type="dxa"/>
            <w:tcBorders>
              <w:top w:val="single" w:color="auto" w:sz="4" w:space="0"/>
              <w:left w:val="nil"/>
              <w:bottom w:val="single" w:color="auto" w:sz="4" w:space="0"/>
              <w:right w:val="single" w:color="auto" w:sz="4" w:space="0"/>
            </w:tcBorders>
            <w:noWrap w:val="0"/>
            <w:vAlign w:val="center"/>
          </w:tcPr>
          <w:p w14:paraId="2AD9098F">
            <w:pPr>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备注</w:t>
            </w:r>
          </w:p>
        </w:tc>
      </w:tr>
      <w:tr w14:paraId="419F73E8">
        <w:tblPrEx>
          <w:tblCellMar>
            <w:top w:w="0" w:type="dxa"/>
            <w:left w:w="108" w:type="dxa"/>
            <w:bottom w:w="0" w:type="dxa"/>
            <w:right w:w="108" w:type="dxa"/>
          </w:tblCellMar>
        </w:tblPrEx>
        <w:trPr>
          <w:trHeight w:val="400" w:hRule="atLeast"/>
          <w:jc w:val="center"/>
        </w:trPr>
        <w:tc>
          <w:tcPr>
            <w:tcW w:w="0" w:type="auto"/>
            <w:tcBorders>
              <w:top w:val="nil"/>
              <w:left w:val="single" w:color="auto" w:sz="4" w:space="0"/>
              <w:bottom w:val="single" w:color="auto" w:sz="4" w:space="0"/>
              <w:right w:val="single" w:color="auto" w:sz="4" w:space="0"/>
            </w:tcBorders>
            <w:noWrap w:val="0"/>
            <w:vAlign w:val="center"/>
          </w:tcPr>
          <w:p w14:paraId="28D64523">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0" w:type="auto"/>
            <w:tcBorders>
              <w:top w:val="nil"/>
              <w:left w:val="nil"/>
              <w:bottom w:val="single" w:color="auto" w:sz="4" w:space="0"/>
              <w:right w:val="single" w:color="auto" w:sz="4" w:space="0"/>
            </w:tcBorders>
            <w:noWrap w:val="0"/>
            <w:vAlign w:val="center"/>
          </w:tcPr>
          <w:p w14:paraId="4F82BC4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ISC6500</w:t>
            </w:r>
          </w:p>
        </w:tc>
        <w:tc>
          <w:tcPr>
            <w:tcW w:w="1017" w:type="dxa"/>
            <w:tcBorders>
              <w:top w:val="nil"/>
              <w:left w:val="nil"/>
              <w:bottom w:val="single" w:color="auto" w:sz="4" w:space="0"/>
              <w:right w:val="single" w:color="auto" w:sz="4" w:space="0"/>
            </w:tcBorders>
            <w:noWrap w:val="0"/>
            <w:vAlign w:val="center"/>
          </w:tcPr>
          <w:p w14:paraId="10E1724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226</w:t>
            </w:r>
          </w:p>
        </w:tc>
        <w:tc>
          <w:tcPr>
            <w:tcW w:w="878" w:type="dxa"/>
            <w:tcBorders>
              <w:top w:val="nil"/>
              <w:left w:val="nil"/>
              <w:bottom w:val="single" w:color="auto" w:sz="4" w:space="0"/>
              <w:right w:val="single" w:color="auto" w:sz="4" w:space="0"/>
            </w:tcBorders>
            <w:noWrap w:val="0"/>
            <w:vAlign w:val="center"/>
          </w:tcPr>
          <w:p w14:paraId="5A95D0DC">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70</w:t>
            </w:r>
          </w:p>
        </w:tc>
        <w:tc>
          <w:tcPr>
            <w:tcW w:w="0" w:type="auto"/>
            <w:tcBorders>
              <w:top w:val="nil"/>
              <w:left w:val="nil"/>
              <w:bottom w:val="single" w:color="auto" w:sz="4" w:space="0"/>
              <w:right w:val="single" w:color="auto" w:sz="4" w:space="0"/>
            </w:tcBorders>
            <w:noWrap w:val="0"/>
            <w:vAlign w:val="center"/>
          </w:tcPr>
          <w:p w14:paraId="20A2B1B7">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3T</w:t>
            </w:r>
          </w:p>
        </w:tc>
        <w:tc>
          <w:tcPr>
            <w:tcW w:w="0" w:type="auto"/>
            <w:tcBorders>
              <w:top w:val="nil"/>
              <w:left w:val="nil"/>
              <w:bottom w:val="single" w:color="auto" w:sz="4" w:space="0"/>
              <w:right w:val="single" w:color="auto" w:sz="4" w:space="0"/>
            </w:tcBorders>
            <w:noWrap w:val="0"/>
            <w:vAlign w:val="center"/>
          </w:tcPr>
          <w:p w14:paraId="162B0FD4">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210</w:t>
            </w:r>
          </w:p>
        </w:tc>
        <w:tc>
          <w:tcPr>
            <w:tcW w:w="0" w:type="auto"/>
            <w:tcBorders>
              <w:top w:val="nil"/>
              <w:left w:val="nil"/>
              <w:bottom w:val="single" w:color="auto" w:sz="4" w:space="0"/>
              <w:right w:val="single" w:color="auto" w:sz="4" w:space="0"/>
            </w:tcBorders>
            <w:noWrap w:val="0"/>
            <w:vAlign w:val="center"/>
          </w:tcPr>
          <w:p w14:paraId="24528F1B">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166.41</w:t>
            </w:r>
          </w:p>
        </w:tc>
        <w:tc>
          <w:tcPr>
            <w:tcW w:w="0" w:type="auto"/>
            <w:tcBorders>
              <w:top w:val="nil"/>
              <w:left w:val="nil"/>
              <w:bottom w:val="single" w:color="auto" w:sz="4" w:space="0"/>
              <w:right w:val="single" w:color="auto" w:sz="4" w:space="0"/>
            </w:tcBorders>
            <w:noWrap w:val="0"/>
            <w:vAlign w:val="center"/>
          </w:tcPr>
          <w:p w14:paraId="13BCF7F0">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13.85</w:t>
            </w:r>
          </w:p>
        </w:tc>
        <w:tc>
          <w:tcPr>
            <w:tcW w:w="779" w:type="dxa"/>
            <w:tcBorders>
              <w:top w:val="nil"/>
              <w:left w:val="nil"/>
              <w:bottom w:val="single" w:color="auto" w:sz="4" w:space="0"/>
              <w:right w:val="single" w:color="auto" w:sz="4" w:space="0"/>
            </w:tcBorders>
            <w:noWrap w:val="0"/>
            <w:vAlign w:val="center"/>
          </w:tcPr>
          <w:p w14:paraId="53C919A6">
            <w:pPr>
              <w:spacing w:line="360" w:lineRule="auto"/>
              <w:ind w:left="0" w:leftChars="0" w:firstLine="420" w:firstLineChars="175"/>
              <w:jc w:val="left"/>
              <w:rPr>
                <w:rFonts w:hint="eastAsia" w:ascii="宋体" w:hAnsi="宋体" w:eastAsia="宋体" w:cs="宋体"/>
                <w:color w:val="auto"/>
                <w:sz w:val="24"/>
                <w:szCs w:val="24"/>
                <w:lang w:val="en-US" w:eastAsia="zh-CN"/>
              </w:rPr>
            </w:pPr>
          </w:p>
        </w:tc>
      </w:tr>
      <w:tr w14:paraId="3416CB90">
        <w:tblPrEx>
          <w:tblCellMar>
            <w:top w:w="0" w:type="dxa"/>
            <w:left w:w="108" w:type="dxa"/>
            <w:bottom w:w="0" w:type="dxa"/>
            <w:right w:w="108" w:type="dxa"/>
          </w:tblCellMar>
        </w:tblPrEx>
        <w:trPr>
          <w:trHeight w:val="400" w:hRule="atLeast"/>
          <w:jc w:val="center"/>
        </w:trPr>
        <w:tc>
          <w:tcPr>
            <w:tcW w:w="0" w:type="auto"/>
            <w:tcBorders>
              <w:top w:val="nil"/>
              <w:left w:val="single" w:color="auto" w:sz="4" w:space="0"/>
              <w:bottom w:val="single" w:color="auto" w:sz="4" w:space="0"/>
              <w:right w:val="single" w:color="auto" w:sz="4" w:space="0"/>
            </w:tcBorders>
            <w:noWrap w:val="0"/>
            <w:vAlign w:val="center"/>
          </w:tcPr>
          <w:p w14:paraId="677F0137">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0" w:type="auto"/>
            <w:tcBorders>
              <w:top w:val="nil"/>
              <w:left w:val="nil"/>
              <w:bottom w:val="single" w:color="auto" w:sz="4" w:space="0"/>
              <w:right w:val="single" w:color="auto" w:sz="4" w:space="0"/>
            </w:tcBorders>
            <w:noWrap w:val="0"/>
            <w:vAlign w:val="center"/>
          </w:tcPr>
          <w:p w14:paraId="0BD84F8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ISC6500</w:t>
            </w:r>
          </w:p>
        </w:tc>
        <w:tc>
          <w:tcPr>
            <w:tcW w:w="1017" w:type="dxa"/>
            <w:tcBorders>
              <w:top w:val="nil"/>
              <w:left w:val="nil"/>
              <w:bottom w:val="single" w:color="auto" w:sz="4" w:space="0"/>
              <w:right w:val="single" w:color="auto" w:sz="4" w:space="0"/>
            </w:tcBorders>
            <w:noWrap w:val="0"/>
            <w:vAlign w:val="center"/>
          </w:tcPr>
          <w:p w14:paraId="5BC75B80">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195</w:t>
            </w:r>
          </w:p>
        </w:tc>
        <w:tc>
          <w:tcPr>
            <w:tcW w:w="878" w:type="dxa"/>
            <w:tcBorders>
              <w:top w:val="nil"/>
              <w:left w:val="nil"/>
              <w:bottom w:val="single" w:color="auto" w:sz="4" w:space="0"/>
              <w:right w:val="single" w:color="auto" w:sz="4" w:space="0"/>
            </w:tcBorders>
            <w:noWrap w:val="0"/>
            <w:vAlign w:val="center"/>
          </w:tcPr>
          <w:p w14:paraId="3CA530C1">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59</w:t>
            </w:r>
          </w:p>
        </w:tc>
        <w:tc>
          <w:tcPr>
            <w:tcW w:w="0" w:type="auto"/>
            <w:tcBorders>
              <w:top w:val="nil"/>
              <w:left w:val="nil"/>
              <w:bottom w:val="single" w:color="auto" w:sz="4" w:space="0"/>
              <w:right w:val="single" w:color="auto" w:sz="4" w:space="0"/>
            </w:tcBorders>
            <w:noWrap w:val="0"/>
            <w:vAlign w:val="center"/>
          </w:tcPr>
          <w:p w14:paraId="62F70B0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3T</w:t>
            </w:r>
          </w:p>
        </w:tc>
        <w:tc>
          <w:tcPr>
            <w:tcW w:w="0" w:type="auto"/>
            <w:tcBorders>
              <w:top w:val="nil"/>
              <w:left w:val="nil"/>
              <w:bottom w:val="single" w:color="auto" w:sz="4" w:space="0"/>
              <w:right w:val="single" w:color="auto" w:sz="4" w:space="0"/>
            </w:tcBorders>
            <w:noWrap w:val="0"/>
            <w:vAlign w:val="center"/>
          </w:tcPr>
          <w:p w14:paraId="6890CD94">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177</w:t>
            </w:r>
          </w:p>
        </w:tc>
        <w:tc>
          <w:tcPr>
            <w:tcW w:w="0" w:type="auto"/>
            <w:tcBorders>
              <w:top w:val="nil"/>
              <w:left w:val="nil"/>
              <w:bottom w:val="single" w:color="auto" w:sz="4" w:space="0"/>
              <w:right w:val="single" w:color="auto" w:sz="4" w:space="0"/>
            </w:tcBorders>
            <w:noWrap w:val="0"/>
            <w:vAlign w:val="center"/>
          </w:tcPr>
          <w:p w14:paraId="1D5A7FFE">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139.13</w:t>
            </w:r>
          </w:p>
        </w:tc>
        <w:tc>
          <w:tcPr>
            <w:tcW w:w="0" w:type="auto"/>
            <w:tcBorders>
              <w:top w:val="nil"/>
              <w:left w:val="nil"/>
              <w:bottom w:val="single" w:color="auto" w:sz="4" w:space="0"/>
              <w:right w:val="single" w:color="auto" w:sz="4" w:space="0"/>
            </w:tcBorders>
            <w:noWrap w:val="0"/>
            <w:vAlign w:val="center"/>
          </w:tcPr>
          <w:p w14:paraId="42B26175">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13.86</w:t>
            </w:r>
          </w:p>
        </w:tc>
        <w:tc>
          <w:tcPr>
            <w:tcW w:w="779" w:type="dxa"/>
            <w:tcBorders>
              <w:top w:val="nil"/>
              <w:left w:val="nil"/>
              <w:bottom w:val="single" w:color="auto" w:sz="4" w:space="0"/>
              <w:right w:val="single" w:color="auto" w:sz="4" w:space="0"/>
            </w:tcBorders>
            <w:noWrap w:val="0"/>
            <w:vAlign w:val="center"/>
          </w:tcPr>
          <w:p w14:paraId="3F9C592C">
            <w:pPr>
              <w:spacing w:line="360" w:lineRule="auto"/>
              <w:jc w:val="center"/>
              <w:rPr>
                <w:rFonts w:hint="eastAsia" w:ascii="宋体" w:hAnsi="宋体" w:eastAsia="宋体" w:cs="宋体"/>
                <w:color w:val="auto"/>
                <w:sz w:val="24"/>
                <w:szCs w:val="24"/>
                <w:lang w:val="en-US" w:eastAsia="zh-CN"/>
              </w:rPr>
            </w:pPr>
          </w:p>
        </w:tc>
      </w:tr>
      <w:tr w14:paraId="673985C2">
        <w:tblPrEx>
          <w:tblCellMar>
            <w:top w:w="0" w:type="dxa"/>
            <w:left w:w="108" w:type="dxa"/>
            <w:bottom w:w="0" w:type="dxa"/>
            <w:right w:w="108" w:type="dxa"/>
          </w:tblCellMar>
        </w:tblPrEx>
        <w:trPr>
          <w:trHeight w:val="400" w:hRule="atLeast"/>
          <w:jc w:val="center"/>
        </w:trPr>
        <w:tc>
          <w:tcPr>
            <w:tcW w:w="0" w:type="auto"/>
            <w:tcBorders>
              <w:top w:val="nil"/>
              <w:left w:val="single" w:color="auto" w:sz="4" w:space="0"/>
              <w:bottom w:val="single" w:color="auto" w:sz="4" w:space="0"/>
              <w:right w:val="single" w:color="auto" w:sz="4" w:space="0"/>
            </w:tcBorders>
            <w:noWrap w:val="0"/>
            <w:vAlign w:val="center"/>
          </w:tcPr>
          <w:p w14:paraId="43623E97">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0" w:type="auto"/>
            <w:tcBorders>
              <w:top w:val="nil"/>
              <w:left w:val="nil"/>
              <w:bottom w:val="single" w:color="auto" w:sz="4" w:space="0"/>
              <w:right w:val="single" w:color="auto" w:sz="4" w:space="0"/>
            </w:tcBorders>
            <w:noWrap w:val="0"/>
            <w:vAlign w:val="center"/>
          </w:tcPr>
          <w:p w14:paraId="08B559F5">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ISC6500</w:t>
            </w:r>
          </w:p>
        </w:tc>
        <w:tc>
          <w:tcPr>
            <w:tcW w:w="1017" w:type="dxa"/>
            <w:tcBorders>
              <w:top w:val="nil"/>
              <w:left w:val="nil"/>
              <w:bottom w:val="single" w:color="auto" w:sz="4" w:space="0"/>
              <w:right w:val="single" w:color="auto" w:sz="4" w:space="0"/>
            </w:tcBorders>
            <w:noWrap w:val="0"/>
            <w:vAlign w:val="center"/>
          </w:tcPr>
          <w:p w14:paraId="1975F179">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166</w:t>
            </w:r>
          </w:p>
        </w:tc>
        <w:tc>
          <w:tcPr>
            <w:tcW w:w="878" w:type="dxa"/>
            <w:tcBorders>
              <w:top w:val="nil"/>
              <w:left w:val="nil"/>
              <w:bottom w:val="single" w:color="auto" w:sz="4" w:space="0"/>
              <w:right w:val="single" w:color="auto" w:sz="4" w:space="0"/>
            </w:tcBorders>
            <w:noWrap w:val="0"/>
            <w:vAlign w:val="center"/>
          </w:tcPr>
          <w:p w14:paraId="00C0110D">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66</w:t>
            </w:r>
          </w:p>
        </w:tc>
        <w:tc>
          <w:tcPr>
            <w:tcW w:w="0" w:type="auto"/>
            <w:tcBorders>
              <w:top w:val="nil"/>
              <w:left w:val="nil"/>
              <w:bottom w:val="single" w:color="auto" w:sz="4" w:space="0"/>
              <w:right w:val="single" w:color="auto" w:sz="4" w:space="0"/>
            </w:tcBorders>
            <w:noWrap w:val="0"/>
            <w:vAlign w:val="center"/>
          </w:tcPr>
          <w:p w14:paraId="60BB257B">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3T</w:t>
            </w:r>
          </w:p>
        </w:tc>
        <w:tc>
          <w:tcPr>
            <w:tcW w:w="0" w:type="auto"/>
            <w:tcBorders>
              <w:top w:val="nil"/>
              <w:left w:val="nil"/>
              <w:bottom w:val="single" w:color="auto" w:sz="4" w:space="0"/>
              <w:right w:val="single" w:color="auto" w:sz="4" w:space="0"/>
            </w:tcBorders>
            <w:noWrap w:val="0"/>
            <w:vAlign w:val="center"/>
          </w:tcPr>
          <w:p w14:paraId="28088FB9">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198</w:t>
            </w:r>
          </w:p>
        </w:tc>
        <w:tc>
          <w:tcPr>
            <w:tcW w:w="0" w:type="auto"/>
            <w:tcBorders>
              <w:top w:val="nil"/>
              <w:left w:val="nil"/>
              <w:bottom w:val="single" w:color="auto" w:sz="4" w:space="0"/>
              <w:right w:val="single" w:color="auto" w:sz="4" w:space="0"/>
            </w:tcBorders>
            <w:noWrap w:val="0"/>
            <w:vAlign w:val="center"/>
          </w:tcPr>
          <w:p w14:paraId="696D2B65">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152.77</w:t>
            </w:r>
          </w:p>
        </w:tc>
        <w:tc>
          <w:tcPr>
            <w:tcW w:w="0" w:type="auto"/>
            <w:tcBorders>
              <w:top w:val="nil"/>
              <w:left w:val="nil"/>
              <w:bottom w:val="single" w:color="auto" w:sz="4" w:space="0"/>
              <w:right w:val="single" w:color="auto" w:sz="4" w:space="0"/>
            </w:tcBorders>
            <w:noWrap w:val="0"/>
            <w:vAlign w:val="center"/>
          </w:tcPr>
          <w:p w14:paraId="613E69D4">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43.39</w:t>
            </w:r>
          </w:p>
        </w:tc>
        <w:tc>
          <w:tcPr>
            <w:tcW w:w="779" w:type="dxa"/>
            <w:tcBorders>
              <w:top w:val="nil"/>
              <w:left w:val="nil"/>
              <w:bottom w:val="single" w:color="auto" w:sz="4" w:space="0"/>
              <w:right w:val="single" w:color="auto" w:sz="4" w:space="0"/>
            </w:tcBorders>
            <w:noWrap w:val="0"/>
            <w:vAlign w:val="center"/>
          </w:tcPr>
          <w:p w14:paraId="41F076D8">
            <w:pPr>
              <w:spacing w:line="360" w:lineRule="auto"/>
              <w:jc w:val="center"/>
              <w:rPr>
                <w:rFonts w:hint="eastAsia" w:ascii="宋体" w:hAnsi="宋体" w:eastAsia="宋体" w:cs="宋体"/>
                <w:color w:val="auto"/>
                <w:sz w:val="24"/>
                <w:szCs w:val="24"/>
                <w:lang w:val="en-US" w:eastAsia="zh-CN"/>
              </w:rPr>
            </w:pPr>
          </w:p>
        </w:tc>
      </w:tr>
      <w:tr w14:paraId="12EB35A2">
        <w:tblPrEx>
          <w:tblCellMar>
            <w:top w:w="0" w:type="dxa"/>
            <w:left w:w="108" w:type="dxa"/>
            <w:bottom w:w="0" w:type="dxa"/>
            <w:right w:w="108" w:type="dxa"/>
          </w:tblCellMar>
        </w:tblPrEx>
        <w:trPr>
          <w:trHeight w:val="400" w:hRule="atLeast"/>
          <w:jc w:val="center"/>
        </w:trPr>
        <w:tc>
          <w:tcPr>
            <w:tcW w:w="0" w:type="auto"/>
            <w:tcBorders>
              <w:top w:val="nil"/>
              <w:left w:val="single" w:color="auto" w:sz="4" w:space="0"/>
              <w:bottom w:val="single" w:color="auto" w:sz="4" w:space="0"/>
              <w:right w:val="single" w:color="auto" w:sz="4" w:space="0"/>
            </w:tcBorders>
            <w:noWrap w:val="0"/>
            <w:vAlign w:val="center"/>
          </w:tcPr>
          <w:p w14:paraId="2D56A26C">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w:t>
            </w:r>
          </w:p>
        </w:tc>
        <w:tc>
          <w:tcPr>
            <w:tcW w:w="0" w:type="auto"/>
            <w:tcBorders>
              <w:top w:val="nil"/>
              <w:left w:val="nil"/>
              <w:bottom w:val="single" w:color="auto" w:sz="4" w:space="0"/>
              <w:right w:val="single" w:color="auto" w:sz="4" w:space="0"/>
            </w:tcBorders>
            <w:noWrap w:val="0"/>
            <w:vAlign w:val="center"/>
          </w:tcPr>
          <w:p w14:paraId="5F91888D">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ISC6500</w:t>
            </w:r>
          </w:p>
        </w:tc>
        <w:tc>
          <w:tcPr>
            <w:tcW w:w="1017" w:type="dxa"/>
            <w:tcBorders>
              <w:top w:val="nil"/>
              <w:left w:val="nil"/>
              <w:bottom w:val="single" w:color="auto" w:sz="4" w:space="0"/>
              <w:right w:val="single" w:color="auto" w:sz="4" w:space="0"/>
            </w:tcBorders>
            <w:noWrap w:val="0"/>
            <w:vAlign w:val="center"/>
          </w:tcPr>
          <w:p w14:paraId="4DA8331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141</w:t>
            </w:r>
          </w:p>
        </w:tc>
        <w:tc>
          <w:tcPr>
            <w:tcW w:w="878" w:type="dxa"/>
            <w:tcBorders>
              <w:top w:val="nil"/>
              <w:left w:val="nil"/>
              <w:bottom w:val="single" w:color="auto" w:sz="4" w:space="0"/>
              <w:right w:val="single" w:color="auto" w:sz="4" w:space="0"/>
            </w:tcBorders>
            <w:noWrap w:val="0"/>
            <w:vAlign w:val="center"/>
          </w:tcPr>
          <w:p w14:paraId="644BA856">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48</w:t>
            </w:r>
          </w:p>
        </w:tc>
        <w:tc>
          <w:tcPr>
            <w:tcW w:w="0" w:type="auto"/>
            <w:tcBorders>
              <w:top w:val="nil"/>
              <w:left w:val="nil"/>
              <w:bottom w:val="single" w:color="auto" w:sz="4" w:space="0"/>
              <w:right w:val="single" w:color="auto" w:sz="4" w:space="0"/>
            </w:tcBorders>
            <w:noWrap w:val="0"/>
            <w:vAlign w:val="center"/>
          </w:tcPr>
          <w:p w14:paraId="4476B9B9">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4T</w:t>
            </w:r>
          </w:p>
        </w:tc>
        <w:tc>
          <w:tcPr>
            <w:tcW w:w="0" w:type="auto"/>
            <w:tcBorders>
              <w:top w:val="nil"/>
              <w:left w:val="nil"/>
              <w:bottom w:val="single" w:color="auto" w:sz="4" w:space="0"/>
              <w:right w:val="single" w:color="auto" w:sz="4" w:space="0"/>
            </w:tcBorders>
            <w:noWrap w:val="0"/>
            <w:vAlign w:val="center"/>
          </w:tcPr>
          <w:p w14:paraId="0B99E2B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192</w:t>
            </w:r>
          </w:p>
        </w:tc>
        <w:tc>
          <w:tcPr>
            <w:tcW w:w="0" w:type="auto"/>
            <w:tcBorders>
              <w:top w:val="nil"/>
              <w:left w:val="nil"/>
              <w:bottom w:val="single" w:color="auto" w:sz="4" w:space="0"/>
              <w:right w:val="single" w:color="auto" w:sz="4" w:space="0"/>
            </w:tcBorders>
            <w:noWrap w:val="0"/>
            <w:vAlign w:val="center"/>
          </w:tcPr>
          <w:p w14:paraId="6BB2280A">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14.55</w:t>
            </w:r>
          </w:p>
        </w:tc>
        <w:tc>
          <w:tcPr>
            <w:tcW w:w="0" w:type="auto"/>
            <w:tcBorders>
              <w:top w:val="nil"/>
              <w:left w:val="nil"/>
              <w:bottom w:val="single" w:color="auto" w:sz="4" w:space="0"/>
              <w:right w:val="single" w:color="auto" w:sz="4" w:space="0"/>
            </w:tcBorders>
            <w:noWrap w:val="0"/>
            <w:vAlign w:val="center"/>
          </w:tcPr>
          <w:p w14:paraId="3C2FCE79">
            <w:pPr>
              <w:spacing w:line="360" w:lineRule="auto"/>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1.38</w:t>
            </w:r>
          </w:p>
        </w:tc>
        <w:tc>
          <w:tcPr>
            <w:tcW w:w="779" w:type="dxa"/>
            <w:tcBorders>
              <w:top w:val="nil"/>
              <w:left w:val="nil"/>
              <w:bottom w:val="single" w:color="auto" w:sz="4" w:space="0"/>
              <w:right w:val="single" w:color="auto" w:sz="4" w:space="0"/>
            </w:tcBorders>
            <w:noWrap w:val="0"/>
            <w:vAlign w:val="center"/>
          </w:tcPr>
          <w:p w14:paraId="36D0BCD9">
            <w:pPr>
              <w:spacing w:line="360" w:lineRule="auto"/>
              <w:jc w:val="center"/>
              <w:rPr>
                <w:rFonts w:hint="eastAsia" w:ascii="宋体" w:hAnsi="宋体" w:eastAsia="宋体" w:cs="宋体"/>
                <w:color w:val="auto"/>
                <w:sz w:val="24"/>
                <w:szCs w:val="24"/>
                <w:lang w:val="en-US" w:eastAsia="zh-CN"/>
              </w:rPr>
            </w:pPr>
          </w:p>
        </w:tc>
      </w:tr>
    </w:tbl>
    <w:p w14:paraId="0C25384E">
      <w:pPr>
        <w:wordWrap w:val="0"/>
        <w:spacing w:line="360" w:lineRule="auto"/>
        <w:ind w:left="0" w:leftChars="0" w:firstLine="437" w:firstLineChars="0"/>
        <w:jc w:val="left"/>
        <w:rPr>
          <w:rFonts w:hint="eastAsia" w:ascii="宋体" w:hAnsi="宋体" w:eastAsia="宋体" w:cs="@仿宋_GB2312"/>
          <w:sz w:val="24"/>
          <w:szCs w:val="20"/>
          <w:lang w:val="en-US" w:eastAsia="zh-CN"/>
        </w:rPr>
      </w:pPr>
      <w:r>
        <w:rPr>
          <w:rFonts w:hint="eastAsia" w:ascii="宋体" w:hAnsi="宋体" w:eastAsia="宋体" w:cs="@仿宋_GB2312"/>
          <w:sz w:val="24"/>
          <w:szCs w:val="20"/>
          <w:lang w:val="en-US" w:eastAsia="zh-CN"/>
        </w:rPr>
        <w:t>本次扩容，学校将ISC6500部分接入的摄像机进行容量扩容至90天，即ISC6500+新建IPSAN存储总容量满足728台摄像机存储90天。</w:t>
      </w:r>
    </w:p>
    <w:p w14:paraId="1031890F">
      <w:pPr>
        <w:wordWrap w:val="0"/>
        <w:spacing w:line="360" w:lineRule="auto"/>
        <w:ind w:left="0" w:leftChars="0" w:firstLine="437" w:firstLineChars="0"/>
        <w:jc w:val="left"/>
        <w:rPr>
          <w:rFonts w:hint="eastAsia" w:ascii="宋体" w:hAnsi="宋体" w:eastAsia="宋体" w:cs="@仿宋_GB2312"/>
          <w:sz w:val="24"/>
          <w:szCs w:val="20"/>
          <w:lang w:val="en-US" w:eastAsia="zh-CN"/>
        </w:rPr>
      </w:pPr>
      <w:r>
        <w:rPr>
          <w:rFonts w:hint="eastAsia" w:ascii="宋体" w:hAnsi="宋体" w:eastAsia="宋体" w:cs="@仿宋_GB2312"/>
          <w:sz w:val="24"/>
          <w:szCs w:val="20"/>
          <w:lang w:val="en-US" w:eastAsia="zh-CN"/>
        </w:rPr>
        <w:t>5.1.2利旧ISC6500存储空间</w:t>
      </w:r>
    </w:p>
    <w:p w14:paraId="37299D89">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考虑到早期的RAID划分不明确，重新计算偏差可能较大，因此按照系统中导出的可用容量（已用容量+剩余容量）计算，ISC6500设备总计空间 = 166.41 + 13.85 + 139.13 + 13.86 + 152.77 + 43.39 + 14.55 + 1.38 = 545.35 TB</w:t>
      </w:r>
    </w:p>
    <w:p w14:paraId="2423C9C0">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至少需要扩容的净容量 = 1420.71 T - 545.35 T = 875.36 T</w:t>
      </w:r>
    </w:p>
    <w:p w14:paraId="2C04C83C">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即采用利旧ISC6500存储方案，则仅考虑新建至少875.36 TB净容量的存储即可。大容量存储可采用高性价比的48盘位存储、16TB硬盘的方案。</w:t>
      </w:r>
    </w:p>
    <w:p w14:paraId="78526DAE">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至少所需16T硬盘数 = 875.36 TB÷14.55 TB≈61块</w:t>
      </w:r>
    </w:p>
    <w:p w14:paraId="7A68BD46">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至少所需48盘位节点数 = 61块÷42块≈2台</w:t>
      </w:r>
    </w:p>
    <w:p w14:paraId="31DB9920">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此时每台配置31块有效硬盘，组成3组阵列，增加5块冗余盘。阵列分布情况为：12（11块有效+1块冗余）+ 11（10块有效+1块冗余）+1（热备）+11（10块有效+1块冗余）+1（热备），每台36块硬盘。即：采用利旧原有ISC6500存储方案时，需要2台48盘位存储节点、82块16TB硬盘。</w:t>
      </w:r>
    </w:p>
    <w:p w14:paraId="479EB147">
      <w:pPr>
        <w:wordWrap w:val="0"/>
        <w:spacing w:line="440" w:lineRule="exact"/>
        <w:ind w:firstLine="437"/>
        <w:rPr>
          <w:rFonts w:hint="eastAsia" w:ascii="宋体" w:hAnsi="宋体" w:eastAsia="宋体" w:cs="宋体"/>
          <w:b/>
          <w:bCs/>
          <w:sz w:val="24"/>
          <w:szCs w:val="24"/>
          <w:lang w:val="en-US" w:eastAsia="zh-CN"/>
        </w:rPr>
      </w:pPr>
      <w:bookmarkStart w:id="3" w:name="_Toc24656"/>
      <w:r>
        <w:rPr>
          <w:rFonts w:hint="eastAsia" w:ascii="宋体" w:hAnsi="宋体" w:eastAsia="宋体" w:cs="宋体"/>
          <w:b/>
          <w:bCs/>
          <w:sz w:val="24"/>
          <w:szCs w:val="24"/>
          <w:lang w:val="en-US" w:eastAsia="zh-CN"/>
        </w:rPr>
        <w:t>5.2 综合解码器</w:t>
      </w:r>
      <w:bookmarkEnd w:id="3"/>
    </w:p>
    <w:p w14:paraId="713D9608">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安徽中医药大学目前已有24块LCD拼接屏，计划增加解码拼控设备，实现视频监控的解码上墙、拼接开窗等指挥中心业务需求。计划使用2台12路解码器进行级联，在满足需求的同时性价比较高。</w:t>
      </w:r>
    </w:p>
    <w:p w14:paraId="5251C0C9">
      <w:pPr>
        <w:wordWrap w:val="0"/>
        <w:spacing w:line="440" w:lineRule="exact"/>
        <w:ind w:firstLine="437"/>
        <w:rPr>
          <w:rFonts w:hint="eastAsia" w:ascii="宋体" w:hAnsi="宋体" w:eastAsia="宋体" w:cs="宋体"/>
          <w:b/>
          <w:bCs/>
          <w:sz w:val="24"/>
          <w:szCs w:val="24"/>
          <w:lang w:val="en-US" w:eastAsia="zh-CN"/>
        </w:rPr>
      </w:pPr>
      <w:bookmarkStart w:id="4" w:name="_Toc4841"/>
      <w:r>
        <w:rPr>
          <w:rFonts w:hint="eastAsia" w:ascii="宋体" w:hAnsi="宋体" w:eastAsia="宋体" w:cs="宋体"/>
          <w:b/>
          <w:bCs/>
          <w:sz w:val="24"/>
          <w:szCs w:val="24"/>
          <w:lang w:val="en-US" w:eastAsia="zh-CN"/>
        </w:rPr>
        <w:t>5.3 NTP时间</w:t>
      </w:r>
      <w:bookmarkEnd w:id="4"/>
      <w:r>
        <w:rPr>
          <w:rFonts w:hint="eastAsia" w:ascii="宋体" w:hAnsi="宋体" w:eastAsia="宋体" w:cs="宋体"/>
          <w:b/>
          <w:bCs/>
          <w:sz w:val="24"/>
          <w:szCs w:val="24"/>
          <w:lang w:val="en-US" w:eastAsia="zh-CN"/>
        </w:rPr>
        <w:t>校时器</w:t>
      </w:r>
    </w:p>
    <w:p w14:paraId="56BA152A">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因学校监控系统分多期建设，视频时间经常出现偏差，需定期手动校时，本次拟增加一套时间校时器，实现自动校时。基于ARM架构开发的高性能小型化NTP时间服务器。可广泛应用于企业、教育、邮政、铁路、金融等行业，满足各种规模网络精准校时需要。</w:t>
      </w:r>
    </w:p>
    <w:p w14:paraId="306EA7FB">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高精度：卫星同步精度：≤100ns；NTP授时精度：≤1ms；守时精度：≤100us（24小时）</w:t>
      </w:r>
    </w:p>
    <w:p w14:paraId="186E8683">
      <w:pPr>
        <w:wordWrap w:val="0"/>
        <w:spacing w:line="360" w:lineRule="auto"/>
        <w:ind w:left="0" w:leftChars="0" w:firstLine="437" w:firstLineChars="0"/>
        <w:jc w:val="left"/>
        <w:rPr>
          <w:rFonts w:hint="eastAsia" w:ascii="宋体" w:hAnsi="宋体" w:eastAsia="宋体" w:cs="宋体"/>
          <w:sz w:val="24"/>
          <w:szCs w:val="20"/>
          <w:lang w:val="en-US" w:eastAsia="zh-CN"/>
        </w:rPr>
      </w:pPr>
      <w:r>
        <w:rPr>
          <w:rFonts w:hint="eastAsia" w:ascii="宋体" w:hAnsi="宋体" w:eastAsia="宋体" w:cs="宋体"/>
          <w:sz w:val="24"/>
          <w:szCs w:val="20"/>
          <w:lang w:val="en-US" w:eastAsia="zh-CN"/>
        </w:rPr>
        <w:t>高性能：标配两个NTP授时端口，单个端口授时能力高达1500次/秒，高可靠：支持GPS、北斗、NTP校时；支持多网段校时；支持在丢失信号的情况下可自行授时；NTP端口支持端口冗余功能；支持双机冗余热。</w:t>
      </w:r>
    </w:p>
    <w:p w14:paraId="3923DF16">
      <w:pPr>
        <w:wordWrap w:val="0"/>
        <w:spacing w:line="440" w:lineRule="exact"/>
        <w:ind w:firstLine="437"/>
        <w:rPr>
          <w:rFonts w:hint="eastAsia" w:ascii="宋体" w:hAnsi="宋体" w:eastAsia="宋体" w:cs="宋体"/>
          <w:b/>
          <w:bCs/>
          <w:sz w:val="24"/>
          <w:szCs w:val="24"/>
          <w:lang w:val="en-US" w:eastAsia="zh-CN"/>
        </w:rPr>
      </w:pPr>
      <w:bookmarkStart w:id="5" w:name="_Toc11538"/>
      <w:r>
        <w:rPr>
          <w:rFonts w:hint="eastAsia" w:ascii="宋体" w:hAnsi="宋体" w:eastAsia="宋体" w:cs="宋体"/>
          <w:b/>
          <w:bCs/>
          <w:sz w:val="24"/>
          <w:szCs w:val="24"/>
          <w:lang w:val="en-US" w:eastAsia="zh-CN"/>
        </w:rPr>
        <w:t>5.4需求清单</w:t>
      </w:r>
      <w:bookmarkEnd w:id="5"/>
    </w:p>
    <w:tbl>
      <w:tblPr>
        <w:tblStyle w:val="7"/>
        <w:tblW w:w="7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3"/>
        <w:gridCol w:w="4087"/>
        <w:gridCol w:w="1475"/>
        <w:gridCol w:w="1588"/>
      </w:tblGrid>
      <w:tr w14:paraId="2B4E1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1F424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08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70561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产品名称</w:t>
            </w:r>
          </w:p>
        </w:tc>
        <w:tc>
          <w:tcPr>
            <w:tcW w:w="14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B4377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58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F9810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r>
      <w:tr w14:paraId="194AD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7E8E8C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07C69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网络存储设备</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720FB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5FDE7E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58748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14C93F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5EDBB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企业级硬盘</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1C17B0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651ED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r>
      <w:tr w14:paraId="5278C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146A45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09CC3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交流电源模块</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379AF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1F6E37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r>
      <w:tr w14:paraId="03FA0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4E5E21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14A61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铅酸电池模块</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3F173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3A6B0F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1BF11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12298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34966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高清视频解码器</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0D7432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275D5D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r>
      <w:tr w14:paraId="43221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528185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6BDFA03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highlight w:val="none"/>
                <w:u w:val="none"/>
                <w:lang w:val="en-US" w:eastAsia="zh-CN" w:bidi="ar"/>
              </w:rPr>
              <w:t>时间校时器</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6972C3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6AD082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r>
      <w:tr w14:paraId="165E8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150DA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2FBC1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网络摄像机</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2227E2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674CC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04A23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510055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3FFE94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监控立杆</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086A49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7EF8B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771D4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636F2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0E4F05D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highlight w:val="none"/>
                <w:u w:val="none"/>
                <w:lang w:val="en-US" w:eastAsia="zh-CN" w:bidi="ar"/>
              </w:rPr>
              <w:t>6类非屏蔽信道</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338E85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3A154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w:t>
            </w:r>
          </w:p>
        </w:tc>
      </w:tr>
      <w:tr w14:paraId="2F739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10D498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087" w:type="dxa"/>
            <w:tcBorders>
              <w:top w:val="single" w:color="000000" w:sz="4" w:space="0"/>
              <w:left w:val="single" w:color="000000" w:sz="4" w:space="0"/>
              <w:bottom w:val="single" w:color="000000" w:sz="4" w:space="0"/>
              <w:right w:val="single" w:color="000000" w:sz="4" w:space="0"/>
            </w:tcBorders>
            <w:noWrap w:val="0"/>
            <w:vAlign w:val="center"/>
          </w:tcPr>
          <w:p w14:paraId="7D15F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不锈钢设备箱</w:t>
            </w:r>
          </w:p>
        </w:tc>
        <w:tc>
          <w:tcPr>
            <w:tcW w:w="1475" w:type="dxa"/>
            <w:tcBorders>
              <w:top w:val="single" w:color="000000" w:sz="4" w:space="0"/>
              <w:left w:val="single" w:color="000000" w:sz="4" w:space="0"/>
              <w:bottom w:val="single" w:color="000000" w:sz="4" w:space="0"/>
              <w:right w:val="single" w:color="000000" w:sz="4" w:space="0"/>
            </w:tcBorders>
            <w:noWrap w:val="0"/>
            <w:vAlign w:val="center"/>
          </w:tcPr>
          <w:p w14:paraId="3FA1C1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88" w:type="dxa"/>
            <w:tcBorders>
              <w:top w:val="single" w:color="000000" w:sz="4" w:space="0"/>
              <w:left w:val="single" w:color="000000" w:sz="4" w:space="0"/>
              <w:bottom w:val="single" w:color="000000" w:sz="4" w:space="0"/>
              <w:right w:val="single" w:color="000000" w:sz="4" w:space="0"/>
            </w:tcBorders>
            <w:noWrap w:val="0"/>
            <w:vAlign w:val="center"/>
          </w:tcPr>
          <w:p w14:paraId="7ECCC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r>
      <w:tr w14:paraId="4F5C6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743" w:type="dxa"/>
            <w:tcBorders>
              <w:top w:val="single" w:color="000000" w:sz="4" w:space="0"/>
              <w:left w:val="single" w:color="000000" w:sz="4" w:space="0"/>
              <w:bottom w:val="single" w:color="000000" w:sz="4" w:space="0"/>
              <w:right w:val="single" w:color="000000" w:sz="4" w:space="0"/>
            </w:tcBorders>
            <w:noWrap w:val="0"/>
            <w:vAlign w:val="center"/>
          </w:tcPr>
          <w:p w14:paraId="7F7B9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087" w:type="dxa"/>
            <w:tcBorders>
              <w:top w:val="single" w:color="000000" w:sz="4" w:space="0"/>
              <w:left w:val="single" w:color="000000" w:sz="4" w:space="0"/>
              <w:bottom w:val="single" w:color="000000" w:sz="4" w:space="0"/>
              <w:right w:val="single" w:color="000000" w:sz="4" w:space="0"/>
            </w:tcBorders>
            <w:noWrap/>
            <w:vAlign w:val="center"/>
          </w:tcPr>
          <w:p w14:paraId="101C9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辅材及系统集成</w:t>
            </w:r>
          </w:p>
        </w:tc>
        <w:tc>
          <w:tcPr>
            <w:tcW w:w="1475" w:type="dxa"/>
            <w:tcBorders>
              <w:top w:val="single" w:color="000000" w:sz="4" w:space="0"/>
              <w:left w:val="single" w:color="000000" w:sz="4" w:space="0"/>
              <w:bottom w:val="single" w:color="000000" w:sz="4" w:space="0"/>
              <w:right w:val="single" w:color="000000" w:sz="4" w:space="0"/>
            </w:tcBorders>
            <w:noWrap/>
            <w:vAlign w:val="center"/>
          </w:tcPr>
          <w:p w14:paraId="7C16D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88" w:type="dxa"/>
            <w:tcBorders>
              <w:top w:val="single" w:color="000000" w:sz="4" w:space="0"/>
              <w:left w:val="single" w:color="000000" w:sz="4" w:space="0"/>
              <w:bottom w:val="single" w:color="000000" w:sz="4" w:space="0"/>
              <w:right w:val="single" w:color="000000" w:sz="4" w:space="0"/>
            </w:tcBorders>
            <w:noWrap/>
            <w:vAlign w:val="center"/>
          </w:tcPr>
          <w:p w14:paraId="5075B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r>
    </w:tbl>
    <w:p w14:paraId="2A3AC14B">
      <w:pPr>
        <w:wordWrap w:val="0"/>
        <w:spacing w:line="440" w:lineRule="exact"/>
        <w:ind w:firstLine="437"/>
        <w:outlineLvl w:val="1"/>
        <w:rPr>
          <w:rFonts w:hint="eastAsia" w:ascii="宋体" w:hAnsi="宋体" w:eastAsia="宋体" w:cs="宋体"/>
          <w:b/>
          <w:bCs/>
          <w:sz w:val="28"/>
          <w:szCs w:val="28"/>
        </w:rPr>
      </w:pPr>
      <w:r>
        <w:rPr>
          <w:rFonts w:hint="eastAsia" w:ascii="宋体" w:hAnsi="宋体" w:eastAsia="宋体" w:cs="宋体"/>
          <w:b/>
          <w:bCs/>
          <w:sz w:val="28"/>
          <w:szCs w:val="28"/>
          <w:lang w:val="en-US" w:eastAsia="zh-CN"/>
        </w:rPr>
        <w:t>六</w:t>
      </w:r>
      <w:r>
        <w:rPr>
          <w:rFonts w:hint="eastAsia" w:ascii="宋体" w:hAnsi="宋体" w:eastAsia="宋体" w:cs="宋体"/>
          <w:b/>
          <w:bCs/>
          <w:sz w:val="28"/>
          <w:szCs w:val="28"/>
        </w:rPr>
        <w:t>、货物需求</w:t>
      </w:r>
    </w:p>
    <w:p w14:paraId="2B1629AC">
      <w:pPr>
        <w:pStyle w:val="6"/>
        <w:wordWrap w:val="0"/>
        <w:spacing w:line="440" w:lineRule="exact"/>
        <w:ind w:left="0" w:firstLine="482"/>
        <w:rPr>
          <w:rFonts w:hint="eastAsia" w:ascii="宋体" w:hAnsi="宋体" w:eastAsia="宋体" w:cs="宋体"/>
          <w:b/>
          <w:bCs/>
          <w:sz w:val="24"/>
          <w:szCs w:val="24"/>
        </w:rPr>
      </w:pPr>
      <w:r>
        <w:rPr>
          <w:rFonts w:hint="eastAsia" w:ascii="宋体" w:hAnsi="宋体" w:eastAsia="宋体" w:cs="宋体"/>
          <w:b/>
          <w:bCs/>
          <w:sz w:val="24"/>
          <w:szCs w:val="24"/>
        </w:rPr>
        <w:t>（一）货物需求说明</w:t>
      </w:r>
    </w:p>
    <w:tbl>
      <w:tblPr>
        <w:tblStyle w:val="8"/>
        <w:tblW w:w="9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4"/>
        <w:gridCol w:w="1649"/>
        <w:gridCol w:w="5342"/>
      </w:tblGrid>
      <w:tr w14:paraId="40D4B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4" w:type="dxa"/>
          </w:tcPr>
          <w:p w14:paraId="0C4973A5">
            <w:pPr>
              <w:pStyle w:val="6"/>
              <w:wordWrap w:val="0"/>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需求内容类别</w:t>
            </w:r>
          </w:p>
        </w:tc>
        <w:tc>
          <w:tcPr>
            <w:tcW w:w="1649" w:type="dxa"/>
          </w:tcPr>
          <w:p w14:paraId="78E63158">
            <w:pPr>
              <w:pStyle w:val="6"/>
              <w:wordWrap w:val="0"/>
              <w:spacing w:line="440" w:lineRule="exact"/>
              <w:ind w:left="0" w:firstLine="0" w:firstLineChars="0"/>
              <w:jc w:val="center"/>
              <w:rPr>
                <w:rFonts w:hint="eastAsia" w:ascii="宋体" w:hAnsi="宋体" w:eastAsia="宋体" w:cs="宋体"/>
                <w:sz w:val="24"/>
                <w:szCs w:val="24"/>
              </w:rPr>
            </w:pPr>
            <w:r>
              <w:rPr>
                <w:rFonts w:hint="eastAsia" w:ascii="宋体" w:hAnsi="宋体" w:eastAsia="宋体" w:cs="宋体"/>
                <w:sz w:val="24"/>
                <w:szCs w:val="24"/>
              </w:rPr>
              <w:t>标识符号</w:t>
            </w:r>
          </w:p>
        </w:tc>
        <w:tc>
          <w:tcPr>
            <w:tcW w:w="5342" w:type="dxa"/>
          </w:tcPr>
          <w:p w14:paraId="31FFE3D9">
            <w:pPr>
              <w:pStyle w:val="6"/>
              <w:wordWrap w:val="0"/>
              <w:spacing w:line="440" w:lineRule="exact"/>
              <w:ind w:firstLine="480"/>
              <w:jc w:val="center"/>
              <w:rPr>
                <w:rFonts w:hint="eastAsia" w:ascii="宋体" w:hAnsi="宋体" w:eastAsia="宋体" w:cs="宋体"/>
                <w:sz w:val="24"/>
                <w:szCs w:val="24"/>
              </w:rPr>
            </w:pPr>
            <w:r>
              <w:rPr>
                <w:rFonts w:hint="eastAsia" w:ascii="宋体" w:hAnsi="宋体" w:eastAsia="宋体" w:cs="宋体"/>
                <w:sz w:val="24"/>
                <w:szCs w:val="24"/>
              </w:rPr>
              <w:t>投标要求</w:t>
            </w:r>
          </w:p>
        </w:tc>
      </w:tr>
      <w:tr w14:paraId="54CA2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4" w:type="dxa"/>
            <w:vAlign w:val="center"/>
          </w:tcPr>
          <w:p w14:paraId="3C9AE13F">
            <w:pPr>
              <w:spacing w:line="360" w:lineRule="exact"/>
              <w:jc w:val="center"/>
              <w:rPr>
                <w:rFonts w:hint="eastAsia" w:ascii="宋体" w:hAnsi="宋体" w:eastAsia="宋体" w:cs="宋体"/>
                <w:sz w:val="24"/>
                <w:szCs w:val="24"/>
              </w:rPr>
            </w:pPr>
            <w:r>
              <w:rPr>
                <w:rFonts w:hint="eastAsia" w:ascii="宋体" w:hAnsi="宋体" w:eastAsia="宋体" w:cs="宋体"/>
                <w:b/>
                <w:bCs/>
                <w:sz w:val="24"/>
              </w:rPr>
              <w:t>重要指标项</w:t>
            </w:r>
          </w:p>
        </w:tc>
        <w:tc>
          <w:tcPr>
            <w:tcW w:w="1649" w:type="dxa"/>
            <w:vAlign w:val="center"/>
          </w:tcPr>
          <w:p w14:paraId="1CC012D1">
            <w:pPr>
              <w:spacing w:line="360" w:lineRule="exact"/>
              <w:jc w:val="center"/>
              <w:rPr>
                <w:rFonts w:hint="eastAsia" w:ascii="宋体" w:hAnsi="宋体" w:eastAsia="宋体" w:cs="宋体"/>
                <w:sz w:val="24"/>
                <w:szCs w:val="24"/>
              </w:rPr>
            </w:pPr>
            <w:r>
              <w:rPr>
                <w:rFonts w:hint="eastAsia" w:ascii="宋体" w:hAnsi="宋体" w:eastAsia="宋体" w:cs="宋体"/>
                <w:b/>
                <w:bCs/>
                <w:sz w:val="24"/>
              </w:rPr>
              <w:t>★</w:t>
            </w:r>
          </w:p>
        </w:tc>
        <w:tc>
          <w:tcPr>
            <w:tcW w:w="5342" w:type="dxa"/>
            <w:vAlign w:val="center"/>
          </w:tcPr>
          <w:p w14:paraId="0F9EA91B">
            <w:pPr>
              <w:pStyle w:val="11"/>
              <w:widowControl w:val="0"/>
              <w:spacing w:before="0" w:beforeAutospacing="0" w:after="0" w:afterAutospacing="0" w:line="360" w:lineRule="auto"/>
              <w:jc w:val="both"/>
              <w:rPr>
                <w:rFonts w:hint="eastAsia" w:ascii="宋体" w:hAnsi="宋体" w:eastAsia="宋体" w:cs="宋体"/>
                <w:sz w:val="24"/>
                <w:szCs w:val="24"/>
              </w:rPr>
            </w:pPr>
            <w:r>
              <w:rPr>
                <w:rFonts w:hint="eastAsia" w:ascii="宋体" w:hAnsi="宋体" w:eastAsia="宋体" w:cs="宋体"/>
                <w:sz w:val="24"/>
                <w:szCs w:val="22"/>
              </w:rPr>
              <w:t>作为</w:t>
            </w:r>
            <w:r>
              <w:rPr>
                <w:rFonts w:hint="eastAsia" w:ascii="宋体" w:hAnsi="宋体" w:eastAsia="宋体" w:cs="宋体"/>
                <w:sz w:val="24"/>
              </w:rPr>
              <w:t>重要</w:t>
            </w:r>
            <w:r>
              <w:rPr>
                <w:rFonts w:hint="eastAsia" w:ascii="宋体" w:hAnsi="宋体" w:eastAsia="宋体" w:cs="宋体"/>
                <w:sz w:val="24"/>
                <w:szCs w:val="22"/>
              </w:rPr>
              <w:t>指标项，详见“第四章评审方法和标准”中评分细则。</w:t>
            </w:r>
          </w:p>
        </w:tc>
      </w:tr>
      <w:tr w14:paraId="0428E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4" w:type="dxa"/>
            <w:vAlign w:val="center"/>
          </w:tcPr>
          <w:p w14:paraId="6A63103D">
            <w:pPr>
              <w:spacing w:line="360" w:lineRule="exact"/>
              <w:jc w:val="center"/>
              <w:rPr>
                <w:rFonts w:hint="eastAsia" w:ascii="宋体" w:hAnsi="宋体" w:eastAsia="宋体" w:cs="宋体"/>
                <w:sz w:val="24"/>
                <w:szCs w:val="24"/>
              </w:rPr>
            </w:pPr>
            <w:r>
              <w:rPr>
                <w:rFonts w:hint="eastAsia" w:ascii="宋体" w:hAnsi="宋体" w:eastAsia="宋体" w:cs="宋体"/>
                <w:b/>
                <w:bCs/>
                <w:sz w:val="24"/>
              </w:rPr>
              <w:t>一般技术指标（无标识项）</w:t>
            </w:r>
          </w:p>
        </w:tc>
        <w:tc>
          <w:tcPr>
            <w:tcW w:w="1649" w:type="dxa"/>
            <w:vAlign w:val="center"/>
          </w:tcPr>
          <w:p w14:paraId="7572F628">
            <w:pPr>
              <w:spacing w:line="360" w:lineRule="auto"/>
              <w:jc w:val="center"/>
              <w:rPr>
                <w:rFonts w:hint="eastAsia" w:ascii="宋体" w:hAnsi="宋体" w:eastAsia="宋体" w:cs="宋体"/>
                <w:sz w:val="24"/>
                <w:szCs w:val="24"/>
              </w:rPr>
            </w:pPr>
            <w:r>
              <w:rPr>
                <w:rFonts w:hint="eastAsia" w:ascii="宋体" w:hAnsi="宋体" w:eastAsia="宋体" w:cs="宋体"/>
                <w:b/>
                <w:bCs/>
                <w:sz w:val="24"/>
                <w:szCs w:val="24"/>
              </w:rPr>
              <w:t>无</w:t>
            </w:r>
          </w:p>
        </w:tc>
        <w:tc>
          <w:tcPr>
            <w:tcW w:w="5342" w:type="dxa"/>
            <w:vAlign w:val="center"/>
          </w:tcPr>
          <w:p w14:paraId="565A625A">
            <w:pPr>
              <w:spacing w:line="360" w:lineRule="auto"/>
              <w:jc w:val="left"/>
              <w:rPr>
                <w:rFonts w:hint="eastAsia" w:ascii="宋体" w:hAnsi="宋体" w:eastAsia="宋体" w:cs="宋体"/>
                <w:b/>
                <w:bCs/>
                <w:kern w:val="0"/>
                <w:sz w:val="24"/>
                <w:szCs w:val="22"/>
              </w:rPr>
            </w:pPr>
            <w:bookmarkStart w:id="6" w:name="_Hlk203638003"/>
            <w:r>
              <w:rPr>
                <w:rFonts w:hint="eastAsia" w:ascii="宋体" w:hAnsi="宋体" w:eastAsia="宋体" w:cs="宋体"/>
                <w:b/>
                <w:bCs/>
                <w:kern w:val="0"/>
                <w:sz w:val="24"/>
                <w:szCs w:val="22"/>
              </w:rPr>
              <w:t>无标识项为</w:t>
            </w:r>
            <w:r>
              <w:rPr>
                <w:rFonts w:hint="eastAsia" w:ascii="宋体" w:hAnsi="宋体" w:eastAsia="宋体" w:cs="宋体"/>
                <w:b/>
                <w:bCs/>
                <w:kern w:val="0"/>
                <w:sz w:val="24"/>
                <w:szCs w:val="22"/>
                <w:lang w:val="en-US" w:eastAsia="zh-CN"/>
              </w:rPr>
              <w:t>基础指标项</w:t>
            </w:r>
            <w:r>
              <w:rPr>
                <w:rFonts w:hint="eastAsia" w:ascii="宋体" w:hAnsi="宋体" w:eastAsia="宋体" w:cs="宋体"/>
                <w:b/>
                <w:bCs/>
                <w:kern w:val="0"/>
                <w:sz w:val="24"/>
                <w:szCs w:val="22"/>
              </w:rPr>
              <w:t>，</w:t>
            </w:r>
            <w:r>
              <w:rPr>
                <w:rFonts w:hint="eastAsia" w:ascii="宋体" w:hAnsi="宋体" w:eastAsia="宋体" w:cs="宋体"/>
                <w:b/>
                <w:bCs/>
                <w:i w:val="0"/>
                <w:iCs w:val="0"/>
                <w:kern w:val="0"/>
                <w:sz w:val="24"/>
                <w:szCs w:val="22"/>
                <w:u w:val="none"/>
                <w:lang w:val="en-US" w:eastAsia="zh-CN" w:bidi="ar"/>
              </w:rPr>
              <w:t>供应商须承诺所提供的货物均满足采购需求中无标识项的要求,承诺按询比文件进行验收，如不满足，采购人有权解除合同，并上报主管部门依规处理,供应商承担由此产生的一切后果及责任</w:t>
            </w:r>
            <w:r>
              <w:rPr>
                <w:rFonts w:hint="eastAsia" w:ascii="宋体" w:hAnsi="宋体" w:eastAsia="宋体" w:cs="宋体"/>
                <w:b/>
                <w:bCs/>
                <w:kern w:val="0"/>
                <w:sz w:val="24"/>
                <w:szCs w:val="22"/>
              </w:rPr>
              <w:t>，</w:t>
            </w:r>
            <w:r>
              <w:rPr>
                <w:rFonts w:hint="eastAsia" w:ascii="宋体" w:hAnsi="宋体" w:eastAsia="宋体" w:cs="宋体"/>
                <w:b/>
                <w:bCs/>
                <w:kern w:val="0"/>
                <w:sz w:val="24"/>
                <w:szCs w:val="22"/>
                <w:lang w:val="en-US" w:eastAsia="zh-CN"/>
              </w:rPr>
              <w:t>响应文件中须提供此项承诺函，格式自拟，未提供承诺函的</w:t>
            </w:r>
            <w:r>
              <w:rPr>
                <w:rFonts w:hint="eastAsia" w:ascii="宋体" w:hAnsi="宋体" w:eastAsia="宋体" w:cs="宋体"/>
                <w:b/>
                <w:bCs/>
                <w:kern w:val="0"/>
                <w:sz w:val="24"/>
                <w:szCs w:val="22"/>
              </w:rPr>
              <w:t>将导致响应无效。</w:t>
            </w:r>
          </w:p>
          <w:bookmarkEnd w:id="6"/>
          <w:p w14:paraId="647C006B">
            <w:pPr>
              <w:spacing w:line="360" w:lineRule="auto"/>
              <w:jc w:val="left"/>
              <w:rPr>
                <w:rFonts w:hint="eastAsia" w:ascii="宋体" w:hAnsi="宋体" w:eastAsia="宋体" w:cs="宋体"/>
                <w:sz w:val="24"/>
                <w:szCs w:val="24"/>
              </w:rPr>
            </w:pPr>
            <w:r>
              <w:rPr>
                <w:rFonts w:hint="eastAsia" w:ascii="宋体" w:hAnsi="宋体" w:eastAsia="宋体" w:cs="宋体"/>
                <w:b/>
                <w:bCs/>
                <w:sz w:val="24"/>
              </w:rPr>
              <w:t>注：以公开询比响应表及采购需求中要求提供的证明材料作为评审依据。</w:t>
            </w:r>
          </w:p>
        </w:tc>
      </w:tr>
    </w:tbl>
    <w:p w14:paraId="31403E43">
      <w:pPr>
        <w:pStyle w:val="6"/>
        <w:wordWrap w:val="0"/>
        <w:spacing w:line="440" w:lineRule="exact"/>
        <w:ind w:left="0" w:firstLine="0" w:firstLineChars="0"/>
        <w:rPr>
          <w:rFonts w:hint="eastAsia" w:ascii="宋体" w:hAnsi="宋体" w:eastAsia="宋体" w:cs="宋体"/>
          <w:sz w:val="24"/>
          <w:szCs w:val="24"/>
        </w:rPr>
      </w:pPr>
      <w:r>
        <w:rPr>
          <w:rFonts w:hint="eastAsia" w:ascii="宋体" w:hAnsi="宋体" w:eastAsia="宋体" w:cs="宋体"/>
          <w:b/>
          <w:bCs/>
          <w:sz w:val="24"/>
          <w:szCs w:val="24"/>
        </w:rPr>
        <w:t>（二）货物需求清单</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919"/>
        <w:gridCol w:w="7032"/>
        <w:gridCol w:w="498"/>
        <w:gridCol w:w="455"/>
      </w:tblGrid>
      <w:tr w14:paraId="694A2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603" w:type="dxa"/>
            <w:vAlign w:val="center"/>
          </w:tcPr>
          <w:p w14:paraId="5866DCE7">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919" w:type="dxa"/>
            <w:vAlign w:val="center"/>
          </w:tcPr>
          <w:p w14:paraId="3B0490BE">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名 称</w:t>
            </w:r>
          </w:p>
        </w:tc>
        <w:tc>
          <w:tcPr>
            <w:tcW w:w="7032" w:type="dxa"/>
            <w:vAlign w:val="center"/>
          </w:tcPr>
          <w:p w14:paraId="3431210B">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主要技术参数</w:t>
            </w:r>
          </w:p>
        </w:tc>
        <w:tc>
          <w:tcPr>
            <w:tcW w:w="498" w:type="dxa"/>
            <w:vAlign w:val="center"/>
          </w:tcPr>
          <w:p w14:paraId="0A2FA43D">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数量</w:t>
            </w:r>
          </w:p>
        </w:tc>
        <w:tc>
          <w:tcPr>
            <w:tcW w:w="455" w:type="dxa"/>
            <w:vAlign w:val="center"/>
          </w:tcPr>
          <w:p w14:paraId="457BD159">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单位</w:t>
            </w:r>
          </w:p>
        </w:tc>
      </w:tr>
      <w:tr w14:paraId="11466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722276B0">
            <w:pPr>
              <w:widowControl/>
              <w:snapToGrid w:val="0"/>
              <w:spacing w:line="360" w:lineRule="auto"/>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1</w:t>
            </w:r>
          </w:p>
        </w:tc>
        <w:tc>
          <w:tcPr>
            <w:tcW w:w="919" w:type="dxa"/>
            <w:vAlign w:val="center"/>
          </w:tcPr>
          <w:p w14:paraId="66F4DC33">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网络存储设备</w:t>
            </w:r>
          </w:p>
        </w:tc>
        <w:tc>
          <w:tcPr>
            <w:tcW w:w="7032" w:type="dxa"/>
            <w:vAlign w:val="center"/>
          </w:tcPr>
          <w:p w14:paraId="148B9AA3">
            <w:pPr>
              <w:pStyle w:val="2"/>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1、设备须至少具有3个千兆以太网接口、2个USB3.0接口，1个RS232接口、2个PCIE4.0插槽、1个VGA接口和1个防腐蚀检测预警模块，4U48盘位前面板维护。设备采用AC220V供电；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2、为响应国产化的需求，设备支持欧拉操作系统；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3、设备具有电源、风扇、电池、接口卡模块，支持磁盘、电源、风扇、电池的在线热插拔；</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4、设备可通过MiniSASHD(SAS3.0)接口连接扩展柜进行存储扩展，支持至少9级扩展柜级联；支持在线扩容；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5、设备可接入SATA硬盘（1TB/2TB/3TB/4TB/5TB/6TB/8TB/10TB/12TB/14TB/16TB/18TB/20TB）、SAS硬盘和SSD硬盘，支持不同品牌（希捷、西数、东芝）不同类型磁盘混插；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6、设备支持自动识别磁盘的剩余空间容量；可根据用户的数据存储需求，划分多个容量不同的逻辑卷，并支持在线空间扩展，存储业务正常；可划分1024个逻辑资源卷，单个逻辑资源卷容量不低于64TB，并可扩容；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对于记录在存储介质上的视(音)频信息，取出的存储介质应能在同型号的其他设备上正常回放，以保证设备发生故障后记录资料的留存(或复制)。复制后的视(音)频信号，应能在通用设备上回放，并不易被篡改，</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★8、在磁盘发生故障导致RAID阵列处于降级/重建状态下，同时写入1000路2Mbps视频流时，数据写入无任何影响，</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9、设备支持视频写入不低于1200Mbps，同时转发不低于1200Mbps，同时回放120Mbps；支持图片写入不低于1600Mbps，同时图片下载/读取不低于1600Mbps；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10、设备支持录像打标签（最多支持16384个标签），通过标签快速定位播放录像。</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设备支持自定义数据缓存加速管理，根据客户不同的需求，调整R/Wcache参数，包括读写缓存的大小、刷新策略；支持磁盘缓存开启和关闭；支持对存储介质寿命进行查询；当磁盘状态出现异常或磁盘出现故障时进行实时报警，并及时对数据进行恢复；支持慢盘、坏盘检测并告警支持查看磁盘信息，</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设备支持录像极速（40倍速）、高速（8倍速）下载和普通下载；支持按文件、按时间、按标签下载录像，及查看下载管理；支持同一段录像根据指定规则（固定时间点、时间段）进行分段，可显示分段点的图像，并在同一画面的多窗口中并行回放/下载，对同一前端不同时刻的多段录像合并下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13、设备可配置支持至少1000台设备接入：可配置支持至少2000路通道接入（含云端设备通道）；</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14、设备可通过数码管、指示灯、蜂鸣器告警、邮件告警、SNMPTrap、短信等告警方式对IP冲突、网口降速、电源故障、风扇故障、电池故障及RAID故障、磁盘故障、降级RAID无热备盘等进行告警；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15、设备配置不少于1块电池模块、1块电源模块；</w:t>
            </w:r>
          </w:p>
        </w:tc>
        <w:tc>
          <w:tcPr>
            <w:tcW w:w="498" w:type="dxa"/>
            <w:vAlign w:val="center"/>
          </w:tcPr>
          <w:p w14:paraId="6F16FB0F">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455" w:type="dxa"/>
            <w:vAlign w:val="center"/>
          </w:tcPr>
          <w:p w14:paraId="4B645F28">
            <w:pPr>
              <w:keepNext w:val="0"/>
              <w:keepLines w:val="0"/>
              <w:widowControl/>
              <w:suppressLineNumbers w:val="0"/>
              <w:jc w:val="center"/>
              <w:textAlignment w:val="center"/>
              <w:rPr>
                <w:rFonts w:hint="eastAsia" w:ascii="宋体" w:hAnsi="宋体" w:eastAsia="宋体" w:cs="宋体"/>
                <w:bCs/>
                <w:kern w:val="0"/>
                <w:sz w:val="24"/>
                <w:szCs w:val="24"/>
              </w:rPr>
            </w:pPr>
            <w:r>
              <w:rPr>
                <w:rFonts w:hint="eastAsia" w:ascii="宋体" w:hAnsi="宋体" w:eastAsia="宋体" w:cs="宋体"/>
                <w:i w:val="0"/>
                <w:iCs w:val="0"/>
                <w:color w:val="000000"/>
                <w:kern w:val="0"/>
                <w:sz w:val="24"/>
                <w:szCs w:val="24"/>
                <w:u w:val="none"/>
                <w:lang w:val="en-US" w:eastAsia="zh-CN" w:bidi="ar"/>
              </w:rPr>
              <w:t>台</w:t>
            </w:r>
          </w:p>
        </w:tc>
      </w:tr>
      <w:tr w14:paraId="1537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5BF61652">
            <w:pPr>
              <w:widowControl/>
              <w:snapToGrid w:val="0"/>
              <w:spacing w:line="360" w:lineRule="auto"/>
              <w:jc w:val="center"/>
              <w:textAlignment w:val="center"/>
              <w:rPr>
                <w:rFonts w:hint="eastAsia" w:ascii="宋体" w:hAnsi="宋体" w:eastAsia="宋体" w:cs="宋体"/>
                <w:sz w:val="24"/>
                <w:szCs w:val="24"/>
              </w:rPr>
            </w:pPr>
            <w:r>
              <w:rPr>
                <w:rFonts w:hint="eastAsia" w:ascii="宋体" w:hAnsi="宋体" w:eastAsia="宋体" w:cs="宋体"/>
                <w:color w:val="000000"/>
                <w:kern w:val="0"/>
                <w:sz w:val="24"/>
                <w:szCs w:val="24"/>
                <w:lang w:bidi="ar"/>
              </w:rPr>
              <w:t>2</w:t>
            </w:r>
          </w:p>
        </w:tc>
        <w:tc>
          <w:tcPr>
            <w:tcW w:w="919" w:type="dxa"/>
            <w:vAlign w:val="center"/>
          </w:tcPr>
          <w:p w14:paraId="74CF3058">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企业级硬盘</w:t>
            </w:r>
          </w:p>
        </w:tc>
        <w:tc>
          <w:tcPr>
            <w:tcW w:w="7032" w:type="dxa"/>
            <w:vAlign w:val="center"/>
          </w:tcPr>
          <w:p w14:paraId="07B97DA9">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1、硬盘尺寸：3.5英寸，硬盘类型：不低于16TB企业级；</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2、硬盘缓存：不低于512MB；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3、硬盘转速不小于7200RPM；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4、硬盘外部传输速率不小于6Gb/s；</w:t>
            </w:r>
          </w:p>
        </w:tc>
        <w:tc>
          <w:tcPr>
            <w:tcW w:w="498" w:type="dxa"/>
            <w:vAlign w:val="center"/>
          </w:tcPr>
          <w:p w14:paraId="5E3267B4">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96</w:t>
            </w:r>
          </w:p>
        </w:tc>
        <w:tc>
          <w:tcPr>
            <w:tcW w:w="455" w:type="dxa"/>
            <w:vAlign w:val="center"/>
          </w:tcPr>
          <w:p w14:paraId="1F28B103">
            <w:pPr>
              <w:keepNext w:val="0"/>
              <w:keepLines w:val="0"/>
              <w:widowControl/>
              <w:suppressLineNumbers w:val="0"/>
              <w:jc w:val="center"/>
              <w:textAlignment w:val="center"/>
              <w:rPr>
                <w:rFonts w:hint="eastAsia" w:ascii="宋体" w:hAnsi="宋体" w:eastAsia="宋体" w:cs="宋体"/>
                <w:bCs/>
                <w:kern w:val="0"/>
                <w:sz w:val="24"/>
                <w:szCs w:val="24"/>
              </w:rPr>
            </w:pPr>
            <w:r>
              <w:rPr>
                <w:rFonts w:hint="eastAsia" w:ascii="宋体" w:hAnsi="宋体" w:eastAsia="宋体" w:cs="宋体"/>
                <w:i w:val="0"/>
                <w:iCs w:val="0"/>
                <w:color w:val="000000"/>
                <w:kern w:val="0"/>
                <w:sz w:val="24"/>
                <w:szCs w:val="24"/>
                <w:u w:val="none"/>
                <w:lang w:val="en-US" w:eastAsia="zh-CN" w:bidi="ar"/>
              </w:rPr>
              <w:t>块</w:t>
            </w:r>
          </w:p>
        </w:tc>
      </w:tr>
      <w:tr w14:paraId="0FE9E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67A1A153">
            <w:pPr>
              <w:widowControl/>
              <w:snapToGrid w:val="0"/>
              <w:spacing w:line="360" w:lineRule="auto"/>
              <w:jc w:val="center"/>
              <w:textAlignment w:val="center"/>
              <w:rPr>
                <w:rFonts w:hint="eastAsia" w:ascii="宋体" w:hAnsi="宋体" w:eastAsia="宋体" w:cs="宋体"/>
                <w:sz w:val="24"/>
                <w:szCs w:val="24"/>
              </w:rPr>
            </w:pPr>
            <w:r>
              <w:rPr>
                <w:rFonts w:hint="eastAsia" w:ascii="宋体" w:hAnsi="宋体" w:eastAsia="宋体" w:cs="宋体"/>
                <w:color w:val="000000"/>
                <w:sz w:val="24"/>
                <w:szCs w:val="24"/>
              </w:rPr>
              <w:t>3</w:t>
            </w:r>
          </w:p>
        </w:tc>
        <w:tc>
          <w:tcPr>
            <w:tcW w:w="919" w:type="dxa"/>
            <w:vAlign w:val="center"/>
          </w:tcPr>
          <w:p w14:paraId="3E26D375">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交流电源模块</w:t>
            </w:r>
          </w:p>
        </w:tc>
        <w:tc>
          <w:tcPr>
            <w:tcW w:w="7032" w:type="dxa"/>
            <w:vAlign w:val="center"/>
          </w:tcPr>
          <w:p w14:paraId="17F4B2A7">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1、交流输入 电压:90-264VAC</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2、交流输入 频率:47 Hz-63 Hz</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3、交流输入 电流:100-240V/10A，180-360V/10A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4、240V直流输入:支持</w:t>
            </w:r>
          </w:p>
        </w:tc>
        <w:tc>
          <w:tcPr>
            <w:tcW w:w="498" w:type="dxa"/>
            <w:vAlign w:val="center"/>
          </w:tcPr>
          <w:p w14:paraId="06AE3EB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455" w:type="dxa"/>
            <w:vAlign w:val="center"/>
          </w:tcPr>
          <w:p w14:paraId="53178086">
            <w:pPr>
              <w:keepNext w:val="0"/>
              <w:keepLines w:val="0"/>
              <w:widowControl/>
              <w:suppressLineNumbers w:val="0"/>
              <w:jc w:val="center"/>
              <w:textAlignment w:val="center"/>
              <w:rPr>
                <w:rFonts w:hint="eastAsia" w:ascii="宋体" w:hAnsi="宋体" w:eastAsia="宋体" w:cs="宋体"/>
                <w:bCs/>
                <w:kern w:val="0"/>
                <w:sz w:val="24"/>
                <w:szCs w:val="24"/>
              </w:rPr>
            </w:pPr>
            <w:r>
              <w:rPr>
                <w:rFonts w:hint="eastAsia" w:ascii="宋体" w:hAnsi="宋体" w:eastAsia="宋体" w:cs="宋体"/>
                <w:i w:val="0"/>
                <w:iCs w:val="0"/>
                <w:color w:val="000000"/>
                <w:kern w:val="0"/>
                <w:sz w:val="24"/>
                <w:szCs w:val="24"/>
                <w:u w:val="none"/>
                <w:lang w:val="en-US" w:eastAsia="zh-CN" w:bidi="ar"/>
              </w:rPr>
              <w:t>块</w:t>
            </w:r>
          </w:p>
        </w:tc>
      </w:tr>
      <w:tr w14:paraId="42F9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57BA50EE">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p>
        </w:tc>
        <w:tc>
          <w:tcPr>
            <w:tcW w:w="919" w:type="dxa"/>
            <w:vAlign w:val="center"/>
          </w:tcPr>
          <w:p w14:paraId="2D88A219">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铅酸电池模块</w:t>
            </w:r>
          </w:p>
        </w:tc>
        <w:tc>
          <w:tcPr>
            <w:tcW w:w="7032" w:type="dxa"/>
            <w:vAlign w:val="center"/>
          </w:tcPr>
          <w:p w14:paraId="2AC5D407">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1、电池类型:铅酸电池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2、电池容量:34W @ 15min-rate to 1.67V per cell @25℃</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3、工作温度:5°C~35°C</w:t>
            </w:r>
          </w:p>
        </w:tc>
        <w:tc>
          <w:tcPr>
            <w:tcW w:w="498" w:type="dxa"/>
            <w:vAlign w:val="center"/>
          </w:tcPr>
          <w:p w14:paraId="5593349D">
            <w:pPr>
              <w:keepNext w:val="0"/>
              <w:keepLines w:val="0"/>
              <w:widowControl/>
              <w:suppressLineNumbers w:val="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455" w:type="dxa"/>
            <w:vAlign w:val="center"/>
          </w:tcPr>
          <w:p w14:paraId="5E631C8E">
            <w:pPr>
              <w:keepNext w:val="0"/>
              <w:keepLines w:val="0"/>
              <w:widowControl/>
              <w:suppressLineNumbers w:val="0"/>
              <w:jc w:val="center"/>
              <w:textAlignment w:val="center"/>
              <w:rPr>
                <w:rFonts w:hint="eastAsia" w:ascii="宋体" w:hAnsi="宋体" w:eastAsia="宋体" w:cs="宋体"/>
                <w:bCs/>
                <w:kern w:val="0"/>
                <w:sz w:val="24"/>
                <w:szCs w:val="24"/>
              </w:rPr>
            </w:pPr>
            <w:r>
              <w:rPr>
                <w:rFonts w:hint="eastAsia" w:ascii="宋体" w:hAnsi="宋体" w:eastAsia="宋体" w:cs="宋体"/>
                <w:i w:val="0"/>
                <w:iCs w:val="0"/>
                <w:color w:val="000000"/>
                <w:kern w:val="0"/>
                <w:sz w:val="24"/>
                <w:szCs w:val="24"/>
                <w:u w:val="none"/>
                <w:lang w:val="en-US" w:eastAsia="zh-CN" w:bidi="ar"/>
              </w:rPr>
              <w:t>个</w:t>
            </w:r>
          </w:p>
        </w:tc>
      </w:tr>
      <w:tr w14:paraId="3574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181C75D1">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p>
        </w:tc>
        <w:tc>
          <w:tcPr>
            <w:tcW w:w="919" w:type="dxa"/>
            <w:vAlign w:val="center"/>
          </w:tcPr>
          <w:p w14:paraId="76ABC5F4">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高清视频解码器</w:t>
            </w:r>
          </w:p>
        </w:tc>
        <w:tc>
          <w:tcPr>
            <w:tcW w:w="7032" w:type="dxa"/>
            <w:vAlign w:val="center"/>
          </w:tcPr>
          <w:p w14:paraId="364AD60D">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1、具有不少于2个RJ45网络接口、4个HDMI输入接口，12个HDMI输出接口、2个音频输入接口、2个音频输出接口、2个USB3.0接口、1个RS485接口、1个RS232接口、4个报警输入接口、4个报警输出接口；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2、支持不低于4*8K@60/8*8K@30/32*12MP@20/32*4K@30/64*4MP@30/84*3MP@30/128*1080P@30/256*720P@30/432*D1@30解码能力；</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3840*2160（4K）@60Hz、3840*2160（4K）@30Hz、1920*1200（WUXGA）@60Hz、1920*1080（1080P）@60Hz、1600*1200（UXGA）@60Hz、1440*900（WXGA+）@60Hz、1280*1024（SXGA）@60Hz、1280*720（720P）@60Hz、1024*768（XGA）@60Hz分辨率输出，支持3840*2160（4K）@60Hz、3840*2160（4K）@30Hz、1920*1200（WUXGA）@60Hz、1920*1080（1080P）@60Hz、1920*1080（1080P）@50Hz、1920*1080（1080P）@30Hz、1600*1200（UXGA）@60Hz、1440*900（WXGA+）@60Hz、1280*1024（SXGA）@60Hz、1280*720（720P）@60Hz、1280*720（720P）@50Hz、1024*768（XGA）@60Hz分辨率输入，</w:t>
            </w:r>
            <w:r>
              <w:rPr>
                <w:rFonts w:hint="eastAsia" w:ascii="宋体" w:hAnsi="宋体" w:eastAsia="宋体" w:cs="宋体"/>
                <w:b/>
                <w:bCs/>
                <w:i w:val="0"/>
                <w:iCs w:val="0"/>
                <w:color w:val="000000"/>
                <w:kern w:val="0"/>
                <w:sz w:val="24"/>
                <w:szCs w:val="24"/>
                <w:u w:val="none"/>
                <w:lang w:val="en-US" w:eastAsia="zh-CN" w:bidi="ar"/>
              </w:rPr>
              <w:t>响应文件中须提供表面具有CMA或ilac-MRA或CNAS标识的检测报告为证；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★4、支持多台设备级联使用，盒式设备也可轻松实现扩容，级联设备中任意一台设备掉线或出现故障，不影响其他设备上的业务，设备重新上线后业务可自动恢复，级联后对外只呈现一台设备的IP，</w:t>
            </w:r>
            <w:r>
              <w:rPr>
                <w:rFonts w:hint="eastAsia" w:ascii="宋体" w:hAnsi="宋体" w:eastAsia="宋体" w:cs="宋体"/>
                <w:b/>
                <w:bCs/>
                <w:i w:val="0"/>
                <w:iCs w:val="0"/>
                <w:color w:val="000000"/>
                <w:kern w:val="0"/>
                <w:sz w:val="24"/>
                <w:szCs w:val="24"/>
                <w:u w:val="none"/>
                <w:lang w:val="en-US" w:eastAsia="zh-CN" w:bidi="ar"/>
              </w:rPr>
              <w:t>响应文件中须提供表面具有CMA或ilac-MRA或CNAS标识的检测报告为证；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5、支持自定义输出分辨率，用于对接小间距 LED电视墙；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6、支持开窗、漫游、画中画功能，单输出通道不低于36窗；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7、支持GB、ONVIF、RTSP/RTP码流解码，支持接入第三方厂商的IPC和NVR，同时解码上墙；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8、支持H.264、H.265、超级264、超级265、MPEG5、MPEG2、MJPEG格式解码；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★9、支持在设备界面设置UDP、TCP、端口号、发流IP，解码器可直接向前端设备获取视频流，无需通过管理平台，即使平台宕机或断网，也不影响正常解码，</w:t>
            </w:r>
            <w:r>
              <w:rPr>
                <w:rFonts w:hint="eastAsia" w:ascii="宋体" w:hAnsi="宋体" w:eastAsia="宋体" w:cs="宋体"/>
                <w:b/>
                <w:bCs/>
                <w:i w:val="0"/>
                <w:iCs w:val="0"/>
                <w:color w:val="000000"/>
                <w:kern w:val="0"/>
                <w:sz w:val="24"/>
                <w:szCs w:val="24"/>
                <w:u w:val="none"/>
                <w:lang w:val="en-US" w:eastAsia="zh-CN" w:bidi="ar"/>
              </w:rPr>
              <w:t>响应文件中须提供表面具有CMA或ilac-MRA或CNAS标识的检测报告为证；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 支持文字虚拟LED，支持添加、删除、更改虚拟字幕，字幕可跨拼接屏显示，并可设置滚动，可更改虚拟字幕的字体、大小、颜色、字间距；</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★11、控制软件支持部署在UOS、麒麟V10、麒麟V4、麒麟V7、UOS、中科方德、鸿蒙等不同的国产系统中，兼容鲲鹏、飞腾、海光、龙芯、兆芯、申威等多种不同的国产CPU，</w:t>
            </w:r>
            <w:r>
              <w:rPr>
                <w:rFonts w:hint="eastAsia" w:ascii="宋体" w:hAnsi="宋体" w:eastAsia="宋体" w:cs="宋体"/>
                <w:b/>
                <w:bCs/>
                <w:i w:val="0"/>
                <w:iCs w:val="0"/>
                <w:color w:val="000000"/>
                <w:kern w:val="0"/>
                <w:sz w:val="24"/>
                <w:szCs w:val="24"/>
                <w:u w:val="none"/>
                <w:lang w:val="en-US" w:eastAsia="zh-CN" w:bidi="ar"/>
              </w:rPr>
              <w:t>响应文件中须提供表面具有CMA或ilac-MRA或CNAS标识的检测报告为证；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12、支持将电视墙布局、相机资源等配置保存在设备中，当在其他PC的客户端登录时，电视墙、相机资源等配置信息依然存在、可用;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13、支持移动终端控制，支持用移动客户端控制电视墙业务，包括一键开窗、分屏、漫游、缩放、场景切换、场景保存等；</w:t>
            </w:r>
          </w:p>
        </w:tc>
        <w:tc>
          <w:tcPr>
            <w:tcW w:w="498" w:type="dxa"/>
            <w:vAlign w:val="center"/>
          </w:tcPr>
          <w:p w14:paraId="63C3013B">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2</w:t>
            </w:r>
          </w:p>
        </w:tc>
        <w:tc>
          <w:tcPr>
            <w:tcW w:w="455" w:type="dxa"/>
            <w:vAlign w:val="center"/>
          </w:tcPr>
          <w:p w14:paraId="73D04429">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套</w:t>
            </w:r>
          </w:p>
        </w:tc>
      </w:tr>
      <w:tr w14:paraId="48E90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194C603D">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p>
        </w:tc>
        <w:tc>
          <w:tcPr>
            <w:tcW w:w="919" w:type="dxa"/>
            <w:vAlign w:val="center"/>
          </w:tcPr>
          <w:p w14:paraId="59400CB6">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highlight w:val="none"/>
                <w:u w:val="none"/>
                <w:lang w:val="en-US" w:eastAsia="zh-CN" w:bidi="ar"/>
              </w:rPr>
              <w:t>时间校时器</w:t>
            </w:r>
          </w:p>
        </w:tc>
        <w:tc>
          <w:tcPr>
            <w:tcW w:w="7032" w:type="dxa"/>
            <w:vAlign w:val="center"/>
          </w:tcPr>
          <w:p w14:paraId="69E65736">
            <w:pPr>
              <w:pStyle w:val="2"/>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1、设备支持web管理功能；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2、单卡支持至少2路NTP输出，具备端口绑定功能；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3、支持PPS输出；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4、支持至少1路北斗卫星输入，预留GPS信号接收的能力，支持NTP输入校时；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5、功耗≤10W；</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★6、设备授时精度±100ns；</w:t>
            </w:r>
            <w:r>
              <w:rPr>
                <w:rFonts w:hint="eastAsia" w:ascii="宋体" w:hAnsi="宋体" w:eastAsia="宋体" w:cs="宋体"/>
                <w:b/>
                <w:bCs/>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★7、守时能力≤100μs（24小时）；</w:t>
            </w:r>
            <w:r>
              <w:rPr>
                <w:rFonts w:hint="eastAsia" w:ascii="宋体" w:hAnsi="宋体" w:eastAsia="宋体" w:cs="宋体"/>
                <w:b/>
                <w:bCs/>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8、NTP同步精度≤1ms；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9、NTP相应响应能力≥1500次/秒（单端口）；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10、连续工作48小时以上稳定正常，抖动时间≤50ns（稳定度）；</w:t>
            </w:r>
          </w:p>
        </w:tc>
        <w:tc>
          <w:tcPr>
            <w:tcW w:w="498" w:type="dxa"/>
            <w:vAlign w:val="center"/>
          </w:tcPr>
          <w:p w14:paraId="2D9FD9E5">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w:t>
            </w:r>
          </w:p>
        </w:tc>
        <w:tc>
          <w:tcPr>
            <w:tcW w:w="455" w:type="dxa"/>
            <w:vAlign w:val="center"/>
          </w:tcPr>
          <w:p w14:paraId="2F4AFBAD">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台</w:t>
            </w:r>
          </w:p>
        </w:tc>
      </w:tr>
      <w:tr w14:paraId="2BFA6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7F75C3A8">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7</w:t>
            </w:r>
          </w:p>
        </w:tc>
        <w:tc>
          <w:tcPr>
            <w:tcW w:w="919" w:type="dxa"/>
            <w:vAlign w:val="center"/>
          </w:tcPr>
          <w:p w14:paraId="02BE6ADB">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网络摄像机</w:t>
            </w:r>
          </w:p>
        </w:tc>
        <w:tc>
          <w:tcPr>
            <w:tcW w:w="7032" w:type="dxa"/>
            <w:vAlign w:val="center"/>
          </w:tcPr>
          <w:p w14:paraId="48AB2A1D">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1、采用≥1/1.8"400万图像传感器，镜头焦距：4mm、6mm可选；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★2、支持最低照度：彩色≤0.0003lux。</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3、摄像机内置拾音器，拾音距离至少可达到15m；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4、在分辨率设置为2688×1520、帧率设置为30fps、码率5Mbps时，视频图像传输至客户端的延时时间≤120ms；</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5、摄像机支持双路iSCSI直存方式存储,存储方式支持IPSAN和云存储；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★6、摄像机支持区域入侵和越界检测，且支持人/机动车分类可选，可对触发告警的机动车及行人进行抓拍。</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★7、AI-ISP图像质量提升算法，当环境照度低于设定阈值时，摄像机自动开启AI-ISP图像质量提升算法，使视频图像更清晰。</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★8、在低照度情况下，摄像机可检测距摄像机50米处机动车，并抓拍图片，可在web客户端显示机动车属性信息，并识别车牌号。</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响应文件中须提供第三方有权机构出具的检测报告盖章扫描件；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9、在低照度情况下，摄像机可检测距摄像机50米处行人，并抓拍图片，可在web客户端显示行人属性信息，支持周界布防触发后，联动声光报警;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10、电源电压在DC12V±35%范围内变化时，能正常工作;</w:t>
            </w:r>
          </w:p>
        </w:tc>
        <w:tc>
          <w:tcPr>
            <w:tcW w:w="498" w:type="dxa"/>
            <w:vAlign w:val="center"/>
          </w:tcPr>
          <w:p w14:paraId="6D9C884E">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5</w:t>
            </w:r>
          </w:p>
        </w:tc>
        <w:tc>
          <w:tcPr>
            <w:tcW w:w="455" w:type="dxa"/>
            <w:vAlign w:val="center"/>
          </w:tcPr>
          <w:p w14:paraId="47D7EE62">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个</w:t>
            </w:r>
          </w:p>
        </w:tc>
      </w:tr>
      <w:tr w14:paraId="79096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07FCFC20">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8</w:t>
            </w:r>
          </w:p>
        </w:tc>
        <w:tc>
          <w:tcPr>
            <w:tcW w:w="919" w:type="dxa"/>
            <w:vAlign w:val="center"/>
          </w:tcPr>
          <w:p w14:paraId="51A2928A">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监控立杆</w:t>
            </w:r>
          </w:p>
        </w:tc>
        <w:tc>
          <w:tcPr>
            <w:tcW w:w="7032" w:type="dxa"/>
            <w:vAlign w:val="center"/>
          </w:tcPr>
          <w:p w14:paraId="0F07C461">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4米、定制</w:t>
            </w:r>
          </w:p>
        </w:tc>
        <w:tc>
          <w:tcPr>
            <w:tcW w:w="498" w:type="dxa"/>
            <w:vAlign w:val="center"/>
          </w:tcPr>
          <w:p w14:paraId="11731003">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3</w:t>
            </w:r>
          </w:p>
        </w:tc>
        <w:tc>
          <w:tcPr>
            <w:tcW w:w="455" w:type="dxa"/>
            <w:vAlign w:val="center"/>
          </w:tcPr>
          <w:p w14:paraId="7944A827">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个</w:t>
            </w:r>
          </w:p>
        </w:tc>
      </w:tr>
      <w:tr w14:paraId="69CE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6F118C97">
            <w:pPr>
              <w:spacing w:line="360" w:lineRule="auto"/>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9</w:t>
            </w:r>
          </w:p>
        </w:tc>
        <w:tc>
          <w:tcPr>
            <w:tcW w:w="919" w:type="dxa"/>
            <w:vAlign w:val="center"/>
          </w:tcPr>
          <w:p w14:paraId="40B1B0B6">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highlight w:val="none"/>
                <w:u w:val="none"/>
                <w:lang w:val="en-US" w:eastAsia="zh-CN" w:bidi="ar"/>
              </w:rPr>
              <w:t>6类非屏蔽信道</w:t>
            </w:r>
          </w:p>
        </w:tc>
        <w:tc>
          <w:tcPr>
            <w:tcW w:w="7032" w:type="dxa"/>
            <w:vAlign w:val="center"/>
          </w:tcPr>
          <w:p w14:paraId="7C6CA2AF">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1.通过标准最高传输频率250MHz测试；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2.单根导体直流电阻：≤9.5Ω/100m；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3.标称线对数不少于：4，导体标称直径不低于：0.57mm，导体名称：软圆铜线，绝缘：HDPE 1.00±0.008mm；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★4.屏蔽方式：U/UTP，线对采用 “十”字骨架隔离；锯齿形骨架，内齿外圆护套，改善电气传输性能；</w:t>
            </w:r>
            <w:r>
              <w:rPr>
                <w:rFonts w:hint="eastAsia" w:ascii="宋体" w:hAnsi="宋体" w:eastAsia="宋体" w:cs="宋体"/>
                <w:b/>
                <w:bCs/>
                <w:i w:val="0"/>
                <w:iCs w:val="0"/>
                <w:color w:val="000000"/>
                <w:kern w:val="0"/>
                <w:sz w:val="24"/>
                <w:szCs w:val="24"/>
                <w:u w:val="none"/>
                <w:lang w:val="en-US" w:eastAsia="zh-CN" w:bidi="ar"/>
              </w:rPr>
              <w:t>响应文件中须提供第三方有权机构出具的测试报告。</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5.护套材料：PVC，护套外径：6.3±0.3mm，护套颜色：灰色</w:t>
            </w:r>
            <w:r>
              <w:rPr>
                <w:rFonts w:hint="eastAsia" w:ascii="宋体" w:hAnsi="宋体" w:eastAsia="宋体" w:cs="宋体"/>
                <w:lang w:val="en-US" w:eastAsia="zh-CN"/>
              </w:rPr>
              <w:t>或采购人指定颜色</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6.最小内弯曲半径：安装时：8倍电缆外径，安装后：4倍电缆外径，敷设方式：钢管或阻燃硬质PVC管内；</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7.包装方式：305米/易拉箱，2易拉箱/外箱；</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★8.6类非屏蔽信道符合802.3bt-2018、RFC2544要求，</w:t>
            </w:r>
            <w:r>
              <w:rPr>
                <w:rFonts w:hint="eastAsia" w:ascii="宋体" w:hAnsi="宋体" w:eastAsia="宋体" w:cs="宋体"/>
                <w:b/>
                <w:bCs/>
                <w:i w:val="0"/>
                <w:iCs w:val="0"/>
                <w:color w:val="000000"/>
                <w:kern w:val="0"/>
                <w:sz w:val="24"/>
                <w:szCs w:val="24"/>
                <w:u w:val="none"/>
                <w:lang w:val="en-US" w:eastAsia="zh-CN" w:bidi="ar"/>
              </w:rPr>
              <w:t>响应文件中须提供具有CMA或CNAS标记的第三方检验报告扫描件；</w:t>
            </w:r>
          </w:p>
        </w:tc>
        <w:tc>
          <w:tcPr>
            <w:tcW w:w="498" w:type="dxa"/>
            <w:vAlign w:val="center"/>
          </w:tcPr>
          <w:p w14:paraId="6030FDC8">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2</w:t>
            </w:r>
          </w:p>
        </w:tc>
        <w:tc>
          <w:tcPr>
            <w:tcW w:w="455" w:type="dxa"/>
            <w:vAlign w:val="center"/>
          </w:tcPr>
          <w:p w14:paraId="2BCBA3EF">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箱</w:t>
            </w:r>
          </w:p>
        </w:tc>
      </w:tr>
      <w:tr w14:paraId="30883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43F7716F">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919" w:type="dxa"/>
            <w:vAlign w:val="center"/>
          </w:tcPr>
          <w:p w14:paraId="4AC5F9C0">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不锈钢设备箱</w:t>
            </w:r>
          </w:p>
        </w:tc>
        <w:tc>
          <w:tcPr>
            <w:tcW w:w="7032" w:type="dxa"/>
            <w:vAlign w:val="center"/>
          </w:tcPr>
          <w:p w14:paraId="7CB1CF55">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不锈钢、400*500</w:t>
            </w:r>
          </w:p>
        </w:tc>
        <w:tc>
          <w:tcPr>
            <w:tcW w:w="498" w:type="dxa"/>
            <w:vAlign w:val="center"/>
          </w:tcPr>
          <w:p w14:paraId="4CE2FD15">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3</w:t>
            </w:r>
          </w:p>
        </w:tc>
        <w:tc>
          <w:tcPr>
            <w:tcW w:w="455" w:type="dxa"/>
            <w:vAlign w:val="center"/>
          </w:tcPr>
          <w:p w14:paraId="0E1EDF21">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个</w:t>
            </w:r>
          </w:p>
        </w:tc>
      </w:tr>
      <w:tr w14:paraId="30ECF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03" w:type="dxa"/>
            <w:vAlign w:val="center"/>
          </w:tcPr>
          <w:p w14:paraId="7882163B">
            <w:pPr>
              <w:spacing w:line="36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919" w:type="dxa"/>
            <w:vAlign w:val="center"/>
          </w:tcPr>
          <w:p w14:paraId="40676B6D">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辅材及系统集成</w:t>
            </w:r>
          </w:p>
        </w:tc>
        <w:tc>
          <w:tcPr>
            <w:tcW w:w="7032" w:type="dxa"/>
            <w:vAlign w:val="center"/>
          </w:tcPr>
          <w:p w14:paraId="66221671">
            <w:pPr>
              <w:keepNext w:val="0"/>
              <w:keepLines w:val="0"/>
              <w:widowControl/>
              <w:suppressLineNumbers w:val="0"/>
              <w:jc w:val="left"/>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辅材及系统集成（包含POE交换机、光纤、高清线等）</w:t>
            </w:r>
          </w:p>
        </w:tc>
        <w:tc>
          <w:tcPr>
            <w:tcW w:w="498" w:type="dxa"/>
            <w:vAlign w:val="center"/>
          </w:tcPr>
          <w:p w14:paraId="4D6CDBB6">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1</w:t>
            </w:r>
          </w:p>
        </w:tc>
        <w:tc>
          <w:tcPr>
            <w:tcW w:w="455" w:type="dxa"/>
            <w:vAlign w:val="center"/>
          </w:tcPr>
          <w:p w14:paraId="2539E762">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000000"/>
                <w:kern w:val="0"/>
                <w:sz w:val="24"/>
                <w:szCs w:val="24"/>
                <w:u w:val="none"/>
                <w:lang w:val="en-US" w:eastAsia="zh-CN" w:bidi="ar"/>
              </w:rPr>
              <w:t>项</w:t>
            </w:r>
          </w:p>
        </w:tc>
      </w:tr>
    </w:tbl>
    <w:p w14:paraId="5DDAFD05">
      <w:pPr>
        <w:wordWrap w:val="0"/>
        <w:spacing w:line="440" w:lineRule="exact"/>
        <w:ind w:firstLine="437"/>
        <w:rPr>
          <w:rFonts w:hint="eastAsia" w:ascii="宋体" w:hAnsi="宋体" w:eastAsia="宋体" w:cs="宋体"/>
          <w:b/>
          <w:bCs/>
          <w:sz w:val="28"/>
          <w:szCs w:val="28"/>
        </w:rPr>
      </w:pPr>
      <w:r>
        <w:rPr>
          <w:rFonts w:hint="eastAsia" w:ascii="宋体" w:hAnsi="宋体" w:eastAsia="宋体" w:cs="宋体"/>
          <w:b/>
          <w:bCs/>
          <w:sz w:val="28"/>
          <w:szCs w:val="28"/>
          <w:lang w:val="en-US" w:eastAsia="zh-CN"/>
        </w:rPr>
        <w:t>七</w:t>
      </w:r>
      <w:r>
        <w:rPr>
          <w:rFonts w:hint="eastAsia" w:ascii="宋体" w:hAnsi="宋体" w:eastAsia="宋体" w:cs="宋体"/>
          <w:b/>
          <w:bCs/>
          <w:sz w:val="28"/>
          <w:szCs w:val="28"/>
        </w:rPr>
        <w:t>、报价要求</w:t>
      </w:r>
    </w:p>
    <w:p w14:paraId="7D48E70F">
      <w:r>
        <w:rPr>
          <w:rFonts w:hint="eastAsia" w:ascii="宋体" w:hAnsi="宋体" w:eastAsia="宋体" w:cs="宋体"/>
          <w:sz w:val="24"/>
          <w:szCs w:val="18"/>
        </w:rPr>
        <w:t>本项目报总价，报价即完成本项目所需内容的所有费用，成交后采购人不再另行支付任何费用，响应分项报价表中须明确列出所投产品所含货物名称、品牌、型号规格、原产地及生产厂商，否则可能导致响应无效</w:t>
      </w:r>
      <w:r>
        <w:rPr>
          <w:rFonts w:hint="eastAsia" w:ascii="宋体" w:hAnsi="宋体" w:eastAsia="宋体" w:cs="宋体"/>
          <w:bCs/>
          <w:sz w:val="24"/>
          <w:szCs w:val="18"/>
        </w:rPr>
        <w:t>。</w:t>
      </w:r>
      <w:bookmarkStart w:id="7" w:name="_GoBack"/>
      <w:bookmarkEnd w:id="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2F"/>
    <w:multiLevelType w:val="multilevel"/>
    <w:tmpl w:val="0000002F"/>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1DB862CD"/>
    <w:multiLevelType w:val="multilevel"/>
    <w:tmpl w:val="1DB862CD"/>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2">
    <w:nsid w:val="4B960F02"/>
    <w:multiLevelType w:val="multilevel"/>
    <w:tmpl w:val="4B960F02"/>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E93B3B"/>
    <w:rsid w:val="2DE93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annotation text"/>
    <w:basedOn w:val="1"/>
    <w:qFormat/>
    <w:uiPriority w:val="99"/>
    <w:pPr>
      <w:jc w:val="left"/>
    </w:pPr>
    <w:rPr>
      <w:rFonts w:ascii="Arial" w:hAnsi="Arial" w:eastAsia="黑体" w:cs="Arial"/>
    </w:rPr>
  </w:style>
  <w:style w:type="paragraph" w:styleId="3">
    <w:name w:val="Body Text Indent"/>
    <w:basedOn w:val="1"/>
    <w:next w:val="4"/>
    <w:qFormat/>
    <w:uiPriority w:val="99"/>
    <w:pPr>
      <w:ind w:firstLine="645"/>
    </w:pPr>
    <w:rPr>
      <w:rFonts w:ascii="楷体_GB2312" w:eastAsia="楷体_GB2312"/>
      <w:sz w:val="32"/>
    </w:rPr>
  </w:style>
  <w:style w:type="paragraph" w:styleId="4">
    <w:name w:val="envelope return"/>
    <w:basedOn w:val="1"/>
    <w:qFormat/>
    <w:uiPriority w:val="99"/>
    <w:pPr>
      <w:snapToGrid w:val="0"/>
    </w:pPr>
    <w:rPr>
      <w:rFonts w:ascii="Arial" w:hAnsi="Arial" w:cs="Arial"/>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qFormat/>
    <w:uiPriority w:val="99"/>
    <w:pPr>
      <w:ind w:left="420" w:firstLine="420" w:firstLineChars="200"/>
    </w:pPr>
    <w:rPr>
      <w:rFonts w:ascii="Times New Roman" w:cs="Times New Roman"/>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amp;L"/>
    <w:basedOn w:val="5"/>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
    <w:name w:val="xl31"/>
    <w:basedOn w:val="1"/>
    <w:qFormat/>
    <w:uiPriority w:val="0"/>
    <w:pPr>
      <w:widowControl/>
      <w:spacing w:before="100" w:beforeAutospacing="1" w:after="100" w:afterAutospacing="1"/>
      <w:jc w:val="center"/>
    </w:pPr>
    <w:rPr>
      <w:b/>
      <w:bCs/>
      <w:kern w:val="0"/>
      <w:sz w:val="28"/>
      <w:szCs w:val="28"/>
    </w:rPr>
  </w:style>
  <w:style w:type="paragraph" w:customStyle="1" w:styleId="12">
    <w:name w:val="GP正文(首行缩进)"/>
    <w:basedOn w:val="1"/>
    <w:qFormat/>
    <w:uiPriority w:val="0"/>
    <w:pPr>
      <w:spacing w:line="360" w:lineRule="auto"/>
      <w:ind w:firstLine="480" w:firstLineChars="200"/>
      <w:jc w:val="left"/>
    </w:pPr>
    <w:rPr>
      <w:rFonts w:ascii="Times New Roman" w:hAnsi="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2025-08-04T04:08:00Z</dcterms:created>
  <dc:creator>森</dc:creator>
  <cp:lastModifiedBy>森</cp:lastModifiedBy>
  <dcterms:modified xsi:type="dcterms:W3CDTF">2025-08-04T04:08:48Z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E7F90774743E4F658AC5F5B8D2A0294E_11</vt:lpwstr>
  </property>
  <property fmtid="{D5CDD505-2E9C-101B-9397-08002B2CF9AE}" pid="4" name="KSOTemplateDocerSaveRecord">
    <vt:lpwstr>eyJoZGlkIjoiOTc3M2Y5NzIzMDFlZjAyY2Q4Njk5ODkyYjFjNzBiNTQiLCJ1c2VySWQiOiI0MzAwMTYzNzkifQ==</vt:lpwstr>
  </property>
</Properties>
</file>