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D41727">
      <w:pPr>
        <w:wordWrap w:val="0"/>
        <w:spacing w:line="360" w:lineRule="auto"/>
        <w:jc w:val="center"/>
        <w:outlineLvl w:val="1"/>
        <w:rPr>
          <w:rFonts w:ascii="华文中宋" w:hAnsi="华文中宋" w:eastAsia="华文中宋" w:cs="Times New Roman"/>
          <w:b/>
          <w:bCs/>
          <w:kern w:val="44"/>
          <w:sz w:val="44"/>
          <w:szCs w:val="44"/>
        </w:rPr>
      </w:pPr>
      <w:r>
        <w:rPr>
          <w:rFonts w:hint="eastAsia" w:ascii="华文中宋" w:hAnsi="华文中宋" w:eastAsia="华文中宋" w:cs="Times New Roman"/>
          <w:b/>
          <w:bCs/>
          <w:kern w:val="44"/>
          <w:sz w:val="44"/>
          <w:szCs w:val="44"/>
        </w:rPr>
        <w:t>第三章  采购需求</w:t>
      </w:r>
    </w:p>
    <w:p w14:paraId="337E0A85">
      <w:pPr>
        <w:wordWrap w:val="0"/>
        <w:spacing w:line="440" w:lineRule="exact"/>
        <w:jc w:val="left"/>
        <w:rPr>
          <w:rFonts w:ascii="宋体" w:hAnsi="宋体" w:eastAsia="宋体"/>
          <w:b/>
          <w:sz w:val="24"/>
        </w:rPr>
      </w:pPr>
      <w:r>
        <w:rPr>
          <w:rFonts w:hint="eastAsia" w:ascii="宋体" w:hAnsi="宋体" w:eastAsia="宋体"/>
          <w:b/>
          <w:sz w:val="24"/>
        </w:rPr>
        <w:t>前注：</w:t>
      </w:r>
    </w:p>
    <w:p w14:paraId="0661E859">
      <w:pPr>
        <w:wordWrap w:val="0"/>
        <w:spacing w:line="440" w:lineRule="exact"/>
        <w:ind w:firstLine="437"/>
        <w:jc w:val="left"/>
        <w:rPr>
          <w:rFonts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方案，且此方案须经磋商小组评审认可</w:t>
      </w:r>
      <w:r>
        <w:rPr>
          <w:rFonts w:hint="eastAsia" w:ascii="宋体" w:hAnsi="宋体" w:eastAsia="宋体"/>
          <w:sz w:val="24"/>
        </w:rPr>
        <w:t>。</w:t>
      </w:r>
    </w:p>
    <w:p w14:paraId="22308607">
      <w:pPr>
        <w:spacing w:line="360" w:lineRule="auto"/>
        <w:ind w:firstLine="482" w:firstLineChars="200"/>
        <w:rPr>
          <w:rFonts w:hint="eastAsia" w:ascii="宋体" w:hAnsi="宋体" w:eastAsia="宋体" w:cs="宋体"/>
          <w:b/>
          <w:bCs/>
          <w:sz w:val="24"/>
          <w:szCs w:val="24"/>
        </w:rPr>
      </w:pPr>
    </w:p>
    <w:p w14:paraId="13E002B1">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一、采购需求前附表</w:t>
      </w:r>
    </w:p>
    <w:tbl>
      <w:tblPr>
        <w:tblStyle w:val="6"/>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2A032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04" w:type="dxa"/>
            <w:noWrap w:val="0"/>
            <w:vAlign w:val="center"/>
          </w:tcPr>
          <w:p w14:paraId="0F70FF64">
            <w:pPr>
              <w:pStyle w:val="8"/>
              <w:spacing w:line="240" w:lineRule="auto"/>
              <w:rPr>
                <w:b/>
                <w:bCs w:val="0"/>
              </w:rPr>
            </w:pPr>
            <w:r>
              <w:rPr>
                <w:rFonts w:hint="eastAsia"/>
                <w:b/>
                <w:bCs w:val="0"/>
              </w:rPr>
              <w:t>序号</w:t>
            </w:r>
          </w:p>
        </w:tc>
        <w:tc>
          <w:tcPr>
            <w:tcW w:w="2025" w:type="dxa"/>
            <w:noWrap w:val="0"/>
            <w:vAlign w:val="center"/>
          </w:tcPr>
          <w:p w14:paraId="04A7268A">
            <w:pPr>
              <w:pStyle w:val="9"/>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内容</w:t>
            </w:r>
          </w:p>
        </w:tc>
        <w:tc>
          <w:tcPr>
            <w:tcW w:w="5466" w:type="dxa"/>
            <w:noWrap w:val="0"/>
            <w:vAlign w:val="center"/>
          </w:tcPr>
          <w:p w14:paraId="6FC880B2">
            <w:pPr>
              <w:pStyle w:val="9"/>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说明与要求</w:t>
            </w:r>
          </w:p>
        </w:tc>
      </w:tr>
      <w:tr w14:paraId="3B4D2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366FB30D">
            <w:pPr>
              <w:pStyle w:val="8"/>
              <w:spacing w:line="240" w:lineRule="auto"/>
              <w:rPr>
                <w:rFonts w:hint="eastAsia" w:cs="宋体"/>
              </w:rPr>
            </w:pPr>
            <w:r>
              <w:rPr>
                <w:rFonts w:hint="eastAsia" w:cs="宋体"/>
              </w:rPr>
              <w:t>1</w:t>
            </w:r>
          </w:p>
        </w:tc>
        <w:tc>
          <w:tcPr>
            <w:tcW w:w="2025" w:type="dxa"/>
            <w:noWrap w:val="0"/>
            <w:vAlign w:val="center"/>
          </w:tcPr>
          <w:p w14:paraId="60A705A4">
            <w:pPr>
              <w:pStyle w:val="9"/>
              <w:widowControl w:val="0"/>
              <w:spacing w:before="0" w:beforeAutospacing="0" w:after="0" w:afterAutospacing="0"/>
              <w:rPr>
                <w:rFonts w:hint="eastAsia" w:ascii="宋体" w:hAnsi="宋体" w:eastAsia="宋体" w:cs="宋体"/>
                <w:b w:val="0"/>
                <w:sz w:val="24"/>
              </w:rPr>
            </w:pPr>
            <w:r>
              <w:rPr>
                <w:rFonts w:hint="eastAsia" w:ascii="宋体" w:hAnsi="宋体" w:eastAsia="宋体" w:cs="宋体"/>
                <w:b w:val="0"/>
                <w:sz w:val="24"/>
              </w:rPr>
              <w:t>付款方式</w:t>
            </w:r>
          </w:p>
        </w:tc>
        <w:tc>
          <w:tcPr>
            <w:tcW w:w="5466" w:type="dxa"/>
            <w:noWrap w:val="0"/>
            <w:vAlign w:val="center"/>
          </w:tcPr>
          <w:p w14:paraId="20CBBBA8">
            <w:pPr>
              <w:pStyle w:val="9"/>
              <w:widowControl w:val="0"/>
              <w:spacing w:before="0" w:beforeAutospacing="0" w:after="0" w:afterAutospacing="0"/>
              <w:jc w:val="both"/>
              <w:rPr>
                <w:rFonts w:hint="eastAsia" w:ascii="宋体" w:hAnsi="宋体" w:eastAsia="宋体" w:cs="宋体"/>
                <w:bCs w:val="0"/>
                <w:sz w:val="24"/>
                <w:szCs w:val="24"/>
              </w:rPr>
            </w:pPr>
            <w:r>
              <w:rPr>
                <w:rFonts w:hint="eastAsia" w:ascii="宋体" w:hAnsi="宋体" w:eastAsia="宋体" w:cs="宋体"/>
                <w:b w:val="0"/>
                <w:sz w:val="24"/>
              </w:rPr>
              <w:t>项目验收合格后30日内，一次性支付合同款。</w:t>
            </w:r>
          </w:p>
        </w:tc>
      </w:tr>
      <w:tr w14:paraId="18AD4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405926EB">
            <w:pPr>
              <w:pStyle w:val="8"/>
              <w:spacing w:line="240" w:lineRule="auto"/>
              <w:rPr>
                <w:rFonts w:hint="eastAsia" w:cs="宋体"/>
              </w:rPr>
            </w:pPr>
            <w:r>
              <w:rPr>
                <w:rFonts w:hint="eastAsia" w:cs="宋体"/>
              </w:rPr>
              <w:t>2</w:t>
            </w:r>
          </w:p>
        </w:tc>
        <w:tc>
          <w:tcPr>
            <w:tcW w:w="2025" w:type="dxa"/>
            <w:noWrap w:val="0"/>
            <w:vAlign w:val="center"/>
          </w:tcPr>
          <w:p w14:paraId="49E76310">
            <w:pPr>
              <w:pStyle w:val="9"/>
              <w:widowControl w:val="0"/>
              <w:spacing w:before="0" w:beforeAutospacing="0" w:after="0" w:afterAutospacing="0"/>
              <w:rPr>
                <w:rFonts w:hint="eastAsia" w:ascii="宋体" w:hAnsi="宋体" w:eastAsia="宋体" w:cs="宋体"/>
                <w:b w:val="0"/>
                <w:sz w:val="24"/>
              </w:rPr>
            </w:pPr>
            <w:r>
              <w:rPr>
                <w:rFonts w:hint="eastAsia" w:ascii="宋体" w:hAnsi="宋体" w:eastAsia="宋体" w:cs="宋体"/>
                <w:b w:val="0"/>
                <w:sz w:val="24"/>
              </w:rPr>
              <w:t>服务地点</w:t>
            </w:r>
          </w:p>
        </w:tc>
        <w:tc>
          <w:tcPr>
            <w:tcW w:w="5466" w:type="dxa"/>
            <w:noWrap w:val="0"/>
            <w:vAlign w:val="center"/>
          </w:tcPr>
          <w:p w14:paraId="3AA84CDB">
            <w:pPr>
              <w:pStyle w:val="9"/>
              <w:widowControl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rPr>
              <w:t>安徽医科大学或采购人指定地点。</w:t>
            </w:r>
          </w:p>
        </w:tc>
      </w:tr>
      <w:tr w14:paraId="7F2E5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1004" w:type="dxa"/>
            <w:noWrap w:val="0"/>
            <w:vAlign w:val="center"/>
          </w:tcPr>
          <w:p w14:paraId="041B19C9">
            <w:pPr>
              <w:pStyle w:val="8"/>
              <w:spacing w:line="240" w:lineRule="auto"/>
              <w:rPr>
                <w:rFonts w:hint="eastAsia" w:cs="宋体"/>
              </w:rPr>
            </w:pPr>
            <w:r>
              <w:rPr>
                <w:rFonts w:hint="eastAsia" w:cs="宋体"/>
              </w:rPr>
              <w:t>3</w:t>
            </w:r>
          </w:p>
        </w:tc>
        <w:tc>
          <w:tcPr>
            <w:tcW w:w="2025" w:type="dxa"/>
            <w:noWrap w:val="0"/>
            <w:vAlign w:val="center"/>
          </w:tcPr>
          <w:p w14:paraId="7103CE04">
            <w:pPr>
              <w:pStyle w:val="9"/>
              <w:widowControl w:val="0"/>
              <w:spacing w:before="0" w:beforeAutospacing="0" w:after="0" w:afterAutospacing="0"/>
              <w:rPr>
                <w:rFonts w:hint="eastAsia" w:ascii="宋体" w:hAnsi="宋体" w:eastAsia="宋体" w:cs="宋体"/>
                <w:b w:val="0"/>
                <w:sz w:val="24"/>
              </w:rPr>
            </w:pPr>
            <w:r>
              <w:rPr>
                <w:rFonts w:hint="eastAsia" w:ascii="宋体" w:hAnsi="宋体" w:eastAsia="宋体" w:cs="宋体"/>
                <w:b w:val="0"/>
                <w:sz w:val="24"/>
              </w:rPr>
              <w:t>服务期限</w:t>
            </w:r>
          </w:p>
        </w:tc>
        <w:tc>
          <w:tcPr>
            <w:tcW w:w="5466" w:type="dxa"/>
            <w:noWrap w:val="0"/>
            <w:vAlign w:val="center"/>
          </w:tcPr>
          <w:p w14:paraId="392E89DF">
            <w:pPr>
              <w:pStyle w:val="4"/>
              <w:rPr>
                <w:rFonts w:hint="eastAsia" w:cs="宋体"/>
                <w:bCs/>
                <w:kern w:val="0"/>
                <w:sz w:val="24"/>
                <w:szCs w:val="24"/>
              </w:rPr>
            </w:pPr>
            <w:r>
              <w:rPr>
                <w:rFonts w:hint="eastAsia" w:cs="宋体"/>
                <w:sz w:val="24"/>
                <w:szCs w:val="24"/>
              </w:rPr>
              <w:t>自合同签订之日起至2025年8月31日完成本项目服务内容，如有变化，协调解决完成时间。</w:t>
            </w:r>
          </w:p>
        </w:tc>
      </w:tr>
    </w:tbl>
    <w:p w14:paraId="1BDC642E">
      <w:pPr>
        <w:spacing w:line="360" w:lineRule="auto"/>
        <w:ind w:firstLine="482" w:firstLineChars="200"/>
        <w:rPr>
          <w:rFonts w:hint="eastAsia" w:ascii="宋体" w:hAnsi="宋体" w:eastAsia="宋体" w:cs="宋体"/>
          <w:b/>
          <w:bCs/>
          <w:sz w:val="24"/>
          <w:szCs w:val="24"/>
        </w:rPr>
      </w:pPr>
      <w:bookmarkStart w:id="0" w:name="_Hlk16461016"/>
      <w:r>
        <w:rPr>
          <w:rFonts w:hint="eastAsia" w:ascii="宋体" w:hAnsi="宋体" w:eastAsia="宋体" w:cs="宋体"/>
          <w:b/>
          <w:bCs/>
          <w:sz w:val="24"/>
          <w:szCs w:val="24"/>
        </w:rPr>
        <w:t>二、项目概况</w:t>
      </w:r>
      <w:r>
        <w:rPr>
          <w:rFonts w:hint="eastAsia" w:ascii="宋体" w:hAnsi="宋体" w:eastAsia="宋体" w:cs="宋体"/>
          <w:b/>
          <w:bCs/>
          <w:sz w:val="24"/>
          <w:szCs w:val="24"/>
        </w:rPr>
        <w:tab/>
      </w:r>
    </w:p>
    <w:bookmarkEnd w:id="0"/>
    <w:p w14:paraId="7FEA20E3">
      <w:pPr>
        <w:wordWrap w:val="0"/>
        <w:spacing w:line="440" w:lineRule="exact"/>
        <w:ind w:firstLine="437"/>
        <w:jc w:val="left"/>
        <w:rPr>
          <w:rFonts w:hint="eastAsia" w:ascii="宋体" w:hAnsi="宋体" w:eastAsia="宋体" w:cs="宋体"/>
          <w:sz w:val="24"/>
        </w:rPr>
      </w:pPr>
      <w:r>
        <w:rPr>
          <w:rFonts w:hint="eastAsia" w:ascii="宋体" w:hAnsi="宋体" w:eastAsia="宋体" w:cs="宋体"/>
          <w:sz w:val="24"/>
        </w:rPr>
        <w:t>安徽医科大学公共卫生学院预防医学实验教学中心搬迁服务采购项目主要为预防医学实验教学中心各实验室提供整体搬迁服务，从旧址搬迁至新址，旧址：安徽省合肥市蜀山区梅山路81号校区实验室，新址：安徽省合肥市肥西县安徽医科大学新医科中心，项目涉及精密仪器、通用仪器（包括配套设备设施）、各类化学品（含普通化学品和危险化学品）、气体、样本、玻璃器皿等货物的搬迁。主要服务内容涉及实验室仪器设备搬运前运行性能确认、拆卸、封装搬运和搬迁后安装调试、恢复原状及因搬迁引起的仪器设备故障的维修等服务。</w:t>
      </w:r>
    </w:p>
    <w:p w14:paraId="5A9A9B60">
      <w:pPr>
        <w:wordWrap w:val="0"/>
        <w:spacing w:line="440" w:lineRule="exact"/>
        <w:ind w:firstLine="437"/>
        <w:jc w:val="left"/>
        <w:rPr>
          <w:rFonts w:hint="eastAsia" w:ascii="宋体" w:hAnsi="宋体" w:eastAsia="宋体" w:cs="宋体"/>
          <w:sz w:val="24"/>
        </w:rPr>
      </w:pPr>
      <w:r>
        <w:rPr>
          <w:rFonts w:hint="eastAsia" w:ascii="宋体" w:hAnsi="宋体" w:eastAsia="宋体" w:cs="宋体"/>
          <w:b/>
          <w:bCs/>
          <w:sz w:val="24"/>
        </w:rPr>
        <w:t>预防医学实验教学中心位于力行楼14楼，</w:t>
      </w:r>
      <w:r>
        <w:rPr>
          <w:rFonts w:hint="eastAsia" w:ascii="宋体" w:hAnsi="宋体" w:eastAsia="宋体" w:cs="宋体"/>
          <w:sz w:val="24"/>
        </w:rPr>
        <w:t>现有19间实验室和库房，分别是流行病学实验室、儿少卫生与妇幼保健学实验室、毒理学实验室、职业卫生和环境卫生学实验室、营养学实验室、公共卫生仪器中心、色谱室、公共卫生技能实训中心、预防医学实验室、食品卫生学实验室、2间卫生检验与检疫学实验室和实验耗材室，以及5间准备室。</w:t>
      </w:r>
      <w:r>
        <w:rPr>
          <w:rFonts w:hint="eastAsia" w:ascii="宋体" w:hAnsi="宋体" w:eastAsia="宋体" w:cs="宋体"/>
          <w:b/>
          <w:bCs/>
          <w:sz w:val="24"/>
        </w:rPr>
        <w:t>搬迁对应放置在新医科中心A3-1实验教学楼的一楼和二楼，</w:t>
      </w:r>
      <w:r>
        <w:rPr>
          <w:rFonts w:hint="eastAsia" w:ascii="宋体" w:hAnsi="宋体" w:eastAsia="宋体" w:cs="宋体"/>
          <w:sz w:val="24"/>
        </w:rPr>
        <w:t>包括公共卫生技能实训中心、公共卫生事件应急演训中心、儿少卫生与妇幼保健学、营养创新实训室及准备室、卫生毒理学及准备室、显微镜室、光谱室、营养与食品卫生学及准备室、色谱室、气瓶供应控制中心、样品称量室、普通微生物学、流行病与卫生统计学、职业卫生和环境卫生学及准备室、卫生检验与检疫学及准备室、有机化学、试剂库、2间实验教学耗材室、环境暴露评价室和创新实训室等28间实验室及库房。</w:t>
      </w:r>
    </w:p>
    <w:p w14:paraId="0E6EC1C5">
      <w:pPr>
        <w:wordWrap w:val="0"/>
        <w:spacing w:line="440" w:lineRule="exact"/>
        <w:ind w:firstLine="437"/>
        <w:jc w:val="left"/>
        <w:rPr>
          <w:rFonts w:hint="eastAsia" w:ascii="宋体" w:hAnsi="宋体" w:eastAsia="宋体" w:cs="宋体"/>
          <w:b/>
          <w:bCs/>
          <w:color w:val="FF0000"/>
          <w:sz w:val="24"/>
        </w:rPr>
      </w:pPr>
      <w:r>
        <w:rPr>
          <w:rFonts w:hint="eastAsia" w:ascii="宋体" w:hAnsi="宋体" w:eastAsia="宋体" w:cs="宋体"/>
          <w:sz w:val="24"/>
        </w:rPr>
        <w:t>本次搬迁涉及仪器设备及物资共计823项，具体分类如下：实验设备500项、化学品23项和其他物资300项。</w:t>
      </w:r>
      <w:r>
        <w:rPr>
          <w:rFonts w:hint="eastAsia" w:ascii="宋体" w:hAnsi="宋体" w:eastAsia="宋体" w:cs="宋体"/>
          <w:b/>
          <w:bCs/>
          <w:color w:val="FF0000"/>
          <w:sz w:val="24"/>
        </w:rPr>
        <w:t>具体清单详见附件1-预防医学实验教学中心搬迁统计表。</w:t>
      </w:r>
    </w:p>
    <w:p w14:paraId="74552737">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三、总体内容</w:t>
      </w:r>
    </w:p>
    <w:p w14:paraId="797996ED">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（一）主要目标</w:t>
      </w:r>
    </w:p>
    <w:p w14:paraId="250A53D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供应商提供查盘点（搬迁前后）、拆卸、包装、运输、安装调试、性能测试等服务，确保搬迁工作完成后仪器设备等物资能达到搬迁前使用状态；搬迁过程中所有仪器设备等物资无遗失、损毁等；多组件仪器设备等物资保证各个组件的完整性，无组件的遗失、损毁等；所有搬迁仪器设备等物资的性能状态前后一致；遵循安全第一的原则，遵守安全生产有关管理规定及相关安全管理制度，严格按安全 操作规程进行实施并随时接受行业安全检查人员依法实施的监督检查，采取必要的安全防护措施，消除事故隐患。</w:t>
      </w:r>
    </w:p>
    <w:p w14:paraId="4F99E9D2">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（二）服务要求</w:t>
      </w:r>
    </w:p>
    <w:p w14:paraId="1D4BA232">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1.安全要求</w:t>
      </w:r>
    </w:p>
    <w:p w14:paraId="3B90C71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在保证校方正常工作秩序的基础上，做到文明搬运。在搬运过程中，不得对服务区域以内的建筑及设施造成破坏和影响。搬运服务过程中，要采取有效的防护、安全措施。</w:t>
      </w:r>
    </w:p>
    <w:p w14:paraId="2CCBCA28">
      <w:pPr>
        <w:spacing w:line="360" w:lineRule="auto"/>
        <w:ind w:firstLine="482" w:firstLineChars="200"/>
        <w:rPr>
          <w:rFonts w:hint="eastAsia" w:ascii="宋体" w:hAnsi="宋体" w:eastAsia="宋体" w:cs="宋体"/>
          <w:b/>
          <w:bCs/>
          <w:sz w:val="24"/>
          <w:szCs w:val="24"/>
        </w:rPr>
      </w:pPr>
      <w:bookmarkStart w:id="1" w:name="OLE_LINK5"/>
      <w:r>
        <w:rPr>
          <w:rFonts w:hint="eastAsia" w:ascii="宋体" w:hAnsi="宋体" w:eastAsia="宋体" w:cs="宋体"/>
          <w:b/>
          <w:bCs/>
          <w:sz w:val="24"/>
          <w:szCs w:val="24"/>
        </w:rPr>
        <w:t>2.搬运服务要求</w:t>
      </w:r>
    </w:p>
    <w:p w14:paraId="04945CD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2.1满足校方搬运要求，供应商应至校方原址及新址现场进行踏勘。</w:t>
      </w:r>
    </w:p>
    <w:p w14:paraId="0CBC72F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2.2供应商需按照项目的实际情况及校方实际需要，编制科学可行的搬迁方案、路线安排、实施方案、实施计划、应急处置方案等。</w:t>
      </w:r>
    </w:p>
    <w:p w14:paraId="08679DE6">
      <w:pPr>
        <w:spacing w:line="360" w:lineRule="auto"/>
        <w:ind w:firstLine="600" w:firstLineChars="250"/>
        <w:rPr>
          <w:rFonts w:hint="eastAsia" w:ascii="宋体" w:hAnsi="宋体" w:eastAsia="宋体" w:cs="宋体"/>
          <w:sz w:val="24"/>
          <w:szCs w:val="24"/>
        </w:rPr>
      </w:pPr>
      <w:r>
        <w:rPr>
          <w:rFonts w:hint="eastAsia" w:ascii="宋体" w:hAnsi="宋体" w:eastAsia="宋体" w:cs="宋体"/>
          <w:sz w:val="24"/>
          <w:szCs w:val="24"/>
        </w:rPr>
        <w:t>2.3供应商应配合校方完成各项搬运信息统计工作，包括各单位新旧地址的房间号码、设备数量等，制定搬迁的先后顺序和详细的搬迁方案提交校方审核，审核通过后方可实施搬迁。根据校方要求可以提供同一楼宇内的物品再次搬运服务。</w:t>
      </w:r>
      <w:r>
        <w:rPr>
          <w:rFonts w:hint="eastAsia" w:ascii="宋体" w:hAnsi="宋体" w:eastAsia="宋体" w:cs="宋体"/>
          <w:b/>
          <w:bCs/>
          <w:color w:val="FF0000"/>
          <w:sz w:val="24"/>
          <w:szCs w:val="24"/>
        </w:rPr>
        <w:t>（此项为实质性要求，响应文件中须提供承诺函，格式自拟，未提供视为响应无效）</w:t>
      </w:r>
    </w:p>
    <w:p w14:paraId="536320F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2.4须具有风险承担能力，有紧急风险预案。</w:t>
      </w:r>
    </w:p>
    <w:p w14:paraId="137234D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2.5搬运不同类型物品过程中，国家对企业、人员有特殊资质、资格要求的，中选人需要确保服务提供方满足相关要求，否则一切后果由中选人承担。</w:t>
      </w:r>
    </w:p>
    <w:bookmarkEnd w:id="1"/>
    <w:p w14:paraId="15D9B552">
      <w:pPr>
        <w:spacing w:line="360" w:lineRule="auto"/>
        <w:ind w:firstLine="482" w:firstLineChars="200"/>
        <w:rPr>
          <w:rFonts w:hint="eastAsia" w:ascii="宋体" w:hAnsi="宋体" w:eastAsia="宋体" w:cs="宋体"/>
          <w:b/>
          <w:bCs/>
          <w:color w:val="FF0000"/>
          <w:sz w:val="24"/>
          <w:szCs w:val="24"/>
        </w:rPr>
      </w:pPr>
      <w:bookmarkStart w:id="2" w:name="OLE_LINK11"/>
      <w:bookmarkStart w:id="3" w:name="OLE_LINK10"/>
      <w:r>
        <w:rPr>
          <w:rFonts w:hint="eastAsia" w:ascii="宋体" w:hAnsi="宋体" w:eastAsia="宋体" w:cs="宋体"/>
          <w:b/>
          <w:bCs/>
          <w:color w:val="FF0000"/>
          <w:sz w:val="24"/>
          <w:szCs w:val="24"/>
        </w:rPr>
        <w:t>3. 服务商能力要求（本项要求为实质性要求，不允许负偏离，否则响应无效）</w:t>
      </w:r>
    </w:p>
    <w:p w14:paraId="671B986C">
      <w:pPr>
        <w:spacing w:line="360" w:lineRule="auto"/>
        <w:ind w:firstLine="480" w:firstLineChars="200"/>
        <w:rPr>
          <w:rFonts w:hint="eastAsia" w:ascii="宋体" w:hAnsi="宋体" w:eastAsia="宋体" w:cs="宋体"/>
          <w:b/>
          <w:bCs/>
          <w:sz w:val="24"/>
          <w:szCs w:val="24"/>
        </w:rPr>
      </w:pPr>
      <w:r>
        <w:rPr>
          <w:rFonts w:hint="eastAsia" w:ascii="宋体" w:hAnsi="宋体" w:eastAsia="宋体" w:cs="宋体"/>
          <w:sz w:val="24"/>
          <w:szCs w:val="24"/>
        </w:rPr>
        <w:t>3.1供应商须具备原厂授权服务资质：供应商应具备不少于3家国内外品牌服务授权资质，以满足校方设备拆装调试的需求。</w:t>
      </w:r>
      <w:r>
        <w:rPr>
          <w:rFonts w:hint="eastAsia" w:ascii="宋体" w:hAnsi="宋体" w:eastAsia="宋体" w:cs="宋体"/>
          <w:b/>
          <w:bCs/>
          <w:sz w:val="24"/>
          <w:szCs w:val="24"/>
        </w:rPr>
        <w:t>（响应文件中须提供至少3家国内外品牌服务授权文件予以证明）</w:t>
      </w:r>
    </w:p>
    <w:p w14:paraId="540E5BAA">
      <w:pPr>
        <w:spacing w:line="360" w:lineRule="auto"/>
        <w:ind w:firstLine="480" w:firstLineChars="200"/>
        <w:rPr>
          <w:rFonts w:hint="eastAsia" w:ascii="宋体" w:hAnsi="宋体" w:eastAsia="宋体" w:cs="宋体"/>
          <w:b/>
          <w:bCs/>
          <w:sz w:val="24"/>
          <w:szCs w:val="24"/>
        </w:rPr>
      </w:pPr>
      <w:r>
        <w:rPr>
          <w:rFonts w:hint="eastAsia" w:ascii="宋体" w:hAnsi="宋体" w:eastAsia="宋体" w:cs="宋体"/>
          <w:sz w:val="24"/>
          <w:szCs w:val="24"/>
        </w:rPr>
        <w:t>3.2供应商应具备设备维修维保服务能力资质证书，以保障供应商维修维保服务能力。</w:t>
      </w:r>
      <w:r>
        <w:rPr>
          <w:rFonts w:hint="eastAsia" w:ascii="宋体" w:hAnsi="宋体" w:eastAsia="宋体" w:cs="宋体"/>
          <w:b/>
          <w:bCs/>
          <w:sz w:val="24"/>
          <w:szCs w:val="24"/>
        </w:rPr>
        <w:t>（响应文件中须提供相应证书复印件或扫描件）</w:t>
      </w:r>
    </w:p>
    <w:p w14:paraId="1F051484">
      <w:pPr>
        <w:spacing w:line="360" w:lineRule="auto"/>
        <w:ind w:firstLine="480" w:firstLineChars="200"/>
        <w:rPr>
          <w:rFonts w:hint="eastAsia" w:ascii="宋体" w:hAnsi="宋体" w:eastAsia="宋体" w:cs="宋体"/>
          <w:b/>
          <w:bCs/>
          <w:sz w:val="24"/>
          <w:szCs w:val="24"/>
        </w:rPr>
      </w:pPr>
      <w:r>
        <w:rPr>
          <w:rFonts w:hint="eastAsia" w:ascii="宋体" w:hAnsi="宋体" w:eastAsia="宋体" w:cs="宋体"/>
          <w:sz w:val="24"/>
          <w:szCs w:val="24"/>
        </w:rPr>
        <w:t>3.3供应商应具备实验室仪器设备的检查校准服务能力，或承诺送检专业计量校准机构。计量需要检验检测机构资质认定证书（CMA）和中国合格评定国家认可委员会检测及校准实验室认可证书（CNAS），以满足校方设备搬迁后相关计量验证需求，或者与专业计量校准机构有固定合作并提供有效合作证明，确保搬迁后设备的性能一致性。</w:t>
      </w:r>
      <w:r>
        <w:rPr>
          <w:rFonts w:hint="eastAsia" w:ascii="宋体" w:hAnsi="宋体" w:eastAsia="宋体" w:cs="宋体"/>
          <w:b/>
          <w:bCs/>
          <w:sz w:val="24"/>
          <w:szCs w:val="24"/>
        </w:rPr>
        <w:t>（响应文件中须提供供应商检查校准服务能力证明材料或提供承诺函承诺送检专业计量校准机构进行检测；同时须提供供应商计量服务能力证明材料或提供与专业计量校准机构有固定合作的协议证明。）</w:t>
      </w:r>
    </w:p>
    <w:p w14:paraId="505FE86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3.4供应商应具备实验室消杀资质，以满足校方生物安全柜搬迁过程中有可能发生的消杀需求。</w:t>
      </w:r>
      <w:r>
        <w:rPr>
          <w:rFonts w:hint="eastAsia" w:ascii="宋体" w:hAnsi="宋体" w:eastAsia="宋体" w:cs="宋体"/>
          <w:b/>
          <w:bCs/>
          <w:sz w:val="24"/>
          <w:szCs w:val="24"/>
        </w:rPr>
        <w:t>（响应文件中须提供相应证书复印件或扫描件）</w:t>
      </w:r>
    </w:p>
    <w:bookmarkEnd w:id="2"/>
    <w:bookmarkEnd w:id="3"/>
    <w:p w14:paraId="17D9FDF4">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4．服务人员要求</w:t>
      </w:r>
    </w:p>
    <w:p w14:paraId="506A955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4.1供应商须为本项目配备搬迁服务团队：</w:t>
      </w:r>
    </w:p>
    <w:p w14:paraId="36006C1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4.2拟派项目负责人（1人），负责与校方指定的对接人对接；拟派管理人员不低于3人，管理人员全程负责搬运工作协调指挥及安全管理工作，与校方现场人员共同负责查验装卸物品；具备设备维修资质的专业工程师不低于8人（应具备国内外品牌技术培训证书）。项目负责人及管理人员未经校方允许，不得随意更换。</w:t>
      </w:r>
    </w:p>
    <w:p w14:paraId="10BAFA6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4.3供应商应为本项目配备计量服务团队，或承诺送检专业计量校准机构，供应商应具备国家注册计量师不低于5人，以满足校方设备搬迁后检测校准的服务需求，或者与专业计量校准机构有固定合作并提供有效合作证明。</w:t>
      </w:r>
    </w:p>
    <w:p w14:paraId="0D2E51A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4.4供应商为本项目配备的服务人员须保证身体健康、统一着装。</w:t>
      </w:r>
    </w:p>
    <w:p w14:paraId="5A63AA8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4.5负责仪器设备测试、拆装工作的工程师应具备相关工作经验</w:t>
      </w:r>
      <w:r>
        <w:rPr>
          <w:rFonts w:hint="eastAsia" w:ascii="宋体" w:hAnsi="宋体" w:eastAsia="宋体" w:cs="宋体"/>
          <w:b/>
          <w:bCs/>
          <w:sz w:val="24"/>
          <w:szCs w:val="24"/>
        </w:rPr>
        <w:t>（响应文件中须提供证明资料）；</w:t>
      </w:r>
    </w:p>
    <w:p w14:paraId="4CD65A8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4.6负责仪器设备包装、运输、搬运工作的所有作业人员应具备相关行业资格</w:t>
      </w:r>
      <w:r>
        <w:rPr>
          <w:rFonts w:hint="eastAsia" w:ascii="宋体" w:hAnsi="宋体" w:eastAsia="宋体" w:cs="宋体"/>
          <w:b/>
          <w:bCs/>
          <w:sz w:val="24"/>
          <w:szCs w:val="24"/>
        </w:rPr>
        <w:t>（响应文件中须提供证明资料）；</w:t>
      </w:r>
    </w:p>
    <w:p w14:paraId="409E856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4.7搬迁项目过程中所用到的特种机械及工具的操作人员应具备特种行业作业资格</w:t>
      </w:r>
    </w:p>
    <w:p w14:paraId="1267F1E6">
      <w:pPr>
        <w:spacing w:line="360" w:lineRule="auto"/>
        <w:ind w:firstLine="482" w:firstLineChars="200"/>
        <w:rPr>
          <w:rFonts w:hint="eastAsia" w:ascii="宋体" w:hAnsi="宋体" w:eastAsia="宋体" w:cs="宋体"/>
          <w:b/>
          <w:bCs/>
          <w:sz w:val="24"/>
          <w:szCs w:val="24"/>
        </w:rPr>
      </w:pPr>
    </w:p>
    <w:p w14:paraId="59741C74">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5.车辆要求</w:t>
      </w:r>
    </w:p>
    <w:p w14:paraId="350BA0D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5.1运输车辆：供应商应根据搬迁货物的种类配备各种类型的车辆。所有运输车辆行驶证、保险有效齐全，同时应符合运输车辆管理条例的要求。所有用于搬迁项目工作的车辆、机械设备和工具须干净、整洁，除运输大型设备外，所有物品都采用封闭厢式货车运输。</w:t>
      </w:r>
    </w:p>
    <w:p w14:paraId="39F5DB8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5.2车辆必须有保险公司承保车辆险。</w:t>
      </w:r>
    </w:p>
    <w:p w14:paraId="13B61E0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5.3所有车辆需配备GPS定位系统。</w:t>
      </w:r>
    </w:p>
    <w:p w14:paraId="2EC7169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5.4车辆应取得国家、省市相关准运要求，且各种手续合法完整，各项证件均在有效期内。</w:t>
      </w:r>
    </w:p>
    <w:p w14:paraId="75D8AE94">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6．其他要求</w:t>
      </w:r>
    </w:p>
    <w:p w14:paraId="4D80426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供应商需承诺：依法用工，遵守国家、省、市的劳动法规。服务期间注意安全措施，提供相应的搬迁工具及护具，搬迁过程中发生一切安全事故、交通事故由中选人自行解决，校方不承担任何责任。</w:t>
      </w:r>
    </w:p>
    <w:p w14:paraId="38011A30">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7．搬迁具体要求</w:t>
      </w:r>
    </w:p>
    <w:p w14:paraId="328C9D7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包括但不限于对仪器设备等物资的清查盘点（搬迁前后）、拆卸、运输、安装调试、性能测试等业务，原则上以各实验室为单位（不得混装、合并运输），用户对物品有额外标记需求的需满足，具体要求如下：</w:t>
      </w:r>
    </w:p>
    <w:p w14:paraId="29E0062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7.1 搬迁前状态确认</w:t>
      </w:r>
    </w:p>
    <w:p w14:paraId="4306B8F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精密仪器：搬迁前，由校方代表、供应商和专业技术人员三方共同确认仪器设备原有状态，并出具仪器性能技术报告。三方签字认可后方可进行拆卸。</w:t>
      </w:r>
    </w:p>
    <w:p w14:paraId="2234869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通用仪器：搬迁前，由校方代表与供应商技术人员现场对仪器设备进行主机及零配件等逐一核对、列出清单，开机测试各项功能，双方签字认可后方可进行拆卸。</w:t>
      </w:r>
    </w:p>
    <w:p w14:paraId="207D23F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7.2 仪器设备拆机</w:t>
      </w:r>
    </w:p>
    <w:p w14:paraId="7DF0594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仪器设备等物资状态确认后，中选人针对不同仪器设备等物资类型，指定专业工程师负责对全部待迁仪器设备等物资的拆机工作，拆机后对仪器设备等物资及相关配件进行详细标注及登记。</w:t>
      </w:r>
    </w:p>
    <w:p w14:paraId="4735D64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7.3 仪器设备等物资包装</w:t>
      </w:r>
    </w:p>
    <w:p w14:paraId="43BF4E9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针对不同仪器设备等物资类型提供充足的包装材料（确保环保无污染，仪器设备需要每一台套单独包装），至少包括纸箱、包装填充物、固定装置等，需专业搬迁的，应符合相关包装要求。涉及的所有包装材料由供应商免费提供。</w:t>
      </w:r>
    </w:p>
    <w:p w14:paraId="6355C7D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②作业期间包装箱体外部标识清晰明确。</w:t>
      </w:r>
    </w:p>
    <w:p w14:paraId="4F4E9DC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7.4 仪器设备物品运输</w:t>
      </w:r>
    </w:p>
    <w:p w14:paraId="76559A5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①根据仪器搬运的要求，运输过程须做好对搬运物品的防雨、防水、防火、防压、防碰、防震、防倾斜、防腐等保护措施。</w:t>
      </w:r>
    </w:p>
    <w:p w14:paraId="2DB9832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②供应商或委托的运输单位可采用拖车，液压车、移动平台车、叉车、 吊车等辅助运输，对可能需要用到的各种特种设备，由报名人安排提供，所有现场作业需用到的特种设备须保证干净且具备检验合格证书，操作人员应具备相应的操作证书。</w:t>
      </w:r>
    </w:p>
    <w:p w14:paraId="060BB8A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③供货商须采用环保材料对迁出、迁进实验室地面、墙面进行保护，防止地面、墙面划伤等。</w:t>
      </w:r>
    </w:p>
    <w:p w14:paraId="2C222AC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④对无法正常从实验室迁出或迁进的设备，供应商与学校协商后可采用专业、合理措施迁移。</w:t>
      </w:r>
    </w:p>
    <w:p w14:paraId="7A8B9EA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7.5 仪器设备安装调试</w:t>
      </w:r>
    </w:p>
    <w:p w14:paraId="48CD1E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①仪器设备迁移至新址实验室后，供应商须根据迁移规划规定的时间节点进行包装 拆除，定位至采购方各实验室负责人指定位置，并及时回收包装材料。</w:t>
      </w:r>
    </w:p>
    <w:p w14:paraId="78C8B54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②所有仪器按照规定完成安装，接通电源调试。</w:t>
      </w:r>
    </w:p>
    <w:p w14:paraId="4D91C6B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③精密仪器及大型分析仪器、机械设备等须由具有相应仪器类别安装维修资质的工程师对迁移前分解的部件进行组装，并调试至待机状态。</w:t>
      </w:r>
    </w:p>
    <w:p w14:paraId="240DAAD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7.6 搬迁后状态确认及清点</w:t>
      </w:r>
    </w:p>
    <w:p w14:paraId="034AF50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①仪器安装调试后由供应商指定人员会同校方指定人员对仪器状态进行确认，在确保仪器恢复到拆卸前状态后，由双方指定人员签字确认。</w:t>
      </w:r>
    </w:p>
    <w:p w14:paraId="2D57549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②仪器送达指定位置后，逐项清点，确保数量和发运前保持一致。到达新实验室的仪器设备须和装箱单所标明的名称、品牌、型号、数量、固定资产编号一致。</w:t>
      </w:r>
    </w:p>
    <w:p w14:paraId="3AC0A9C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③搬迁前后对仪器设备做资料存档，确保搬迁后仪器及附件外观与搬迁前相比，无新增破损、锈蚀、碰伤等。</w:t>
      </w:r>
    </w:p>
    <w:p w14:paraId="478A87A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7.7 验收方式及标准</w:t>
      </w:r>
    </w:p>
    <w:p w14:paraId="6213AB0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④仪器送达指定位置后，按装箱单逐项清点，确保数量和发运前一致。</w:t>
      </w:r>
    </w:p>
    <w:p w14:paraId="376CBB5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⑤精密仪器设备搬迁前后需要性能测试，保证前后性能一致。若因搬迁原因造成的仪器未达到国家计量检定规程或校准规范的，供应商必须提供免费维修或更换服务。</w:t>
      </w:r>
    </w:p>
    <w:p w14:paraId="690D287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⑥通用类仪器设备搬迁前后需要通电功能测试，保证搬迁后功能正常。若因搬迁原因造成的仪器未达到实验室使用要求的，供应商必须提供免费维修或更换服务。</w:t>
      </w:r>
    </w:p>
    <w:p w14:paraId="684176B0">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四、样品、化学品和实验气体搬运要求</w:t>
      </w:r>
    </w:p>
    <w:p w14:paraId="0C7B5E01">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1.样品需由满足其储存条件（如温湿度、遮光等）的车辆完成运输。</w:t>
      </w:r>
    </w:p>
    <w:p w14:paraId="19676D99">
      <w:pPr>
        <w:spacing w:line="360" w:lineRule="auto"/>
        <w:ind w:firstLine="600" w:firstLineChars="250"/>
        <w:rPr>
          <w:rFonts w:hint="eastAsia" w:ascii="宋体" w:hAnsi="宋体" w:eastAsia="宋体" w:cs="宋体"/>
          <w:bCs/>
          <w:sz w:val="24"/>
          <w:szCs w:val="24"/>
        </w:rPr>
      </w:pPr>
      <w:r>
        <w:rPr>
          <w:rFonts w:hint="eastAsia" w:ascii="宋体" w:hAnsi="宋体" w:eastAsia="宋体" w:cs="宋体"/>
          <w:bCs/>
          <w:sz w:val="24"/>
          <w:szCs w:val="24"/>
        </w:rPr>
        <w:t>2.供应商需提供冷链运输服务，配备本项目所需的冷链运输车辆，运送需低温运输的物品。部分样品及生物试剂需低温（-20℃、-80℃等温度）保存。样本中转所需仪器设备由供应商提供。</w:t>
      </w:r>
      <w:r>
        <w:rPr>
          <w:rFonts w:hint="eastAsia" w:ascii="宋体" w:hAnsi="宋体" w:eastAsia="宋体" w:cs="宋体"/>
          <w:b/>
          <w:bCs/>
          <w:color w:val="FF0000"/>
          <w:sz w:val="24"/>
          <w:szCs w:val="24"/>
        </w:rPr>
        <w:t>（此项为实质性要求，响应文件中须提供承诺函，格式自拟，未提供视为响应无效）</w:t>
      </w:r>
    </w:p>
    <w:p w14:paraId="415F38CF">
      <w:pPr>
        <w:spacing w:line="360" w:lineRule="auto"/>
        <w:ind w:firstLine="600" w:firstLineChars="250"/>
        <w:rPr>
          <w:rFonts w:hint="eastAsia" w:ascii="宋体" w:hAnsi="宋体" w:eastAsia="宋体" w:cs="宋体"/>
          <w:b/>
          <w:bCs/>
          <w:color w:val="FF0000"/>
          <w:sz w:val="24"/>
          <w:szCs w:val="24"/>
        </w:rPr>
      </w:pPr>
      <w:r>
        <w:rPr>
          <w:rFonts w:hint="eastAsia" w:ascii="宋体" w:hAnsi="宋体" w:eastAsia="宋体" w:cs="宋体"/>
          <w:bCs/>
          <w:sz w:val="24"/>
          <w:szCs w:val="24"/>
        </w:rPr>
        <w:t>3.</w:t>
      </w:r>
      <w:r>
        <w:rPr>
          <w:rFonts w:hint="eastAsia" w:ascii="宋体" w:hAnsi="宋体" w:eastAsia="宋体" w:cs="宋体"/>
          <w:bCs/>
        </w:rPr>
        <w:t xml:space="preserve"> </w:t>
      </w:r>
      <w:bookmarkStart w:id="4" w:name="OLE_LINK7"/>
      <w:bookmarkStart w:id="5" w:name="OLE_LINK6"/>
      <w:r>
        <w:rPr>
          <w:rFonts w:hint="eastAsia" w:ascii="宋体" w:hAnsi="宋体" w:eastAsia="宋体" w:cs="宋体"/>
          <w:bCs/>
          <w:sz w:val="24"/>
          <w:szCs w:val="24"/>
        </w:rPr>
        <w:t>供应商</w:t>
      </w:r>
      <w:bookmarkEnd w:id="4"/>
      <w:bookmarkEnd w:id="5"/>
      <w:r>
        <w:rPr>
          <w:rFonts w:hint="eastAsia" w:ascii="宋体" w:hAnsi="宋体" w:eastAsia="宋体" w:cs="宋体"/>
          <w:bCs/>
          <w:sz w:val="24"/>
          <w:szCs w:val="24"/>
        </w:rPr>
        <w:t>需具备与危化品类别相匹配的仓储/运输资质（如易燃易爆、剧毒等专项许可），同时并报相关部门备案。因具备资质的供应商（如运输公司）操作失误造成的损失，由责任方承担，校方不连带赔偿。</w:t>
      </w:r>
      <w:r>
        <w:rPr>
          <w:rFonts w:hint="eastAsia" w:ascii="宋体" w:hAnsi="宋体" w:eastAsia="宋体" w:cs="宋体"/>
          <w:b/>
          <w:bCs/>
          <w:color w:val="FF0000"/>
          <w:sz w:val="24"/>
          <w:szCs w:val="24"/>
        </w:rPr>
        <w:t>（此项为实质性要求，响应文件中须提供承诺函，格式自拟，未提供视为响应无效）</w:t>
      </w:r>
    </w:p>
    <w:p w14:paraId="7AF34B8C">
      <w:pPr>
        <w:spacing w:line="360" w:lineRule="auto"/>
        <w:ind w:firstLine="600" w:firstLineChars="250"/>
        <w:rPr>
          <w:rFonts w:hint="eastAsia" w:ascii="宋体" w:hAnsi="宋体" w:eastAsia="宋体" w:cs="宋体"/>
          <w:strike/>
          <w:sz w:val="24"/>
          <w:szCs w:val="24"/>
        </w:rPr>
      </w:pPr>
      <w:r>
        <w:rPr>
          <w:rFonts w:hint="eastAsia" w:ascii="宋体" w:hAnsi="宋体" w:eastAsia="宋体" w:cs="宋体"/>
          <w:sz w:val="24"/>
          <w:szCs w:val="24"/>
        </w:rPr>
        <w:t>4.试剂（含危险化学品）和实验气体的搬运工作供应商必须承诺使用按照国家标准《道路运输危险货物车辆标志》（GB13392）要求悬挂标志的专业车辆负责运输</w:t>
      </w:r>
      <w:r>
        <w:rPr>
          <w:rFonts w:hint="eastAsia" w:ascii="宋体" w:hAnsi="宋体" w:eastAsia="宋体" w:cs="宋体"/>
          <w:b/>
          <w:bCs/>
          <w:color w:val="FF0000"/>
          <w:sz w:val="24"/>
          <w:szCs w:val="24"/>
        </w:rPr>
        <w:t>（此项为实质性要求，响应文件中须提供承诺函，格式自拟，未提供视为响应无效）。</w:t>
      </w:r>
      <w:r>
        <w:rPr>
          <w:rFonts w:hint="eastAsia" w:ascii="宋体" w:hAnsi="宋体" w:eastAsia="宋体" w:cs="宋体"/>
          <w:sz w:val="24"/>
          <w:szCs w:val="24"/>
        </w:rPr>
        <w:t>化学品主要是危险化学品及一般实验室用试剂，搬迁需特殊的专业运输车辆，在进行确认、包装后搬运至指定位置。化学品搬迁数量为现有实验室所有在用试剂，具体以现场勘查为准。化学品搬迁前要专门造册，逐瓶（支）登记、核实；搬运过程采取专人押车，确保不出现试剂样品丢失、破损或标签损坏现象；搬迁后逐一核查装车数量和品类。</w:t>
      </w:r>
    </w:p>
    <w:p w14:paraId="18A14C95">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五、搬迁器械及工具要求</w:t>
      </w:r>
    </w:p>
    <w:p w14:paraId="2643B76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1.所有运输车辆符合当地运输车辆管理条例的要求，保险有效，同时符合环保的相关要求，所有现场作业的叉车须具备检验合格证书。</w:t>
      </w:r>
    </w:p>
    <w:p w14:paraId="0C829C5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2.所有用于运输的货车内部须保证干净且有固定装置减震防振、防水、防倾斜等，所有用于搬迁项目工作的车辆、机械设备和工具须干净、整洁、具备统一的明确标识。</w:t>
      </w:r>
    </w:p>
    <w:p w14:paraId="067B8DC3">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六、拆卸要求</w:t>
      </w:r>
    </w:p>
    <w:p w14:paraId="5190F7DB">
      <w:pPr>
        <w:spacing w:line="360" w:lineRule="auto"/>
        <w:ind w:firstLine="480" w:firstLineChars="200"/>
        <w:rPr>
          <w:rFonts w:hint="eastAsia" w:ascii="宋体" w:hAnsi="宋体" w:eastAsia="宋体" w:cs="宋体"/>
          <w:b/>
          <w:bCs/>
          <w:color w:val="FF0000"/>
          <w:sz w:val="24"/>
          <w:szCs w:val="24"/>
        </w:rPr>
      </w:pPr>
      <w:r>
        <w:rPr>
          <w:rFonts w:hint="eastAsia" w:ascii="宋体" w:hAnsi="宋体" w:eastAsia="宋体" w:cs="宋体"/>
          <w:sz w:val="24"/>
          <w:szCs w:val="24"/>
        </w:rPr>
        <w:t>1.由成交供应商负责拆卸的，拆卸前由采购人、供应商双方负责对仪器设备（包含仪器附属设备）进行测试，确认所有仪器设备搬迁前状态，填写搬迁前仪器测试报告，双方签字；</w:t>
      </w:r>
      <w:r>
        <w:rPr>
          <w:rFonts w:hint="eastAsia" w:ascii="宋体" w:hAnsi="宋体" w:eastAsia="宋体" w:cs="宋体"/>
          <w:b/>
          <w:bCs/>
          <w:color w:val="FF0000"/>
          <w:sz w:val="24"/>
          <w:szCs w:val="24"/>
        </w:rPr>
        <w:t>附件2列表中有特殊搬迁要求的仪器必须由仪器设备厂商技术人员/原厂技术人员或有原厂工作经验的技术人员负责拆卸，相关费用由供应商承担。</w:t>
      </w:r>
    </w:p>
    <w:p w14:paraId="1804A2E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拆卸过程需由具备资质的专业技术人员进行，若因成交供应商拆卸过程不当导致的设备损坏，由成交供应商联系仪器设备厂家进行维修，使仪器恢复至搬迁前状态，并对维修配件履行质保承诺，所产生的相关费用由成交供应商承担。</w:t>
      </w:r>
    </w:p>
    <w:p w14:paraId="6211C1F1">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七、包装要求</w:t>
      </w:r>
    </w:p>
    <w:p w14:paraId="776FB76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1.成交供应商须自行准备搬运所需的包装材料和防护用品，使用的包装材料应符合环保要求。</w:t>
      </w:r>
    </w:p>
    <w:p w14:paraId="51CBE3B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成交供应商在搬运仪器设备时均应参照仪器厂商及采购人技术人员要求进行包装，需按照仪器精度要求及大小进行防震、防碎、防潮的专用材质进行包装。成交供应商需保证货物包装满足货物运输保险条款相关要求。</w:t>
      </w:r>
    </w:p>
    <w:p w14:paraId="2B65A4F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3.包装过程中，由成交供应商对搬迁仪器设备、附属设备、拆卸零部件、耗材配件以及资料进行编号，采购人负责确认《装箱单》清单明细，外包装需有唯一性编号标识及安全提示标签。</w:t>
      </w:r>
    </w:p>
    <w:p w14:paraId="5947E8B3">
      <w:pPr>
        <w:spacing w:line="360" w:lineRule="auto"/>
        <w:ind w:firstLine="480" w:firstLineChars="200"/>
        <w:rPr>
          <w:rFonts w:hint="eastAsia" w:ascii="宋体" w:hAnsi="宋体" w:eastAsia="宋体" w:cs="宋体"/>
          <w:b/>
          <w:bCs/>
          <w:sz w:val="24"/>
          <w:szCs w:val="24"/>
        </w:rPr>
      </w:pPr>
      <w:r>
        <w:rPr>
          <w:rFonts w:hint="eastAsia" w:ascii="宋体" w:hAnsi="宋体" w:eastAsia="宋体" w:cs="宋体"/>
          <w:sz w:val="24"/>
          <w:szCs w:val="24"/>
        </w:rPr>
        <w:t>4.废弃的包装材料及填充物应当天清理干净，且保证作业现场的整洁。</w:t>
      </w:r>
    </w:p>
    <w:p w14:paraId="41B46B24">
      <w:pPr>
        <w:numPr>
          <w:ilvl w:val="0"/>
          <w:numId w:val="1"/>
        </w:num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运输要求</w:t>
      </w:r>
    </w:p>
    <w:p w14:paraId="6243F5B3">
      <w:pPr>
        <w:numPr>
          <w:ilvl w:val="0"/>
          <w:numId w:val="2"/>
        </w:numPr>
        <w:spacing w:line="360" w:lineRule="auto"/>
        <w:ind w:left="0" w:firstLine="480" w:firstLineChars="200"/>
        <w:rPr>
          <w:rFonts w:hint="eastAsia" w:ascii="宋体" w:hAnsi="宋体" w:eastAsia="宋体" w:cs="宋体"/>
          <w:sz w:val="24"/>
          <w:szCs w:val="24"/>
        </w:rPr>
      </w:pPr>
      <w:r>
        <w:rPr>
          <w:rFonts w:hint="eastAsia" w:ascii="宋体" w:hAnsi="宋体" w:eastAsia="宋体" w:cs="宋体"/>
          <w:sz w:val="24"/>
          <w:szCs w:val="24"/>
        </w:rPr>
        <w:t>大型仪器设备装车时设备放置在垫木上，必须用钢丝绳或其它方式加固；运输多台设备，两设备间需加装支撑保护，避免碰撞；精密设备需采取必要的防震措施，如添加防震橡胶垫等，确保运输安全。</w:t>
      </w:r>
    </w:p>
    <w:p w14:paraId="07639AE5">
      <w:pPr>
        <w:numPr>
          <w:ilvl w:val="0"/>
          <w:numId w:val="2"/>
        </w:numPr>
        <w:spacing w:line="360" w:lineRule="auto"/>
        <w:ind w:left="0" w:firstLine="480" w:firstLineChars="200"/>
        <w:rPr>
          <w:rFonts w:hint="eastAsia" w:ascii="宋体" w:hAnsi="宋体" w:eastAsia="宋体" w:cs="宋体"/>
          <w:sz w:val="24"/>
          <w:szCs w:val="24"/>
        </w:rPr>
      </w:pPr>
      <w:r>
        <w:rPr>
          <w:rFonts w:hint="eastAsia" w:ascii="宋体" w:hAnsi="宋体" w:eastAsia="宋体" w:cs="宋体"/>
          <w:sz w:val="24"/>
          <w:szCs w:val="24"/>
        </w:rPr>
        <w:t>成交供应商需保证运输人员和车辆满足货物运输保险条款相关要求。</w:t>
      </w:r>
    </w:p>
    <w:p w14:paraId="094EA3C1">
      <w:pPr>
        <w:numPr>
          <w:ilvl w:val="0"/>
          <w:numId w:val="2"/>
        </w:numPr>
        <w:spacing w:line="360" w:lineRule="auto"/>
        <w:ind w:left="0" w:firstLine="480" w:firstLineChars="200"/>
        <w:rPr>
          <w:rFonts w:hint="eastAsia" w:ascii="宋体" w:hAnsi="宋体" w:eastAsia="宋体" w:cs="宋体"/>
          <w:sz w:val="24"/>
          <w:szCs w:val="24"/>
        </w:rPr>
      </w:pPr>
      <w:r>
        <w:rPr>
          <w:rFonts w:hint="eastAsia" w:ascii="宋体" w:hAnsi="宋体" w:eastAsia="宋体" w:cs="宋体"/>
          <w:sz w:val="24"/>
          <w:szCs w:val="24"/>
        </w:rPr>
        <w:t>对于搬运过程中由于门、楼道、电梯尺寸等影响仪器设备搬运，由成交供应商解决，确需进行基建破坏的，在采购人同意后进行操作，项目结束需由成交供应商恢复原状。</w:t>
      </w:r>
    </w:p>
    <w:p w14:paraId="214F3D42">
      <w:pPr>
        <w:numPr>
          <w:ilvl w:val="0"/>
          <w:numId w:val="2"/>
        </w:numPr>
        <w:spacing w:line="360" w:lineRule="auto"/>
        <w:ind w:left="0" w:firstLine="480" w:firstLineChars="200"/>
        <w:rPr>
          <w:rFonts w:hint="eastAsia" w:ascii="宋体" w:hAnsi="宋体" w:eastAsia="宋体" w:cs="宋体"/>
          <w:sz w:val="24"/>
          <w:szCs w:val="24"/>
        </w:rPr>
      </w:pPr>
      <w:r>
        <w:rPr>
          <w:rFonts w:hint="eastAsia" w:ascii="宋体" w:hAnsi="宋体" w:eastAsia="宋体" w:cs="宋体"/>
          <w:sz w:val="24"/>
          <w:szCs w:val="24"/>
        </w:rPr>
        <w:t>搬运及摆放到位过程中，成交供应商保证所有设备及物品不被损坏、丢失，将物品安全、及时地搬至指定地点。</w:t>
      </w:r>
    </w:p>
    <w:p w14:paraId="4A6FB7A7">
      <w:pPr>
        <w:numPr>
          <w:ilvl w:val="0"/>
          <w:numId w:val="2"/>
        </w:numPr>
        <w:spacing w:line="360" w:lineRule="auto"/>
        <w:ind w:left="0" w:firstLine="480" w:firstLineChars="200"/>
        <w:rPr>
          <w:rFonts w:hint="eastAsia" w:ascii="宋体" w:hAnsi="宋体" w:eastAsia="宋体" w:cs="宋体"/>
          <w:sz w:val="24"/>
          <w:szCs w:val="24"/>
        </w:rPr>
      </w:pPr>
      <w:r>
        <w:rPr>
          <w:rFonts w:hint="eastAsia" w:ascii="宋体" w:hAnsi="宋体" w:eastAsia="宋体" w:cs="宋体"/>
          <w:sz w:val="24"/>
          <w:szCs w:val="24"/>
        </w:rPr>
        <w:t>搬运及摆放到位过程中，应持证上岗，安全、有序操作。所有发生的安全事故及交通事故（包括人员、车辆等），由成交供应商自行承担全部责任。</w:t>
      </w:r>
    </w:p>
    <w:p w14:paraId="306FD663">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九、安装调试要求</w:t>
      </w:r>
    </w:p>
    <w:p w14:paraId="536803C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1.成交供应商负责安装调试的仪器设备，重新安装后需再次进行性能测试，使仪器恢复搬迁前的运行状态（以仪器搬迁前双方签字确认的测试数据为依据），并出具双方签字认可的书面验收报告。</w:t>
      </w:r>
    </w:p>
    <w:p w14:paraId="00C3FD7A">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sz w:val="24"/>
          <w:szCs w:val="24"/>
        </w:rPr>
        <w:t>2.安装调试后，不能恢复到搬迁之前状态的仪器，由成交供应商进行维修，使仪器恢复至搬迁前状态，并对维修配件履行质保承诺，所产生的相关费用由成交供应商承担。</w:t>
      </w:r>
    </w:p>
    <w:p w14:paraId="031391A1">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十、安全要求</w:t>
      </w:r>
    </w:p>
    <w:p w14:paraId="1A80412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成交供应商应遵循有关管理规定，严格按照安全标准组织项目实施，并随时接受采购人安全检查人员的监督检查，采取必要的安全防护措施，消除事故隐患，</w:t>
      </w:r>
      <w:r>
        <w:rPr>
          <w:rFonts w:hint="eastAsia" w:ascii="宋体" w:hAnsi="宋体" w:eastAsia="宋体" w:cs="宋体"/>
          <w:b/>
          <w:sz w:val="24"/>
          <w:szCs w:val="24"/>
        </w:rPr>
        <w:t>由于成交供应商安全措施不力造成事故的责任和因此发生的费用，完全由成交供应商承担</w:t>
      </w:r>
      <w:r>
        <w:rPr>
          <w:rFonts w:hint="eastAsia" w:ascii="宋体" w:hAnsi="宋体" w:eastAsia="宋体" w:cs="宋体"/>
          <w:sz w:val="24"/>
          <w:szCs w:val="24"/>
        </w:rPr>
        <w:t>。</w:t>
      </w:r>
    </w:p>
    <w:p w14:paraId="5CF35251">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十一、责任与权力</w:t>
      </w:r>
    </w:p>
    <w:p w14:paraId="4ED3D214">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1.供应商负责为仪器设备购买保险，承担赔偿责任，避免搬运和运输过程所造的任何损坏，若损坏不属于保险公司的赔偿范围，则成交供应商应负责对采购人进行赔偿。</w:t>
      </w:r>
    </w:p>
    <w:p w14:paraId="11AB7AF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2.成交供应商负责为搬迁人员购买保险，承担赔偿责任，由于成交供应商安全措施不力造成人员事故的责任和因此发生的费用，完全由成交供应商承担。</w:t>
      </w:r>
    </w:p>
    <w:p w14:paraId="1D204E2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3.成交供应商负责提供搬运仪器设备所使用的包装材料、辅助工具和运输车辆等工具，负责将双方确认清单内旧实验室中所有仪器设备全部安全搬至采购人新实验室指定位置。</w:t>
      </w:r>
    </w:p>
    <w:p w14:paraId="5DF18C0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4.成交供应商负责组织技术人员到采购人新场地确认仪器安装条件是否到位，根据仪器实际情况制定搬迁方案。</w:t>
      </w:r>
    </w:p>
    <w:p w14:paraId="2D6FB4F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成交供应商负责仪器搬迁前组织技术人员对整体服务的仪器设备（含拆卸、打包、运、安装、调试等服务内容，下同）进行性能测试，并记录仪器测试数据，双方签字确认，作为仪器搬迁前后性能状态的判定依据。</w:t>
      </w:r>
    </w:p>
    <w:p w14:paraId="4C97193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成交供应商负责整体服务的仪器设备，确保仪器设备安装调试后仪器恢复搬迁前的运行状态（以仪器搬迁前双方签字确认的测试数据为依据），并出具双方签字认可的书面验收报告。安装调试后，不能恢复到搬迁之前状态的仪器，由成交供应商联系仪器设备厂家进行维修，使仪器恢复至搬迁前状态，并对维修配件履行质保承诺，所产生的相关费用由成交供应商承担。</w:t>
      </w:r>
    </w:p>
    <w:p w14:paraId="1B4DD9F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成交供应商仅负责打包、运输的仪器（仪器厂家负责拆卸、安装、调试）需在仪器厂家项目师的指导下完成对此类仪器的包装、运输工作，成交供应商应确保此类仪器搬运及摆放过程中不发生倾斜、摔落、剧烈震动等损坏仪器设备的行为，因设备打包、搬运、摆放过程中发生的仪器设备损坏事故由成交供应商负责。</w:t>
      </w:r>
    </w:p>
    <w:p w14:paraId="0245D38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8.成交供应商不能在双方协商的搬迁方案规定期限内完工，必须支付违约赔偿金（延误一天，扣除合同总价0.5%）给采购人，采购人还可以依法追究成交供应商的违约责任。</w:t>
      </w:r>
    </w:p>
    <w:p w14:paraId="2305103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9.设备搬运所涉及到的包装材料、运输车辆、装卸辅助工具等均由成交供应商提供，搬迁物品在包装、搬运、运输、摆放等所有过程中如有损坏、丢失等，造成损失均由成交供应商负全部责任。</w:t>
      </w:r>
    </w:p>
    <w:p w14:paraId="6FE59D5A">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10.供应商应做好搬运现场的保护工作，对于搬迁过程中涉及到的实施现场（如电梯、地面、墙面、道路、楼梯、门窗、家具等）做到有效保护，如现场有损坏，须立即通知采购人及有关单位，并由成交供应商负责修复费用。</w:t>
      </w:r>
    </w:p>
    <w:p w14:paraId="2CC9834F">
      <w:pPr>
        <w:spacing w:line="360" w:lineRule="auto"/>
        <w:ind w:firstLine="480" w:firstLineChars="200"/>
        <w:rPr>
          <w:rFonts w:hint="eastAsia" w:ascii="宋体" w:hAnsi="宋体" w:eastAsia="宋体" w:cs="宋体"/>
          <w:b/>
          <w:bCs/>
          <w:sz w:val="24"/>
          <w:szCs w:val="24"/>
        </w:rPr>
      </w:pPr>
      <w:r>
        <w:rPr>
          <w:rFonts w:hint="eastAsia" w:ascii="宋体" w:hAnsi="宋体" w:eastAsia="宋体" w:cs="宋体"/>
          <w:sz w:val="24"/>
          <w:szCs w:val="24"/>
        </w:rPr>
        <w:t>11.根据文明项目实施的要求，做好搬迁现场组织管理，保证现场清洁，道路畅通、器材堆放整齐，并即时清除垃圾和不用的临时设施，及时清理现场，包括清除打包、搬迁、包装拆除过程中产生的废弃物及其它堆积物，做到工完场清。</w:t>
      </w:r>
      <w:r>
        <w:rPr>
          <w:rFonts w:hint="eastAsia" w:ascii="宋体" w:hAnsi="宋体" w:eastAsia="宋体" w:cs="宋体"/>
          <w:b/>
          <w:bCs/>
          <w:sz w:val="24"/>
          <w:szCs w:val="24"/>
        </w:rPr>
        <w:t>整体搬迁服务结束前，新校区各实验室提供1次供保洁服务。</w:t>
      </w:r>
    </w:p>
    <w:p w14:paraId="20021FB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12.由成交供应商自身原因造成的停工、返工、材料、物件的倒运、机械二次进场，成交供应商必须严格遵守采购人制定的现场管理规定。</w:t>
      </w:r>
    </w:p>
    <w:p w14:paraId="6CA350D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13.供应商全权负责整个搬迁工作，包括但不限于：打包整理；运输安排；备案手续等。对接老师仅参与指导。</w:t>
      </w:r>
    </w:p>
    <w:p w14:paraId="21F6E52A">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十二、验收</w:t>
      </w:r>
    </w:p>
    <w:p w14:paraId="10C9BF6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1.仪器送达指定位置后，按《装箱单》逐项清点，确保数量和发运前一致。</w:t>
      </w:r>
    </w:p>
    <w:p w14:paraId="08B1A20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2.成交供应商负责整体服务的仪器设备，确保仪器设备安装调试后仪器恢复搬迁前的运行状态，以双方签字认可的书面验收报告作为验收依据。</w:t>
      </w:r>
    </w:p>
    <w:p w14:paraId="5626A089">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十三、服务承诺、培训承诺</w:t>
      </w:r>
    </w:p>
    <w:p w14:paraId="0881E4AE">
      <w:pPr>
        <w:spacing w:line="360" w:lineRule="auto"/>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1.仪器设备安装调试验收合格后，</w:t>
      </w:r>
      <w:r>
        <w:rPr>
          <w:rFonts w:hint="eastAsia" w:ascii="宋体" w:hAnsi="宋体" w:eastAsia="宋体" w:cs="宋体"/>
          <w:b/>
          <w:bCs/>
          <w:color w:val="000000"/>
          <w:sz w:val="24"/>
          <w:szCs w:val="24"/>
        </w:rPr>
        <w:t>质保期2个月，</w:t>
      </w:r>
      <w:r>
        <w:rPr>
          <w:rFonts w:hint="eastAsia" w:ascii="宋体" w:hAnsi="宋体" w:eastAsia="宋体" w:cs="宋体"/>
          <w:color w:val="000000"/>
          <w:sz w:val="24"/>
          <w:szCs w:val="24"/>
        </w:rPr>
        <w:t>耗材及需定期更换的消耗类配件不在质保范围。</w:t>
      </w:r>
    </w:p>
    <w:p w14:paraId="42BC725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2.质保期内48小时内响应。</w:t>
      </w:r>
    </w:p>
    <w:p w14:paraId="6522C8F8">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十四、报价要求</w:t>
      </w:r>
    </w:p>
    <w:p w14:paraId="01EACFDB">
      <w:pPr>
        <w:wordWrap w:val="0"/>
        <w:spacing w:line="440" w:lineRule="exact"/>
        <w:ind w:firstLine="437"/>
        <w:jc w:val="left"/>
        <w:rPr>
          <w:rFonts w:hint="eastAsia" w:ascii="宋体" w:hAnsi="宋体" w:eastAsia="宋体" w:cs="宋体"/>
          <w:color w:val="000000"/>
          <w:sz w:val="24"/>
          <w:szCs w:val="24"/>
        </w:rPr>
      </w:pPr>
      <w:r>
        <w:rPr>
          <w:rFonts w:hint="eastAsia" w:ascii="宋体" w:hAnsi="宋体" w:eastAsia="宋体" w:cs="宋体"/>
          <w:color w:val="000000"/>
          <w:sz w:val="24"/>
          <w:szCs w:val="24"/>
        </w:rPr>
        <w:t>本项目报总价，总价包含但不限于包装费、运输费、人工费、保险费、安装调试费、各种税费、售后服务费及完成项目应有的全部费用，中选后比选不再另行支付任何费用。</w:t>
      </w:r>
    </w:p>
    <w:p w14:paraId="0E7BFBB0">
      <w:pPr>
        <w:spacing w:line="360" w:lineRule="auto"/>
        <w:rPr>
          <w:rFonts w:hint="eastAsia" w:ascii="宋体" w:hAnsi="宋体" w:eastAsia="宋体" w:cs="宋体"/>
          <w:b/>
          <w:color w:val="FF0000"/>
          <w:sz w:val="24"/>
          <w:szCs w:val="24"/>
        </w:rPr>
      </w:pPr>
      <w:r>
        <w:rPr>
          <w:rFonts w:hint="eastAsia" w:ascii="宋体" w:hAnsi="宋体" w:eastAsia="宋体" w:cs="宋体"/>
          <w:color w:val="000000"/>
          <w:sz w:val="24"/>
          <w:szCs w:val="24"/>
        </w:rPr>
        <w:br w:type="page"/>
      </w:r>
      <w:r>
        <w:rPr>
          <w:rFonts w:hint="eastAsia" w:ascii="宋体" w:hAnsi="宋体" w:eastAsia="宋体" w:cs="宋体"/>
          <w:b/>
          <w:color w:val="FF0000"/>
          <w:sz w:val="24"/>
          <w:szCs w:val="24"/>
        </w:rPr>
        <w:t>附件1-预防医学实验教学中心搬迁统计表（详见本项目附件）</w:t>
      </w:r>
    </w:p>
    <w:p w14:paraId="40FF9A88">
      <w:pPr>
        <w:spacing w:line="360" w:lineRule="auto"/>
        <w:rPr>
          <w:rFonts w:hint="eastAsia" w:ascii="宋体" w:hAnsi="宋体" w:eastAsia="宋体" w:cs="宋体"/>
          <w:sz w:val="24"/>
          <w:szCs w:val="24"/>
        </w:rPr>
      </w:pPr>
      <w:r>
        <w:rPr>
          <w:rFonts w:hint="eastAsia" w:ascii="宋体" w:hAnsi="宋体" w:eastAsia="宋体" w:cs="宋体"/>
          <w:b/>
          <w:bCs/>
          <w:sz w:val="24"/>
          <w:szCs w:val="24"/>
        </w:rPr>
        <w:t>附件2：</w:t>
      </w:r>
    </w:p>
    <w:tbl>
      <w:tblPr>
        <w:tblStyle w:val="6"/>
        <w:tblW w:w="8618" w:type="dxa"/>
        <w:jc w:val="center"/>
        <w:tblLayout w:type="autofit"/>
        <w:tblCellMar>
          <w:top w:w="0" w:type="dxa"/>
          <w:left w:w="108" w:type="dxa"/>
          <w:bottom w:w="0" w:type="dxa"/>
          <w:right w:w="108" w:type="dxa"/>
        </w:tblCellMar>
      </w:tblPr>
      <w:tblGrid>
        <w:gridCol w:w="874"/>
        <w:gridCol w:w="3928"/>
        <w:gridCol w:w="3816"/>
      </w:tblGrid>
      <w:tr w14:paraId="1F8C62CC">
        <w:tblPrEx>
          <w:tblCellMar>
            <w:top w:w="0" w:type="dxa"/>
            <w:left w:w="108" w:type="dxa"/>
            <w:bottom w:w="0" w:type="dxa"/>
            <w:right w:w="108" w:type="dxa"/>
          </w:tblCellMar>
        </w:tblPrEx>
        <w:trPr>
          <w:trHeight w:val="720" w:hRule="atLeast"/>
          <w:jc w:val="center"/>
        </w:trPr>
        <w:tc>
          <w:tcPr>
            <w:tcW w:w="874" w:type="dxa"/>
            <w:tcBorders>
              <w:top w:val="single" w:color="auto" w:sz="4" w:space="0"/>
              <w:left w:val="single" w:color="auto" w:sz="4" w:space="0"/>
              <w:bottom w:val="single" w:color="auto" w:sz="4" w:space="0"/>
              <w:right w:val="single" w:color="auto" w:sz="4" w:space="0"/>
            </w:tcBorders>
            <w:noWrap w:val="0"/>
            <w:vAlign w:val="center"/>
          </w:tcPr>
          <w:p w14:paraId="418A3FF9">
            <w:pPr>
              <w:widowControl/>
              <w:jc w:val="center"/>
              <w:rPr>
                <w:rFonts w:hint="eastAsia" w:ascii="宋体" w:hAnsi="宋体" w:eastAsia="宋体" w:cs="宋体"/>
                <w:b/>
                <w:kern w:val="0"/>
                <w:sz w:val="24"/>
                <w:szCs w:val="24"/>
              </w:rPr>
            </w:pPr>
            <w:r>
              <w:rPr>
                <w:rFonts w:hint="eastAsia" w:ascii="宋体" w:hAnsi="宋体" w:eastAsia="宋体" w:cs="宋体"/>
                <w:b/>
                <w:kern w:val="0"/>
                <w:sz w:val="24"/>
                <w:szCs w:val="24"/>
              </w:rPr>
              <w:t>序号</w:t>
            </w:r>
          </w:p>
        </w:tc>
        <w:tc>
          <w:tcPr>
            <w:tcW w:w="3928" w:type="dxa"/>
            <w:tcBorders>
              <w:top w:val="single" w:color="auto" w:sz="4" w:space="0"/>
              <w:left w:val="single" w:color="auto" w:sz="4" w:space="0"/>
              <w:bottom w:val="single" w:color="auto" w:sz="4" w:space="0"/>
              <w:right w:val="single" w:color="auto" w:sz="4" w:space="0"/>
            </w:tcBorders>
            <w:noWrap w:val="0"/>
            <w:vAlign w:val="center"/>
          </w:tcPr>
          <w:p w14:paraId="629E2F41">
            <w:pPr>
              <w:widowControl/>
              <w:jc w:val="center"/>
              <w:rPr>
                <w:rFonts w:hint="eastAsia" w:ascii="宋体" w:hAnsi="宋体" w:eastAsia="宋体" w:cs="宋体"/>
                <w:b/>
                <w:kern w:val="0"/>
                <w:sz w:val="24"/>
                <w:szCs w:val="24"/>
              </w:rPr>
            </w:pPr>
            <w:r>
              <w:rPr>
                <w:rFonts w:hint="eastAsia" w:ascii="宋体" w:hAnsi="宋体" w:eastAsia="宋体" w:cs="宋体"/>
                <w:b/>
                <w:kern w:val="0"/>
                <w:sz w:val="24"/>
                <w:szCs w:val="24"/>
              </w:rPr>
              <w:t>设备名称</w:t>
            </w:r>
          </w:p>
        </w:tc>
        <w:tc>
          <w:tcPr>
            <w:tcW w:w="3816" w:type="dxa"/>
            <w:tcBorders>
              <w:top w:val="single" w:color="auto" w:sz="4" w:space="0"/>
              <w:left w:val="single" w:color="auto" w:sz="4" w:space="0"/>
              <w:bottom w:val="single" w:color="auto" w:sz="4" w:space="0"/>
              <w:right w:val="single" w:color="auto" w:sz="4" w:space="0"/>
            </w:tcBorders>
            <w:noWrap w:val="0"/>
            <w:vAlign w:val="center"/>
          </w:tcPr>
          <w:p w14:paraId="1E90C697">
            <w:pPr>
              <w:widowControl/>
              <w:jc w:val="center"/>
              <w:rPr>
                <w:rFonts w:hint="eastAsia" w:ascii="宋体" w:hAnsi="宋体" w:eastAsia="宋体" w:cs="宋体"/>
                <w:b/>
                <w:kern w:val="0"/>
                <w:sz w:val="24"/>
                <w:szCs w:val="24"/>
              </w:rPr>
            </w:pPr>
            <w:r>
              <w:rPr>
                <w:rFonts w:hint="eastAsia" w:ascii="宋体" w:hAnsi="宋体" w:eastAsia="宋体" w:cs="宋体"/>
                <w:b/>
                <w:kern w:val="0"/>
                <w:sz w:val="24"/>
                <w:szCs w:val="24"/>
              </w:rPr>
              <w:t>搬迁要求</w:t>
            </w:r>
          </w:p>
        </w:tc>
      </w:tr>
      <w:tr w14:paraId="2749DC18">
        <w:tblPrEx>
          <w:tblCellMar>
            <w:top w:w="0" w:type="dxa"/>
            <w:left w:w="108" w:type="dxa"/>
            <w:bottom w:w="0" w:type="dxa"/>
            <w:right w:w="108" w:type="dxa"/>
          </w:tblCellMar>
        </w:tblPrEx>
        <w:trPr>
          <w:trHeight w:val="720" w:hRule="atLeast"/>
          <w:jc w:val="center"/>
        </w:trPr>
        <w:tc>
          <w:tcPr>
            <w:tcW w:w="874" w:type="dxa"/>
            <w:tcBorders>
              <w:top w:val="single" w:color="auto" w:sz="4" w:space="0"/>
              <w:left w:val="single" w:color="auto" w:sz="4" w:space="0"/>
              <w:bottom w:val="single" w:color="auto" w:sz="4" w:space="0"/>
              <w:right w:val="single" w:color="auto" w:sz="4" w:space="0"/>
            </w:tcBorders>
            <w:noWrap w:val="0"/>
            <w:vAlign w:val="center"/>
          </w:tcPr>
          <w:p w14:paraId="6E4F774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3928" w:type="dxa"/>
            <w:tcBorders>
              <w:top w:val="single" w:color="auto" w:sz="4" w:space="0"/>
              <w:left w:val="single" w:color="auto" w:sz="4" w:space="0"/>
              <w:bottom w:val="single" w:color="auto" w:sz="4" w:space="0"/>
              <w:right w:val="single" w:color="auto" w:sz="4" w:space="0"/>
            </w:tcBorders>
            <w:noWrap w:val="0"/>
            <w:vAlign w:val="center"/>
          </w:tcPr>
          <w:p w14:paraId="7ACBCD6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原子吸收分光光度计</w:t>
            </w:r>
          </w:p>
        </w:tc>
        <w:tc>
          <w:tcPr>
            <w:tcW w:w="3816" w:type="dxa"/>
            <w:tcBorders>
              <w:top w:val="single" w:color="auto" w:sz="4" w:space="0"/>
              <w:left w:val="single" w:color="auto" w:sz="4" w:space="0"/>
              <w:bottom w:val="single" w:color="auto" w:sz="4" w:space="0"/>
              <w:right w:val="single" w:color="auto" w:sz="4" w:space="0"/>
            </w:tcBorders>
            <w:noWrap w:val="0"/>
            <w:vAlign w:val="center"/>
          </w:tcPr>
          <w:p w14:paraId="5DAD4959">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要</w:t>
            </w:r>
            <w:bookmarkStart w:id="6" w:name="OLE_LINK1"/>
            <w:bookmarkStart w:id="7" w:name="OLE_LINK2"/>
            <w:r>
              <w:rPr>
                <w:rFonts w:hint="eastAsia" w:ascii="宋体" w:hAnsi="宋体" w:eastAsia="宋体" w:cs="宋体"/>
                <w:kern w:val="0"/>
                <w:sz w:val="24"/>
                <w:szCs w:val="24"/>
              </w:rPr>
              <w:t>求原厂工程师或有原厂工作经历的工程师负责拆卸</w:t>
            </w:r>
            <w:bookmarkEnd w:id="6"/>
            <w:bookmarkEnd w:id="7"/>
          </w:p>
        </w:tc>
      </w:tr>
      <w:tr w14:paraId="7F22DCA8">
        <w:tblPrEx>
          <w:tblCellMar>
            <w:top w:w="0" w:type="dxa"/>
            <w:left w:w="108" w:type="dxa"/>
            <w:bottom w:w="0" w:type="dxa"/>
            <w:right w:w="108" w:type="dxa"/>
          </w:tblCellMar>
        </w:tblPrEx>
        <w:trPr>
          <w:trHeight w:val="720" w:hRule="atLeast"/>
          <w:jc w:val="center"/>
        </w:trPr>
        <w:tc>
          <w:tcPr>
            <w:tcW w:w="874" w:type="dxa"/>
            <w:tcBorders>
              <w:top w:val="nil"/>
              <w:left w:val="single" w:color="auto" w:sz="4" w:space="0"/>
              <w:bottom w:val="single" w:color="auto" w:sz="4" w:space="0"/>
              <w:right w:val="single" w:color="auto" w:sz="4" w:space="0"/>
            </w:tcBorders>
            <w:noWrap w:val="0"/>
            <w:vAlign w:val="center"/>
          </w:tcPr>
          <w:p w14:paraId="769CAC4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3928" w:type="dxa"/>
            <w:tcBorders>
              <w:top w:val="nil"/>
              <w:left w:val="single" w:color="auto" w:sz="4" w:space="0"/>
              <w:bottom w:val="single" w:color="auto" w:sz="4" w:space="0"/>
              <w:right w:val="single" w:color="auto" w:sz="4" w:space="0"/>
            </w:tcBorders>
            <w:noWrap w:val="0"/>
            <w:vAlign w:val="center"/>
          </w:tcPr>
          <w:p w14:paraId="6D436FF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石墨炉原子吸收</w:t>
            </w:r>
          </w:p>
        </w:tc>
        <w:tc>
          <w:tcPr>
            <w:tcW w:w="3816" w:type="dxa"/>
            <w:tcBorders>
              <w:top w:val="nil"/>
              <w:left w:val="single" w:color="auto" w:sz="4" w:space="0"/>
              <w:bottom w:val="single" w:color="auto" w:sz="4" w:space="0"/>
              <w:right w:val="single" w:color="auto" w:sz="4" w:space="0"/>
            </w:tcBorders>
            <w:noWrap w:val="0"/>
            <w:vAlign w:val="center"/>
          </w:tcPr>
          <w:p w14:paraId="0E4AE6BA">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要求原厂工程师或有原厂工作经历的工程师负责拆卸</w:t>
            </w:r>
          </w:p>
        </w:tc>
      </w:tr>
      <w:tr w14:paraId="3C91C7ED">
        <w:tblPrEx>
          <w:tblCellMar>
            <w:top w:w="0" w:type="dxa"/>
            <w:left w:w="108" w:type="dxa"/>
            <w:bottom w:w="0" w:type="dxa"/>
            <w:right w:w="108" w:type="dxa"/>
          </w:tblCellMar>
        </w:tblPrEx>
        <w:trPr>
          <w:trHeight w:val="720" w:hRule="atLeast"/>
          <w:jc w:val="center"/>
        </w:trPr>
        <w:tc>
          <w:tcPr>
            <w:tcW w:w="874" w:type="dxa"/>
            <w:tcBorders>
              <w:top w:val="nil"/>
              <w:left w:val="single" w:color="auto" w:sz="4" w:space="0"/>
              <w:bottom w:val="single" w:color="auto" w:sz="4" w:space="0"/>
              <w:right w:val="single" w:color="auto" w:sz="4" w:space="0"/>
            </w:tcBorders>
            <w:noWrap w:val="0"/>
            <w:vAlign w:val="center"/>
          </w:tcPr>
          <w:p w14:paraId="52533A7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3928" w:type="dxa"/>
            <w:tcBorders>
              <w:top w:val="nil"/>
              <w:left w:val="single" w:color="auto" w:sz="4" w:space="0"/>
              <w:bottom w:val="single" w:color="auto" w:sz="4" w:space="0"/>
              <w:right w:val="single" w:color="auto" w:sz="4" w:space="0"/>
            </w:tcBorders>
            <w:noWrap w:val="0"/>
            <w:vAlign w:val="center"/>
          </w:tcPr>
          <w:p w14:paraId="0365673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真空冷冻干燥系统</w:t>
            </w:r>
          </w:p>
        </w:tc>
        <w:tc>
          <w:tcPr>
            <w:tcW w:w="3816" w:type="dxa"/>
            <w:tcBorders>
              <w:top w:val="nil"/>
              <w:left w:val="single" w:color="auto" w:sz="4" w:space="0"/>
              <w:bottom w:val="single" w:color="auto" w:sz="4" w:space="0"/>
              <w:right w:val="single" w:color="auto" w:sz="4" w:space="0"/>
            </w:tcBorders>
            <w:noWrap w:val="0"/>
            <w:vAlign w:val="center"/>
          </w:tcPr>
          <w:p w14:paraId="5AFFDD74">
            <w:r>
              <w:rPr>
                <w:rFonts w:hint="eastAsia" w:ascii="宋体" w:hAnsi="宋体" w:eastAsia="宋体" w:cs="宋体"/>
                <w:kern w:val="0"/>
                <w:sz w:val="24"/>
                <w:szCs w:val="24"/>
              </w:rPr>
              <w:t>要求原厂工程师或有原厂工作经历的工程师负责拆卸</w:t>
            </w:r>
          </w:p>
        </w:tc>
      </w:tr>
      <w:tr w14:paraId="3AF47D85">
        <w:tblPrEx>
          <w:tblCellMar>
            <w:top w:w="0" w:type="dxa"/>
            <w:left w:w="108" w:type="dxa"/>
            <w:bottom w:w="0" w:type="dxa"/>
            <w:right w:w="108" w:type="dxa"/>
          </w:tblCellMar>
        </w:tblPrEx>
        <w:trPr>
          <w:trHeight w:val="720" w:hRule="atLeast"/>
          <w:jc w:val="center"/>
        </w:trPr>
        <w:tc>
          <w:tcPr>
            <w:tcW w:w="874" w:type="dxa"/>
            <w:tcBorders>
              <w:top w:val="nil"/>
              <w:left w:val="single" w:color="auto" w:sz="4" w:space="0"/>
              <w:bottom w:val="single" w:color="auto" w:sz="4" w:space="0"/>
              <w:right w:val="single" w:color="auto" w:sz="4" w:space="0"/>
            </w:tcBorders>
            <w:noWrap w:val="0"/>
            <w:vAlign w:val="center"/>
          </w:tcPr>
          <w:p w14:paraId="00D4A24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3928" w:type="dxa"/>
            <w:tcBorders>
              <w:top w:val="nil"/>
              <w:left w:val="single" w:color="auto" w:sz="4" w:space="0"/>
              <w:bottom w:val="single" w:color="auto" w:sz="4" w:space="0"/>
              <w:right w:val="single" w:color="auto" w:sz="4" w:space="0"/>
            </w:tcBorders>
            <w:noWrap w:val="0"/>
            <w:vAlign w:val="center"/>
          </w:tcPr>
          <w:p w14:paraId="50CC65D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原子荧光光谱仪</w:t>
            </w:r>
          </w:p>
        </w:tc>
        <w:tc>
          <w:tcPr>
            <w:tcW w:w="3816" w:type="dxa"/>
            <w:tcBorders>
              <w:top w:val="nil"/>
              <w:left w:val="single" w:color="auto" w:sz="4" w:space="0"/>
              <w:bottom w:val="single" w:color="auto" w:sz="4" w:space="0"/>
              <w:right w:val="single" w:color="auto" w:sz="4" w:space="0"/>
            </w:tcBorders>
            <w:noWrap w:val="0"/>
            <w:vAlign w:val="center"/>
          </w:tcPr>
          <w:p w14:paraId="145766C5">
            <w:r>
              <w:rPr>
                <w:rFonts w:hint="eastAsia" w:ascii="宋体" w:hAnsi="宋体" w:eastAsia="宋体" w:cs="宋体"/>
                <w:kern w:val="0"/>
                <w:sz w:val="24"/>
                <w:szCs w:val="24"/>
              </w:rPr>
              <w:t>要求原厂工程师或有原厂工作经历的工程师负责拆卸</w:t>
            </w:r>
          </w:p>
        </w:tc>
      </w:tr>
      <w:tr w14:paraId="413CEDCA">
        <w:tblPrEx>
          <w:tblCellMar>
            <w:top w:w="0" w:type="dxa"/>
            <w:left w:w="108" w:type="dxa"/>
            <w:bottom w:w="0" w:type="dxa"/>
            <w:right w:w="108" w:type="dxa"/>
          </w:tblCellMar>
        </w:tblPrEx>
        <w:trPr>
          <w:trHeight w:val="720" w:hRule="atLeast"/>
          <w:jc w:val="center"/>
        </w:trPr>
        <w:tc>
          <w:tcPr>
            <w:tcW w:w="874" w:type="dxa"/>
            <w:tcBorders>
              <w:top w:val="nil"/>
              <w:left w:val="single" w:color="auto" w:sz="4" w:space="0"/>
              <w:bottom w:val="single" w:color="auto" w:sz="4" w:space="0"/>
              <w:right w:val="single" w:color="auto" w:sz="4" w:space="0"/>
            </w:tcBorders>
            <w:noWrap w:val="0"/>
            <w:vAlign w:val="center"/>
          </w:tcPr>
          <w:p w14:paraId="176FCB5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3928" w:type="dxa"/>
            <w:tcBorders>
              <w:top w:val="nil"/>
              <w:left w:val="single" w:color="auto" w:sz="4" w:space="0"/>
              <w:bottom w:val="single" w:color="auto" w:sz="4" w:space="0"/>
              <w:right w:val="single" w:color="auto" w:sz="4" w:space="0"/>
            </w:tcBorders>
            <w:noWrap w:val="0"/>
            <w:vAlign w:val="center"/>
          </w:tcPr>
          <w:p w14:paraId="5D09630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原子荧光分光光度计</w:t>
            </w:r>
          </w:p>
        </w:tc>
        <w:tc>
          <w:tcPr>
            <w:tcW w:w="3816" w:type="dxa"/>
            <w:tcBorders>
              <w:top w:val="nil"/>
              <w:left w:val="single" w:color="auto" w:sz="4" w:space="0"/>
              <w:bottom w:val="single" w:color="auto" w:sz="4" w:space="0"/>
              <w:right w:val="single" w:color="auto" w:sz="4" w:space="0"/>
            </w:tcBorders>
            <w:noWrap w:val="0"/>
            <w:vAlign w:val="center"/>
          </w:tcPr>
          <w:p w14:paraId="18D96366">
            <w:r>
              <w:rPr>
                <w:rFonts w:hint="eastAsia" w:ascii="宋体" w:hAnsi="宋体" w:eastAsia="宋体" w:cs="宋体"/>
                <w:kern w:val="0"/>
                <w:sz w:val="24"/>
                <w:szCs w:val="24"/>
              </w:rPr>
              <w:t>要求原厂工程师或有原厂工作经历的工程师负责拆卸</w:t>
            </w:r>
          </w:p>
        </w:tc>
      </w:tr>
      <w:tr w14:paraId="1438D96D">
        <w:tblPrEx>
          <w:tblCellMar>
            <w:top w:w="0" w:type="dxa"/>
            <w:left w:w="108" w:type="dxa"/>
            <w:bottom w:w="0" w:type="dxa"/>
            <w:right w:w="108" w:type="dxa"/>
          </w:tblCellMar>
        </w:tblPrEx>
        <w:trPr>
          <w:trHeight w:val="720" w:hRule="atLeast"/>
          <w:jc w:val="center"/>
        </w:trPr>
        <w:tc>
          <w:tcPr>
            <w:tcW w:w="874" w:type="dxa"/>
            <w:tcBorders>
              <w:top w:val="nil"/>
              <w:left w:val="single" w:color="auto" w:sz="4" w:space="0"/>
              <w:bottom w:val="single" w:color="auto" w:sz="4" w:space="0"/>
              <w:right w:val="single" w:color="auto" w:sz="4" w:space="0"/>
            </w:tcBorders>
            <w:noWrap w:val="0"/>
            <w:vAlign w:val="center"/>
          </w:tcPr>
          <w:p w14:paraId="270C5C6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c>
          <w:tcPr>
            <w:tcW w:w="3928" w:type="dxa"/>
            <w:tcBorders>
              <w:top w:val="nil"/>
              <w:left w:val="single" w:color="auto" w:sz="4" w:space="0"/>
              <w:bottom w:val="single" w:color="auto" w:sz="4" w:space="0"/>
              <w:right w:val="single" w:color="auto" w:sz="4" w:space="0"/>
            </w:tcBorders>
            <w:noWrap w:val="0"/>
            <w:vAlign w:val="center"/>
          </w:tcPr>
          <w:p w14:paraId="390BE4F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高效液相色谱</w:t>
            </w:r>
          </w:p>
        </w:tc>
        <w:tc>
          <w:tcPr>
            <w:tcW w:w="3816" w:type="dxa"/>
            <w:tcBorders>
              <w:top w:val="nil"/>
              <w:left w:val="single" w:color="auto" w:sz="4" w:space="0"/>
              <w:bottom w:val="single" w:color="auto" w:sz="4" w:space="0"/>
              <w:right w:val="single" w:color="auto" w:sz="4" w:space="0"/>
            </w:tcBorders>
            <w:noWrap w:val="0"/>
            <w:vAlign w:val="center"/>
          </w:tcPr>
          <w:p w14:paraId="77144F91">
            <w:r>
              <w:rPr>
                <w:rFonts w:hint="eastAsia" w:ascii="宋体" w:hAnsi="宋体" w:eastAsia="宋体" w:cs="宋体"/>
                <w:kern w:val="0"/>
                <w:sz w:val="24"/>
                <w:szCs w:val="24"/>
              </w:rPr>
              <w:t>要求原厂工程师或有原厂工作经历的工程师负责拆卸</w:t>
            </w:r>
          </w:p>
        </w:tc>
      </w:tr>
      <w:tr w14:paraId="0D38BDB7">
        <w:tblPrEx>
          <w:tblCellMar>
            <w:top w:w="0" w:type="dxa"/>
            <w:left w:w="108" w:type="dxa"/>
            <w:bottom w:w="0" w:type="dxa"/>
            <w:right w:w="108" w:type="dxa"/>
          </w:tblCellMar>
        </w:tblPrEx>
        <w:trPr>
          <w:trHeight w:val="720" w:hRule="atLeast"/>
          <w:jc w:val="center"/>
        </w:trPr>
        <w:tc>
          <w:tcPr>
            <w:tcW w:w="874" w:type="dxa"/>
            <w:tcBorders>
              <w:top w:val="nil"/>
              <w:left w:val="single" w:color="auto" w:sz="4" w:space="0"/>
              <w:bottom w:val="single" w:color="auto" w:sz="4" w:space="0"/>
              <w:right w:val="single" w:color="auto" w:sz="4" w:space="0"/>
            </w:tcBorders>
            <w:noWrap w:val="0"/>
            <w:vAlign w:val="center"/>
          </w:tcPr>
          <w:p w14:paraId="515444A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7</w:t>
            </w:r>
          </w:p>
        </w:tc>
        <w:tc>
          <w:tcPr>
            <w:tcW w:w="3928" w:type="dxa"/>
            <w:tcBorders>
              <w:top w:val="nil"/>
              <w:left w:val="single" w:color="auto" w:sz="4" w:space="0"/>
              <w:bottom w:val="single" w:color="auto" w:sz="4" w:space="0"/>
              <w:right w:val="single" w:color="auto" w:sz="4" w:space="0"/>
            </w:tcBorders>
            <w:noWrap w:val="0"/>
            <w:vAlign w:val="center"/>
          </w:tcPr>
          <w:p w14:paraId="7AC2C90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离子色谱仪</w:t>
            </w:r>
          </w:p>
        </w:tc>
        <w:tc>
          <w:tcPr>
            <w:tcW w:w="3816" w:type="dxa"/>
            <w:tcBorders>
              <w:top w:val="nil"/>
              <w:left w:val="single" w:color="auto" w:sz="4" w:space="0"/>
              <w:bottom w:val="single" w:color="auto" w:sz="4" w:space="0"/>
              <w:right w:val="single" w:color="auto" w:sz="4" w:space="0"/>
            </w:tcBorders>
            <w:noWrap w:val="0"/>
            <w:vAlign w:val="center"/>
          </w:tcPr>
          <w:p w14:paraId="77653DE9">
            <w:r>
              <w:rPr>
                <w:rFonts w:hint="eastAsia" w:ascii="宋体" w:hAnsi="宋体" w:eastAsia="宋体" w:cs="宋体"/>
                <w:kern w:val="0"/>
                <w:sz w:val="24"/>
                <w:szCs w:val="24"/>
              </w:rPr>
              <w:t>要求原厂工程师或有原厂工作经历的工程师负责拆卸</w:t>
            </w:r>
          </w:p>
        </w:tc>
      </w:tr>
      <w:tr w14:paraId="6BA8A21D">
        <w:tblPrEx>
          <w:tblCellMar>
            <w:top w:w="0" w:type="dxa"/>
            <w:left w:w="108" w:type="dxa"/>
            <w:bottom w:w="0" w:type="dxa"/>
            <w:right w:w="108" w:type="dxa"/>
          </w:tblCellMar>
        </w:tblPrEx>
        <w:trPr>
          <w:trHeight w:val="720" w:hRule="atLeast"/>
          <w:jc w:val="center"/>
        </w:trPr>
        <w:tc>
          <w:tcPr>
            <w:tcW w:w="874" w:type="dxa"/>
            <w:tcBorders>
              <w:top w:val="nil"/>
              <w:left w:val="single" w:color="auto" w:sz="4" w:space="0"/>
              <w:bottom w:val="single" w:color="auto" w:sz="4" w:space="0"/>
              <w:right w:val="single" w:color="auto" w:sz="4" w:space="0"/>
            </w:tcBorders>
            <w:noWrap w:val="0"/>
            <w:vAlign w:val="center"/>
          </w:tcPr>
          <w:p w14:paraId="7745176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8</w:t>
            </w:r>
          </w:p>
        </w:tc>
        <w:tc>
          <w:tcPr>
            <w:tcW w:w="3928" w:type="dxa"/>
            <w:tcBorders>
              <w:top w:val="nil"/>
              <w:left w:val="single" w:color="auto" w:sz="4" w:space="0"/>
              <w:bottom w:val="single" w:color="auto" w:sz="4" w:space="0"/>
              <w:right w:val="single" w:color="auto" w:sz="4" w:space="0"/>
            </w:tcBorders>
            <w:noWrap w:val="0"/>
            <w:vAlign w:val="center"/>
          </w:tcPr>
          <w:p w14:paraId="5D89BA4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酶标仪</w:t>
            </w:r>
          </w:p>
        </w:tc>
        <w:tc>
          <w:tcPr>
            <w:tcW w:w="3816" w:type="dxa"/>
            <w:tcBorders>
              <w:top w:val="nil"/>
              <w:left w:val="single" w:color="auto" w:sz="4" w:space="0"/>
              <w:bottom w:val="single" w:color="auto" w:sz="4" w:space="0"/>
              <w:right w:val="single" w:color="auto" w:sz="4" w:space="0"/>
            </w:tcBorders>
            <w:noWrap w:val="0"/>
            <w:vAlign w:val="center"/>
          </w:tcPr>
          <w:p w14:paraId="3D5CB890">
            <w:r>
              <w:rPr>
                <w:rFonts w:hint="eastAsia" w:ascii="宋体" w:hAnsi="宋体" w:eastAsia="宋体" w:cs="宋体"/>
                <w:kern w:val="0"/>
                <w:sz w:val="24"/>
                <w:szCs w:val="24"/>
              </w:rPr>
              <w:t>要求原厂工程师或有原厂工作经历的工程师负责拆卸</w:t>
            </w:r>
          </w:p>
        </w:tc>
      </w:tr>
      <w:tr w14:paraId="052375AE">
        <w:tblPrEx>
          <w:tblCellMar>
            <w:top w:w="0" w:type="dxa"/>
            <w:left w:w="108" w:type="dxa"/>
            <w:bottom w:w="0" w:type="dxa"/>
            <w:right w:w="108" w:type="dxa"/>
          </w:tblCellMar>
        </w:tblPrEx>
        <w:trPr>
          <w:trHeight w:val="720" w:hRule="atLeast"/>
          <w:jc w:val="center"/>
        </w:trPr>
        <w:tc>
          <w:tcPr>
            <w:tcW w:w="874" w:type="dxa"/>
            <w:tcBorders>
              <w:top w:val="nil"/>
              <w:left w:val="single" w:color="auto" w:sz="4" w:space="0"/>
              <w:bottom w:val="single" w:color="auto" w:sz="4" w:space="0"/>
              <w:right w:val="single" w:color="auto" w:sz="4" w:space="0"/>
            </w:tcBorders>
            <w:noWrap w:val="0"/>
            <w:vAlign w:val="center"/>
          </w:tcPr>
          <w:p w14:paraId="181A38B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9</w:t>
            </w:r>
          </w:p>
        </w:tc>
        <w:tc>
          <w:tcPr>
            <w:tcW w:w="3928" w:type="dxa"/>
            <w:tcBorders>
              <w:top w:val="nil"/>
              <w:left w:val="single" w:color="auto" w:sz="4" w:space="0"/>
              <w:bottom w:val="single" w:color="auto" w:sz="4" w:space="0"/>
              <w:right w:val="single" w:color="auto" w:sz="4" w:space="0"/>
            </w:tcBorders>
            <w:noWrap w:val="0"/>
            <w:vAlign w:val="center"/>
          </w:tcPr>
          <w:p w14:paraId="61A16D8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离心机</w:t>
            </w:r>
          </w:p>
        </w:tc>
        <w:tc>
          <w:tcPr>
            <w:tcW w:w="3816" w:type="dxa"/>
            <w:tcBorders>
              <w:top w:val="nil"/>
              <w:left w:val="single" w:color="auto" w:sz="4" w:space="0"/>
              <w:bottom w:val="single" w:color="auto" w:sz="4" w:space="0"/>
              <w:right w:val="single" w:color="auto" w:sz="4" w:space="0"/>
            </w:tcBorders>
            <w:noWrap w:val="0"/>
            <w:vAlign w:val="center"/>
          </w:tcPr>
          <w:p w14:paraId="5E1D7379">
            <w:r>
              <w:rPr>
                <w:rFonts w:hint="eastAsia" w:ascii="宋体" w:hAnsi="宋体" w:eastAsia="宋体" w:cs="宋体"/>
                <w:kern w:val="0"/>
                <w:sz w:val="24"/>
                <w:szCs w:val="24"/>
              </w:rPr>
              <w:t>要求原厂工程师或有原厂工作经历的工程师负责拆卸</w:t>
            </w:r>
          </w:p>
        </w:tc>
      </w:tr>
      <w:tr w14:paraId="43AF22D7">
        <w:tblPrEx>
          <w:tblCellMar>
            <w:top w:w="0" w:type="dxa"/>
            <w:left w:w="108" w:type="dxa"/>
            <w:bottom w:w="0" w:type="dxa"/>
            <w:right w:w="108" w:type="dxa"/>
          </w:tblCellMar>
        </w:tblPrEx>
        <w:trPr>
          <w:trHeight w:val="720" w:hRule="atLeast"/>
          <w:jc w:val="center"/>
        </w:trPr>
        <w:tc>
          <w:tcPr>
            <w:tcW w:w="874" w:type="dxa"/>
            <w:tcBorders>
              <w:top w:val="nil"/>
              <w:left w:val="single" w:color="auto" w:sz="4" w:space="0"/>
              <w:bottom w:val="single" w:color="auto" w:sz="4" w:space="0"/>
              <w:right w:val="single" w:color="auto" w:sz="4" w:space="0"/>
            </w:tcBorders>
            <w:noWrap w:val="0"/>
            <w:vAlign w:val="center"/>
          </w:tcPr>
          <w:p w14:paraId="16E838B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10</w:t>
            </w:r>
          </w:p>
        </w:tc>
        <w:tc>
          <w:tcPr>
            <w:tcW w:w="3928" w:type="dxa"/>
            <w:tcBorders>
              <w:top w:val="nil"/>
              <w:left w:val="single" w:color="auto" w:sz="4" w:space="0"/>
              <w:bottom w:val="single" w:color="auto" w:sz="4" w:space="0"/>
              <w:right w:val="single" w:color="auto" w:sz="4" w:space="0"/>
            </w:tcBorders>
            <w:noWrap w:val="0"/>
            <w:vAlign w:val="center"/>
          </w:tcPr>
          <w:p w14:paraId="2DF9D0D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超纯水仪</w:t>
            </w:r>
          </w:p>
        </w:tc>
        <w:tc>
          <w:tcPr>
            <w:tcW w:w="3816" w:type="dxa"/>
            <w:tcBorders>
              <w:top w:val="nil"/>
              <w:left w:val="single" w:color="auto" w:sz="4" w:space="0"/>
              <w:bottom w:val="single" w:color="auto" w:sz="4" w:space="0"/>
              <w:right w:val="single" w:color="auto" w:sz="4" w:space="0"/>
            </w:tcBorders>
            <w:noWrap w:val="0"/>
            <w:vAlign w:val="center"/>
          </w:tcPr>
          <w:p w14:paraId="6CEDB5C4">
            <w:r>
              <w:rPr>
                <w:rFonts w:hint="eastAsia" w:ascii="宋体" w:hAnsi="宋体" w:eastAsia="宋体" w:cs="宋体"/>
                <w:kern w:val="0"/>
                <w:sz w:val="24"/>
                <w:szCs w:val="24"/>
              </w:rPr>
              <w:t>要求原厂工程师或有原厂工作经历的工程师负责拆卸</w:t>
            </w:r>
          </w:p>
        </w:tc>
      </w:tr>
      <w:tr w14:paraId="50EF54F5">
        <w:tblPrEx>
          <w:tblCellMar>
            <w:top w:w="0" w:type="dxa"/>
            <w:left w:w="108" w:type="dxa"/>
            <w:bottom w:w="0" w:type="dxa"/>
            <w:right w:w="108" w:type="dxa"/>
          </w:tblCellMar>
        </w:tblPrEx>
        <w:trPr>
          <w:trHeight w:val="720" w:hRule="atLeast"/>
          <w:jc w:val="center"/>
        </w:trPr>
        <w:tc>
          <w:tcPr>
            <w:tcW w:w="874" w:type="dxa"/>
            <w:tcBorders>
              <w:top w:val="nil"/>
              <w:left w:val="single" w:color="auto" w:sz="4" w:space="0"/>
              <w:bottom w:val="single" w:color="auto" w:sz="4" w:space="0"/>
              <w:right w:val="single" w:color="auto" w:sz="4" w:space="0"/>
            </w:tcBorders>
            <w:noWrap w:val="0"/>
            <w:vAlign w:val="center"/>
          </w:tcPr>
          <w:p w14:paraId="3C22947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11</w:t>
            </w:r>
          </w:p>
        </w:tc>
        <w:tc>
          <w:tcPr>
            <w:tcW w:w="3928" w:type="dxa"/>
            <w:tcBorders>
              <w:top w:val="nil"/>
              <w:left w:val="single" w:color="auto" w:sz="4" w:space="0"/>
              <w:bottom w:val="single" w:color="auto" w:sz="4" w:space="0"/>
              <w:right w:val="single" w:color="auto" w:sz="4" w:space="0"/>
            </w:tcBorders>
            <w:noWrap w:val="0"/>
            <w:vAlign w:val="center"/>
          </w:tcPr>
          <w:p w14:paraId="4FCF6D7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监控报警系统</w:t>
            </w:r>
          </w:p>
        </w:tc>
        <w:tc>
          <w:tcPr>
            <w:tcW w:w="3816" w:type="dxa"/>
            <w:tcBorders>
              <w:top w:val="nil"/>
              <w:left w:val="single" w:color="auto" w:sz="4" w:space="0"/>
              <w:bottom w:val="single" w:color="auto" w:sz="4" w:space="0"/>
              <w:right w:val="single" w:color="auto" w:sz="4" w:space="0"/>
            </w:tcBorders>
            <w:noWrap w:val="0"/>
            <w:vAlign w:val="center"/>
          </w:tcPr>
          <w:p w14:paraId="2A2B30D9">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要求原厂技术员拆卸</w:t>
            </w:r>
          </w:p>
        </w:tc>
      </w:tr>
    </w:tbl>
    <w:p w14:paraId="4D858A56">
      <w:bookmarkStart w:id="8" w:name="_GoBack"/>
      <w:bookmarkEnd w:id="8"/>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简标宋">
    <w:altName w:val="@微软雅黑"/>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F0FAC5"/>
    <w:multiLevelType w:val="singleLevel"/>
    <w:tmpl w:val="C1F0FAC5"/>
    <w:lvl w:ilvl="0" w:tentative="0">
      <w:start w:val="1"/>
      <w:numFmt w:val="decimal"/>
      <w:lvlText w:val="%1."/>
      <w:lvlJc w:val="left"/>
      <w:pPr>
        <w:ind w:left="425" w:hanging="425"/>
      </w:pPr>
      <w:rPr>
        <w:rFonts w:hint="default"/>
      </w:rPr>
    </w:lvl>
  </w:abstractNum>
  <w:abstractNum w:abstractNumId="1">
    <w:nsid w:val="00918DF1"/>
    <w:multiLevelType w:val="singleLevel"/>
    <w:tmpl w:val="00918DF1"/>
    <w:lvl w:ilvl="0" w:tentative="0">
      <w:start w:val="8"/>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D3281"/>
    <w:rsid w:val="67DD3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微软简标宋" w:hAnsi="@微软简标宋" w:eastAsia="@微软简标宋" w:cs="@微软简标宋"/>
      <w:szCs w:val="24"/>
      <w:lang w:val="zh-CN"/>
    </w:rPr>
  </w:style>
  <w:style w:type="paragraph" w:styleId="3">
    <w:name w:val="toc 2"/>
    <w:basedOn w:val="1"/>
    <w:next w:val="1"/>
    <w:unhideWhenUsed/>
    <w:qFormat/>
    <w:uiPriority w:val="39"/>
    <w:pPr>
      <w:widowControl/>
      <w:spacing w:after="100" w:line="276" w:lineRule="auto"/>
      <w:ind w:left="220"/>
      <w:jc w:val="left"/>
    </w:pPr>
    <w:rPr>
      <w:rFonts w:ascii="Calibri" w:hAnsi="Calibri" w:eastAsia="宋体" w:cs="黑体"/>
      <w:kern w:val="0"/>
      <w:sz w:val="22"/>
      <w:szCs w:val="22"/>
    </w:rPr>
  </w:style>
  <w:style w:type="paragraph" w:styleId="4">
    <w:name w:val="annotation text"/>
    <w:basedOn w:val="1"/>
    <w:unhideWhenUsed/>
    <w:qFormat/>
    <w:uiPriority w:val="99"/>
    <w:pPr>
      <w:jc w:val="left"/>
    </w:pPr>
    <w:rPr>
      <w:rFonts w:ascii="宋体" w:hAnsi="宋体" w:eastAsia="宋体"/>
    </w:rPr>
  </w:style>
  <w:style w:type="paragraph" w:styleId="5">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D&amp;L"/>
    <w:basedOn w:val="5"/>
    <w:qFormat/>
    <w:uiPriority w:val="0"/>
    <w:pPr>
      <w:pBdr>
        <w:bottom w:val="none" w:color="auto" w:sz="0" w:space="0"/>
      </w:pBdr>
      <w:wordWrap w:val="0"/>
      <w:snapToGrid/>
      <w:spacing w:line="360" w:lineRule="auto"/>
    </w:pPr>
    <w:rPr>
      <w:rFonts w:ascii="宋体" w:hAnsi="宋体" w:eastAsia="宋体"/>
      <w:bCs/>
      <w:sz w:val="24"/>
      <w:szCs w:val="20"/>
    </w:rPr>
  </w:style>
  <w:style w:type="paragraph" w:customStyle="1" w:styleId="9">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2025-07-30T02:46:00Z</dcterms:created>
  <dc:creator>森</dc:creator>
  <cp:lastModifiedBy>森</cp:lastModifiedBy>
  <dcterms:modified xsi:type="dcterms:W3CDTF">2025-07-30T02:46:23Z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395CD07CBA1046F7AAF310624D916049_11</vt:lpwstr>
  </property>
  <property fmtid="{D5CDD505-2E9C-101B-9397-08002B2CF9AE}" pid="4" name="KSOTemplateDocerSaveRecord">
    <vt:lpwstr>eyJoZGlkIjoiOTc3M2Y5NzIzMDFlZjAyY2Q4Njk5ODkyYjFjNzBiNTQiLCJ1c2VySWQiOiI0MzAwMTYzNzkifQ==</vt:lpwstr>
  </property>
</Properties>
</file>