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B7EDCB">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63A157E4">
      <w:pPr>
        <w:wordWrap w:val="0"/>
        <w:spacing w:line="440" w:lineRule="exact"/>
        <w:jc w:val="left"/>
        <w:rPr>
          <w:rFonts w:ascii="宋体" w:hAnsi="宋体" w:eastAsia="宋体"/>
          <w:b/>
          <w:sz w:val="24"/>
        </w:rPr>
      </w:pPr>
      <w:r>
        <w:rPr>
          <w:rFonts w:hint="eastAsia" w:ascii="宋体" w:hAnsi="宋体" w:eastAsia="宋体"/>
          <w:b/>
          <w:sz w:val="24"/>
        </w:rPr>
        <w:t>前注：</w:t>
      </w:r>
    </w:p>
    <w:p w14:paraId="78C763F0">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039A0329">
      <w:pPr>
        <w:spacing w:line="360" w:lineRule="auto"/>
        <w:ind w:firstLine="482" w:firstLineChars="200"/>
        <w:rPr>
          <w:rFonts w:hint="eastAsia" w:ascii="宋体" w:hAnsi="宋体" w:eastAsia="宋体" w:cs="宋体"/>
          <w:b/>
          <w:bCs/>
          <w:sz w:val="24"/>
          <w:szCs w:val="24"/>
        </w:rPr>
      </w:pPr>
    </w:p>
    <w:p w14:paraId="2550303C">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4609F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noWrap w:val="0"/>
            <w:vAlign w:val="center"/>
          </w:tcPr>
          <w:p w14:paraId="358F4611">
            <w:pPr>
              <w:pStyle w:val="6"/>
              <w:spacing w:line="240" w:lineRule="auto"/>
              <w:rPr>
                <w:b/>
                <w:bCs w:val="0"/>
              </w:rPr>
            </w:pPr>
            <w:r>
              <w:rPr>
                <w:rFonts w:hint="eastAsia"/>
                <w:b/>
                <w:bCs w:val="0"/>
              </w:rPr>
              <w:t>序号</w:t>
            </w:r>
          </w:p>
        </w:tc>
        <w:tc>
          <w:tcPr>
            <w:tcW w:w="2025" w:type="dxa"/>
            <w:noWrap w:val="0"/>
            <w:vAlign w:val="center"/>
          </w:tcPr>
          <w:p w14:paraId="035C7ED9">
            <w:pPr>
              <w:pStyle w:val="7"/>
              <w:widowControl w:val="0"/>
              <w:wordWrap w:val="0"/>
              <w:spacing w:before="0" w:beforeAutospacing="0" w:after="0" w:afterAutospacing="0" w:line="240" w:lineRule="auto"/>
              <w:rPr>
                <w:rFonts w:ascii="宋体" w:hAnsi="宋体" w:eastAsia="宋体"/>
                <w:b/>
                <w:bCs w:val="0"/>
                <w:sz w:val="24"/>
              </w:rPr>
            </w:pPr>
            <w:r>
              <w:rPr>
                <w:rFonts w:hint="eastAsia" w:ascii="宋体" w:hAnsi="宋体" w:eastAsia="宋体"/>
                <w:b/>
                <w:bCs w:val="0"/>
                <w:sz w:val="24"/>
              </w:rPr>
              <w:t>内容</w:t>
            </w:r>
          </w:p>
        </w:tc>
        <w:tc>
          <w:tcPr>
            <w:tcW w:w="5466" w:type="dxa"/>
            <w:noWrap w:val="0"/>
            <w:vAlign w:val="center"/>
          </w:tcPr>
          <w:p w14:paraId="0F9834BE">
            <w:pPr>
              <w:pStyle w:val="7"/>
              <w:widowControl w:val="0"/>
              <w:wordWrap w:val="0"/>
              <w:spacing w:before="0" w:beforeAutospacing="0" w:after="0" w:afterAutospacing="0" w:line="240" w:lineRule="auto"/>
              <w:rPr>
                <w:rFonts w:ascii="宋体" w:hAnsi="宋体" w:eastAsia="宋体"/>
                <w:bCs w:val="0"/>
                <w:sz w:val="24"/>
              </w:rPr>
            </w:pPr>
            <w:r>
              <w:rPr>
                <w:rFonts w:hint="eastAsia" w:ascii="宋体" w:hAnsi="宋体" w:eastAsia="宋体"/>
                <w:bCs w:val="0"/>
                <w:sz w:val="24"/>
              </w:rPr>
              <w:t>说明与要求</w:t>
            </w:r>
          </w:p>
        </w:tc>
      </w:tr>
      <w:tr w14:paraId="53440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7C4D01C">
            <w:pPr>
              <w:pStyle w:val="6"/>
              <w:spacing w:line="240" w:lineRule="auto"/>
              <w:rPr>
                <w:rFonts w:hint="eastAsia" w:ascii="宋体" w:hAnsi="宋体" w:eastAsia="宋体" w:cs="宋体"/>
              </w:rPr>
            </w:pPr>
            <w:r>
              <w:rPr>
                <w:rFonts w:hint="eastAsia" w:ascii="宋体" w:hAnsi="宋体" w:eastAsia="宋体" w:cs="宋体"/>
              </w:rPr>
              <w:t>1</w:t>
            </w:r>
          </w:p>
        </w:tc>
        <w:tc>
          <w:tcPr>
            <w:tcW w:w="2025" w:type="dxa"/>
            <w:noWrap w:val="0"/>
            <w:vAlign w:val="center"/>
          </w:tcPr>
          <w:p w14:paraId="410463F9">
            <w:pPr>
              <w:pStyle w:val="7"/>
              <w:widowControl w:val="0"/>
              <w:spacing w:before="0" w:beforeAutospacing="0" w:after="0" w:afterAutospacing="0" w:line="360" w:lineRule="auto"/>
              <w:rPr>
                <w:rFonts w:hint="eastAsia" w:ascii="宋体" w:hAnsi="宋体" w:eastAsia="宋体" w:cs="宋体"/>
                <w:b w:val="0"/>
                <w:sz w:val="24"/>
              </w:rPr>
            </w:pPr>
            <w:r>
              <w:rPr>
                <w:rFonts w:hint="eastAsia" w:ascii="宋体" w:hAnsi="宋体" w:eastAsia="宋体" w:cs="宋体"/>
                <w:b w:val="0"/>
                <w:sz w:val="24"/>
              </w:rPr>
              <w:t>付款方式</w:t>
            </w:r>
          </w:p>
        </w:tc>
        <w:tc>
          <w:tcPr>
            <w:tcW w:w="5466" w:type="dxa"/>
            <w:noWrap w:val="0"/>
            <w:vAlign w:val="center"/>
          </w:tcPr>
          <w:p w14:paraId="25FBE28C">
            <w:pPr>
              <w:pStyle w:val="7"/>
              <w:widowControl w:val="0"/>
              <w:spacing w:before="0" w:beforeAutospacing="0" w:after="0" w:afterAutospacing="0" w:line="360" w:lineRule="auto"/>
              <w:jc w:val="both"/>
              <w:rPr>
                <w:rFonts w:hint="eastAsia" w:ascii="宋体" w:hAnsi="宋体" w:eastAsia="宋体" w:cs="宋体"/>
                <w:bCs w:val="0"/>
                <w:kern w:val="0"/>
                <w:sz w:val="24"/>
                <w:szCs w:val="24"/>
              </w:rPr>
            </w:pPr>
            <w:r>
              <w:rPr>
                <w:rFonts w:hint="eastAsia" w:ascii="宋体" w:hAnsi="宋体" w:eastAsia="宋体" w:cs="宋体"/>
                <w:b w:val="0"/>
                <w:sz w:val="24"/>
              </w:rPr>
              <w:t>项目完成，搬迁物品数量清点无误，采购人确认物品完好后一次性支付合同金额。</w:t>
            </w:r>
          </w:p>
        </w:tc>
      </w:tr>
      <w:tr w14:paraId="654E1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92F3678">
            <w:pPr>
              <w:pStyle w:val="6"/>
              <w:spacing w:line="240" w:lineRule="auto"/>
              <w:rPr>
                <w:rFonts w:hint="eastAsia" w:ascii="宋体" w:hAnsi="宋体" w:eastAsia="宋体" w:cs="宋体"/>
              </w:rPr>
            </w:pPr>
            <w:r>
              <w:rPr>
                <w:rFonts w:hint="eastAsia" w:ascii="宋体" w:hAnsi="宋体" w:eastAsia="宋体" w:cs="宋体"/>
              </w:rPr>
              <w:t>2</w:t>
            </w:r>
          </w:p>
        </w:tc>
        <w:tc>
          <w:tcPr>
            <w:tcW w:w="2025" w:type="dxa"/>
            <w:noWrap w:val="0"/>
            <w:vAlign w:val="center"/>
          </w:tcPr>
          <w:p w14:paraId="445519D0">
            <w:pPr>
              <w:pStyle w:val="7"/>
              <w:widowControl w:val="0"/>
              <w:spacing w:before="0" w:beforeAutospacing="0" w:after="0" w:afterAutospacing="0" w:line="360" w:lineRule="auto"/>
              <w:rPr>
                <w:rFonts w:hint="eastAsia" w:ascii="宋体" w:hAnsi="宋体" w:eastAsia="宋体" w:cs="宋体"/>
                <w:b w:val="0"/>
                <w:sz w:val="24"/>
              </w:rPr>
            </w:pPr>
            <w:r>
              <w:rPr>
                <w:rFonts w:hint="eastAsia" w:ascii="宋体" w:hAnsi="宋体" w:eastAsia="宋体" w:cs="宋体"/>
                <w:b w:val="0"/>
                <w:sz w:val="24"/>
              </w:rPr>
              <w:t>服务地点</w:t>
            </w:r>
          </w:p>
        </w:tc>
        <w:tc>
          <w:tcPr>
            <w:tcW w:w="5466" w:type="dxa"/>
            <w:noWrap w:val="0"/>
            <w:vAlign w:val="center"/>
          </w:tcPr>
          <w:p w14:paraId="385267C2">
            <w:pPr>
              <w:pStyle w:val="7"/>
              <w:widowControl w:val="0"/>
              <w:spacing w:before="0" w:beforeAutospacing="0" w:after="0" w:afterAutospacing="0" w:line="360" w:lineRule="auto"/>
              <w:jc w:val="both"/>
              <w:rPr>
                <w:rFonts w:hint="eastAsia" w:ascii="宋体" w:hAnsi="宋体" w:eastAsia="宋体" w:cs="宋体"/>
                <w:b w:val="0"/>
                <w:sz w:val="24"/>
                <w:szCs w:val="24"/>
              </w:rPr>
            </w:pPr>
            <w:r>
              <w:rPr>
                <w:rFonts w:hint="eastAsia" w:ascii="宋体" w:hAnsi="宋体" w:eastAsia="宋体" w:cs="宋体"/>
                <w:b w:val="0"/>
                <w:sz w:val="24"/>
              </w:rPr>
              <w:t>安徽医科大学或</w:t>
            </w:r>
            <w:r>
              <w:rPr>
                <w:rFonts w:hint="eastAsia" w:ascii="宋体" w:hAnsi="宋体" w:eastAsia="宋体" w:cs="宋体"/>
                <w:b w:val="0"/>
                <w:sz w:val="24"/>
                <w:lang w:eastAsia="zh-CN"/>
              </w:rPr>
              <w:t>采购人</w:t>
            </w:r>
            <w:r>
              <w:rPr>
                <w:rFonts w:hint="eastAsia" w:ascii="宋体" w:hAnsi="宋体" w:eastAsia="宋体" w:cs="宋体"/>
                <w:b w:val="0"/>
                <w:sz w:val="24"/>
              </w:rPr>
              <w:t>指定地点。</w:t>
            </w:r>
          </w:p>
        </w:tc>
      </w:tr>
      <w:tr w14:paraId="51160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004" w:type="dxa"/>
            <w:noWrap w:val="0"/>
            <w:vAlign w:val="center"/>
          </w:tcPr>
          <w:p w14:paraId="6BB5E37F">
            <w:pPr>
              <w:pStyle w:val="6"/>
              <w:spacing w:line="240" w:lineRule="auto"/>
              <w:rPr>
                <w:rFonts w:hint="eastAsia" w:ascii="宋体" w:hAnsi="宋体" w:eastAsia="宋体" w:cs="宋体"/>
              </w:rPr>
            </w:pPr>
            <w:r>
              <w:rPr>
                <w:rFonts w:hint="eastAsia" w:ascii="宋体" w:hAnsi="宋体" w:eastAsia="宋体" w:cs="宋体"/>
              </w:rPr>
              <w:t>3</w:t>
            </w:r>
          </w:p>
        </w:tc>
        <w:tc>
          <w:tcPr>
            <w:tcW w:w="2025" w:type="dxa"/>
            <w:noWrap w:val="0"/>
            <w:vAlign w:val="center"/>
          </w:tcPr>
          <w:p w14:paraId="0A9CB3BA">
            <w:pPr>
              <w:pStyle w:val="7"/>
              <w:widowControl w:val="0"/>
              <w:spacing w:before="0" w:beforeAutospacing="0" w:after="0" w:afterAutospacing="0" w:line="360" w:lineRule="auto"/>
              <w:rPr>
                <w:rFonts w:hint="eastAsia" w:ascii="宋体" w:hAnsi="宋体" w:eastAsia="宋体" w:cs="宋体"/>
                <w:b w:val="0"/>
                <w:sz w:val="24"/>
              </w:rPr>
            </w:pPr>
            <w:r>
              <w:rPr>
                <w:rFonts w:hint="eastAsia" w:ascii="宋体" w:hAnsi="宋体" w:eastAsia="宋体" w:cs="宋体"/>
                <w:b w:val="0"/>
                <w:sz w:val="24"/>
              </w:rPr>
              <w:t>服务期限</w:t>
            </w:r>
          </w:p>
        </w:tc>
        <w:tc>
          <w:tcPr>
            <w:tcW w:w="5466" w:type="dxa"/>
            <w:noWrap w:val="0"/>
            <w:vAlign w:val="center"/>
          </w:tcPr>
          <w:p w14:paraId="7DA50B09">
            <w:pPr>
              <w:pStyle w:val="2"/>
              <w:spacing w:line="360" w:lineRule="auto"/>
              <w:rPr>
                <w:rFonts w:hint="eastAsia" w:ascii="宋体" w:hAnsi="宋体" w:eastAsia="宋体" w:cs="宋体"/>
                <w:bCs/>
                <w:kern w:val="0"/>
                <w:sz w:val="24"/>
                <w:szCs w:val="24"/>
              </w:rPr>
            </w:pPr>
            <w:r>
              <w:rPr>
                <w:rFonts w:hint="eastAsia" w:cs="宋体"/>
                <w:sz w:val="24"/>
                <w:szCs w:val="24"/>
                <w:lang w:eastAsia="zh-CN"/>
              </w:rPr>
              <w:t>合同生效后，接采购人通知之日起开始搬迁，15日内全部搬迁完毕（具体以实际学校要求为准）</w:t>
            </w:r>
            <w:r>
              <w:rPr>
                <w:rFonts w:hint="eastAsia" w:ascii="宋体" w:hAnsi="宋体" w:eastAsia="宋体" w:cs="宋体"/>
                <w:sz w:val="24"/>
                <w:szCs w:val="24"/>
              </w:rPr>
              <w:t>。</w:t>
            </w:r>
          </w:p>
        </w:tc>
      </w:tr>
    </w:tbl>
    <w:p w14:paraId="3C23FEA1">
      <w:pPr>
        <w:spacing w:line="360" w:lineRule="auto"/>
        <w:ind w:firstLine="482" w:firstLineChars="200"/>
        <w:rPr>
          <w:rFonts w:hint="eastAsia" w:ascii="宋体" w:hAnsi="宋体" w:eastAsia="宋体" w:cs="宋体"/>
          <w:b/>
          <w:bCs/>
          <w:sz w:val="24"/>
          <w:szCs w:val="24"/>
        </w:rPr>
      </w:pPr>
      <w:bookmarkStart w:id="0" w:name="_Hlk16461016"/>
      <w:r>
        <w:rPr>
          <w:rFonts w:hint="eastAsia" w:ascii="宋体" w:hAnsi="宋体" w:eastAsia="宋体" w:cs="宋体"/>
          <w:b/>
          <w:bCs/>
          <w:sz w:val="24"/>
          <w:szCs w:val="24"/>
        </w:rPr>
        <w:t>二、项目概况</w:t>
      </w:r>
      <w:r>
        <w:rPr>
          <w:rFonts w:hint="eastAsia" w:ascii="宋体" w:hAnsi="宋体" w:eastAsia="宋体" w:cs="宋体"/>
          <w:b/>
          <w:bCs/>
          <w:sz w:val="24"/>
          <w:szCs w:val="24"/>
        </w:rPr>
        <w:tab/>
      </w:r>
    </w:p>
    <w:bookmarkEnd w:id="0"/>
    <w:p w14:paraId="45AAE6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b w:val="0"/>
          <w:bCs/>
          <w:color w:val="auto"/>
          <w:sz w:val="24"/>
          <w:highlight w:val="none"/>
        </w:rPr>
        <w:t>安徽医科大学</w:t>
      </w:r>
      <w:r>
        <w:rPr>
          <w:rFonts w:hint="eastAsia" w:eastAsia="宋体"/>
          <w:b w:val="0"/>
          <w:bCs/>
          <w:color w:val="auto"/>
          <w:sz w:val="24"/>
          <w:highlight w:val="none"/>
          <w:lang w:val="en-US" w:eastAsia="zh-CN"/>
        </w:rPr>
        <w:t>公共卫生学院行政办公搬迁服务采购</w:t>
      </w:r>
      <w:r>
        <w:rPr>
          <w:rFonts w:hint="eastAsia" w:ascii="宋体" w:hAnsi="宋体" w:eastAsia="宋体" w:cs="宋体"/>
          <w:color w:val="auto"/>
          <w:sz w:val="24"/>
          <w:szCs w:val="24"/>
          <w:lang w:val="en-US" w:eastAsia="zh-CN"/>
        </w:rPr>
        <w:t>，搬迁范围涉及知行楼B座第17 - 23层、力行楼第14层；包含会议桌椅、办公室工位、办公家具、大型打印机、LED大屏一体机、电脑、多媒体设备、文件柜、文件档案及其他物品等搬迁至新校区；此次搬迁旨在通过科学规划空间布局，提升学院办公效率与管理水平，为师生构建更优质的教学科研与行政办公环境，助力学院在学科建设、学术研究等领域实现新突破。</w:t>
      </w:r>
    </w:p>
    <w:p w14:paraId="4EE0AE7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三、搬迁服务需求</w:t>
      </w:r>
    </w:p>
    <w:p w14:paraId="4B2C5BD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（一）搬迁服务准备材料清单（估算）</w:t>
      </w:r>
    </w:p>
    <w:tbl>
      <w:tblPr>
        <w:tblStyle w:val="4"/>
        <w:tblW w:w="8587" w:type="dxa"/>
        <w:jc w:val="center"/>
        <w:tblLayout w:type="fixed"/>
        <w:tblCellMar>
          <w:top w:w="0" w:type="dxa"/>
          <w:left w:w="108" w:type="dxa"/>
          <w:bottom w:w="0" w:type="dxa"/>
          <w:right w:w="108" w:type="dxa"/>
        </w:tblCellMar>
      </w:tblPr>
      <w:tblGrid>
        <w:gridCol w:w="709"/>
        <w:gridCol w:w="2026"/>
        <w:gridCol w:w="1005"/>
        <w:gridCol w:w="1575"/>
        <w:gridCol w:w="3272"/>
      </w:tblGrid>
      <w:tr w14:paraId="2B1FE84A">
        <w:tblPrEx>
          <w:tblCellMar>
            <w:top w:w="0" w:type="dxa"/>
            <w:left w:w="108" w:type="dxa"/>
            <w:bottom w:w="0" w:type="dxa"/>
            <w:right w:w="108" w:type="dxa"/>
          </w:tblCellMar>
        </w:tblPrEx>
        <w:trPr>
          <w:trHeight w:val="424"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14:paraId="1DAEA93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序号</w:t>
            </w:r>
          </w:p>
        </w:tc>
        <w:tc>
          <w:tcPr>
            <w:tcW w:w="2026" w:type="dxa"/>
            <w:tcBorders>
              <w:top w:val="single" w:color="auto" w:sz="4" w:space="0"/>
              <w:left w:val="single" w:color="auto" w:sz="4" w:space="0"/>
              <w:bottom w:val="single" w:color="auto" w:sz="4" w:space="0"/>
              <w:right w:val="single" w:color="auto" w:sz="4" w:space="0"/>
            </w:tcBorders>
            <w:noWrap w:val="0"/>
            <w:vAlign w:val="center"/>
          </w:tcPr>
          <w:p w14:paraId="70A532E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项目</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58ECACE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单位</w:t>
            </w:r>
          </w:p>
        </w:tc>
        <w:tc>
          <w:tcPr>
            <w:tcW w:w="1575" w:type="dxa"/>
            <w:tcBorders>
              <w:top w:val="single" w:color="auto" w:sz="4" w:space="0"/>
              <w:left w:val="single" w:color="auto" w:sz="4" w:space="0"/>
              <w:bottom w:val="single" w:color="auto" w:sz="4" w:space="0"/>
              <w:right w:val="single" w:color="auto" w:sz="4" w:space="0"/>
            </w:tcBorders>
            <w:noWrap w:val="0"/>
            <w:vAlign w:val="center"/>
          </w:tcPr>
          <w:p w14:paraId="7255274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数量</w:t>
            </w:r>
          </w:p>
        </w:tc>
        <w:tc>
          <w:tcPr>
            <w:tcW w:w="3272" w:type="dxa"/>
            <w:tcBorders>
              <w:top w:val="single" w:color="auto" w:sz="4" w:space="0"/>
              <w:left w:val="single" w:color="auto" w:sz="4" w:space="0"/>
              <w:bottom w:val="single" w:color="auto" w:sz="4" w:space="0"/>
              <w:right w:val="single" w:color="auto" w:sz="4" w:space="0"/>
            </w:tcBorders>
            <w:noWrap w:val="0"/>
            <w:vAlign w:val="center"/>
          </w:tcPr>
          <w:p w14:paraId="0D8C5F6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备注</w:t>
            </w:r>
          </w:p>
        </w:tc>
      </w:tr>
      <w:tr w14:paraId="1E180C3C">
        <w:tblPrEx>
          <w:tblCellMar>
            <w:top w:w="0" w:type="dxa"/>
            <w:left w:w="108" w:type="dxa"/>
            <w:bottom w:w="0" w:type="dxa"/>
            <w:right w:w="108" w:type="dxa"/>
          </w:tblCellMar>
        </w:tblPrEx>
        <w:trPr>
          <w:trHeight w:val="285" w:hRule="atLeast"/>
          <w:jc w:val="center"/>
        </w:trPr>
        <w:tc>
          <w:tcPr>
            <w:tcW w:w="709" w:type="dxa"/>
            <w:tcBorders>
              <w:top w:val="single" w:color="auto" w:sz="4" w:space="0"/>
              <w:left w:val="single" w:color="auto" w:sz="4" w:space="0"/>
              <w:bottom w:val="single" w:color="auto" w:sz="4" w:space="0"/>
              <w:right w:val="single" w:color="auto" w:sz="4" w:space="0"/>
            </w:tcBorders>
            <w:noWrap/>
            <w:vAlign w:val="center"/>
          </w:tcPr>
          <w:p w14:paraId="47B78C7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2026" w:type="dxa"/>
            <w:tcBorders>
              <w:top w:val="single" w:color="auto" w:sz="4" w:space="0"/>
              <w:left w:val="single" w:color="auto" w:sz="4" w:space="0"/>
              <w:bottom w:val="single" w:color="auto" w:sz="4" w:space="0"/>
              <w:right w:val="single" w:color="auto" w:sz="4" w:space="0"/>
            </w:tcBorders>
            <w:noWrap w:val="0"/>
            <w:vAlign w:val="center"/>
          </w:tcPr>
          <w:p w14:paraId="4B41F339">
            <w:pPr>
              <w:keepNext w:val="0"/>
              <w:keepLines w:val="0"/>
              <w:widowControl/>
              <w:suppressLineNumbers w:val="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bidi="ar"/>
              </w:rPr>
              <w:t>打包纸箱</w:t>
            </w:r>
          </w:p>
        </w:tc>
        <w:tc>
          <w:tcPr>
            <w:tcW w:w="1005" w:type="dxa"/>
            <w:tcBorders>
              <w:top w:val="single" w:color="auto" w:sz="4" w:space="0"/>
              <w:left w:val="single" w:color="auto" w:sz="4" w:space="0"/>
              <w:bottom w:val="single" w:color="auto" w:sz="4" w:space="0"/>
              <w:right w:val="single" w:color="auto" w:sz="4" w:space="0"/>
            </w:tcBorders>
            <w:noWrap/>
            <w:vAlign w:val="center"/>
          </w:tcPr>
          <w:p w14:paraId="4990C72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个</w:t>
            </w:r>
          </w:p>
        </w:tc>
        <w:tc>
          <w:tcPr>
            <w:tcW w:w="1575" w:type="dxa"/>
            <w:tcBorders>
              <w:top w:val="single" w:color="auto" w:sz="4" w:space="0"/>
              <w:left w:val="single" w:color="auto" w:sz="4" w:space="0"/>
              <w:bottom w:val="single" w:color="auto" w:sz="4" w:space="0"/>
              <w:right w:val="single" w:color="auto" w:sz="4" w:space="0"/>
            </w:tcBorders>
            <w:noWrap/>
            <w:vAlign w:val="center"/>
          </w:tcPr>
          <w:p w14:paraId="04876B6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若干</w:t>
            </w:r>
          </w:p>
        </w:tc>
        <w:tc>
          <w:tcPr>
            <w:tcW w:w="3272" w:type="dxa"/>
            <w:tcBorders>
              <w:top w:val="single" w:color="auto" w:sz="4" w:space="0"/>
              <w:left w:val="single" w:color="auto" w:sz="4" w:space="0"/>
              <w:bottom w:val="single" w:color="auto" w:sz="4" w:space="0"/>
              <w:right w:val="single" w:color="auto" w:sz="4" w:space="0"/>
            </w:tcBorders>
            <w:noWrap/>
            <w:vAlign w:val="center"/>
          </w:tcPr>
          <w:p w14:paraId="64C359A3">
            <w:pPr>
              <w:keepNext w:val="0"/>
              <w:keepLines w:val="0"/>
              <w:widowControl/>
              <w:suppressLineNumbers w:val="0"/>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bidi="ar"/>
              </w:rPr>
              <w:t>根据实际情况定制</w:t>
            </w:r>
          </w:p>
        </w:tc>
      </w:tr>
      <w:tr w14:paraId="064A8739">
        <w:tblPrEx>
          <w:tblCellMar>
            <w:top w:w="0" w:type="dxa"/>
            <w:left w:w="108" w:type="dxa"/>
            <w:bottom w:w="0" w:type="dxa"/>
            <w:right w:w="108" w:type="dxa"/>
          </w:tblCellMar>
        </w:tblPrEx>
        <w:trPr>
          <w:trHeight w:val="285" w:hRule="atLeast"/>
          <w:jc w:val="center"/>
        </w:trPr>
        <w:tc>
          <w:tcPr>
            <w:tcW w:w="709" w:type="dxa"/>
            <w:tcBorders>
              <w:top w:val="single" w:color="auto" w:sz="4" w:space="0"/>
              <w:left w:val="single" w:color="auto" w:sz="4" w:space="0"/>
              <w:bottom w:val="single" w:color="auto" w:sz="4" w:space="0"/>
              <w:right w:val="single" w:color="auto" w:sz="4" w:space="0"/>
            </w:tcBorders>
            <w:noWrap/>
            <w:vAlign w:val="center"/>
          </w:tcPr>
          <w:p w14:paraId="3094881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2</w:t>
            </w:r>
          </w:p>
        </w:tc>
        <w:tc>
          <w:tcPr>
            <w:tcW w:w="2026" w:type="dxa"/>
            <w:tcBorders>
              <w:top w:val="single" w:color="auto" w:sz="4" w:space="0"/>
              <w:left w:val="single" w:color="auto" w:sz="4" w:space="0"/>
              <w:bottom w:val="single" w:color="auto" w:sz="4" w:space="0"/>
              <w:right w:val="single" w:color="auto" w:sz="4" w:space="0"/>
            </w:tcBorders>
            <w:noWrap w:val="0"/>
            <w:vAlign w:val="center"/>
          </w:tcPr>
          <w:p w14:paraId="669531E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设备、打包箱标贴</w:t>
            </w:r>
          </w:p>
        </w:tc>
        <w:tc>
          <w:tcPr>
            <w:tcW w:w="1005" w:type="dxa"/>
            <w:tcBorders>
              <w:top w:val="single" w:color="auto" w:sz="4" w:space="0"/>
              <w:left w:val="single" w:color="auto" w:sz="4" w:space="0"/>
              <w:bottom w:val="single" w:color="auto" w:sz="4" w:space="0"/>
              <w:right w:val="single" w:color="auto" w:sz="4" w:space="0"/>
            </w:tcBorders>
            <w:noWrap/>
            <w:vAlign w:val="center"/>
          </w:tcPr>
          <w:p w14:paraId="1CAD6B5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张</w:t>
            </w:r>
          </w:p>
        </w:tc>
        <w:tc>
          <w:tcPr>
            <w:tcW w:w="1575" w:type="dxa"/>
            <w:tcBorders>
              <w:top w:val="single" w:color="auto" w:sz="4" w:space="0"/>
              <w:left w:val="single" w:color="auto" w:sz="4" w:space="0"/>
              <w:bottom w:val="single" w:color="auto" w:sz="4" w:space="0"/>
              <w:right w:val="single" w:color="auto" w:sz="4" w:space="0"/>
            </w:tcBorders>
            <w:noWrap/>
            <w:vAlign w:val="center"/>
          </w:tcPr>
          <w:p w14:paraId="22CD15C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若干</w:t>
            </w:r>
          </w:p>
        </w:tc>
        <w:tc>
          <w:tcPr>
            <w:tcW w:w="3272" w:type="dxa"/>
            <w:tcBorders>
              <w:top w:val="single" w:color="auto" w:sz="4" w:space="0"/>
              <w:left w:val="single" w:color="auto" w:sz="4" w:space="0"/>
              <w:bottom w:val="single" w:color="auto" w:sz="4" w:space="0"/>
              <w:right w:val="single" w:color="auto" w:sz="4" w:space="0"/>
            </w:tcBorders>
            <w:noWrap/>
            <w:vAlign w:val="center"/>
          </w:tcPr>
          <w:p w14:paraId="5290A17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根据实际情况定制</w:t>
            </w:r>
          </w:p>
        </w:tc>
      </w:tr>
      <w:tr w14:paraId="0F02119D">
        <w:tblPrEx>
          <w:tblCellMar>
            <w:top w:w="0" w:type="dxa"/>
            <w:left w:w="108" w:type="dxa"/>
            <w:bottom w:w="0" w:type="dxa"/>
            <w:right w:w="108" w:type="dxa"/>
          </w:tblCellMar>
        </w:tblPrEx>
        <w:trPr>
          <w:trHeight w:val="285" w:hRule="atLeast"/>
          <w:jc w:val="center"/>
        </w:trPr>
        <w:tc>
          <w:tcPr>
            <w:tcW w:w="709" w:type="dxa"/>
            <w:tcBorders>
              <w:top w:val="single" w:color="auto" w:sz="4" w:space="0"/>
              <w:left w:val="single" w:color="auto" w:sz="4" w:space="0"/>
              <w:bottom w:val="single" w:color="auto" w:sz="4" w:space="0"/>
              <w:right w:val="single" w:color="auto" w:sz="4" w:space="0"/>
            </w:tcBorders>
            <w:noWrap/>
            <w:vAlign w:val="center"/>
          </w:tcPr>
          <w:p w14:paraId="7D472A9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3</w:t>
            </w:r>
          </w:p>
        </w:tc>
        <w:tc>
          <w:tcPr>
            <w:tcW w:w="2026" w:type="dxa"/>
            <w:tcBorders>
              <w:top w:val="single" w:color="auto" w:sz="4" w:space="0"/>
              <w:left w:val="single" w:color="auto" w:sz="4" w:space="0"/>
              <w:bottom w:val="single" w:color="auto" w:sz="4" w:space="0"/>
              <w:right w:val="single" w:color="auto" w:sz="4" w:space="0"/>
            </w:tcBorders>
            <w:noWrap w:val="0"/>
            <w:vAlign w:val="center"/>
          </w:tcPr>
          <w:p w14:paraId="17B655E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打包、</w:t>
            </w:r>
            <w:r>
              <w:rPr>
                <w:rFonts w:hint="eastAsia" w:ascii="宋体" w:hAnsi="宋体" w:eastAsia="宋体" w:cs="宋体"/>
                <w:color w:val="auto"/>
                <w:kern w:val="0"/>
                <w:sz w:val="24"/>
                <w:szCs w:val="24"/>
                <w:lang w:val="en-US" w:eastAsia="zh-CN"/>
              </w:rPr>
              <w:t>防</w:t>
            </w:r>
            <w:r>
              <w:rPr>
                <w:rFonts w:hint="eastAsia" w:ascii="宋体" w:hAnsi="宋体" w:eastAsia="宋体" w:cs="宋体"/>
                <w:color w:val="auto"/>
                <w:kern w:val="0"/>
                <w:sz w:val="24"/>
                <w:szCs w:val="24"/>
              </w:rPr>
              <w:t>护材料等</w:t>
            </w:r>
          </w:p>
        </w:tc>
        <w:tc>
          <w:tcPr>
            <w:tcW w:w="1005" w:type="dxa"/>
            <w:tcBorders>
              <w:top w:val="single" w:color="auto" w:sz="4" w:space="0"/>
              <w:left w:val="single" w:color="auto" w:sz="4" w:space="0"/>
              <w:bottom w:val="single" w:color="auto" w:sz="4" w:space="0"/>
              <w:right w:val="single" w:color="auto" w:sz="4" w:space="0"/>
            </w:tcBorders>
            <w:noWrap/>
            <w:vAlign w:val="center"/>
          </w:tcPr>
          <w:p w14:paraId="136678D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张</w:t>
            </w:r>
          </w:p>
        </w:tc>
        <w:tc>
          <w:tcPr>
            <w:tcW w:w="1575" w:type="dxa"/>
            <w:tcBorders>
              <w:top w:val="single" w:color="auto" w:sz="4" w:space="0"/>
              <w:left w:val="single" w:color="auto" w:sz="4" w:space="0"/>
              <w:bottom w:val="single" w:color="auto" w:sz="4" w:space="0"/>
              <w:right w:val="single" w:color="auto" w:sz="4" w:space="0"/>
            </w:tcBorders>
            <w:noWrap/>
            <w:vAlign w:val="center"/>
          </w:tcPr>
          <w:p w14:paraId="65D2260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若干</w:t>
            </w:r>
          </w:p>
        </w:tc>
        <w:tc>
          <w:tcPr>
            <w:tcW w:w="3272" w:type="dxa"/>
            <w:tcBorders>
              <w:top w:val="single" w:color="auto" w:sz="4" w:space="0"/>
              <w:left w:val="single" w:color="auto" w:sz="4" w:space="0"/>
              <w:bottom w:val="single" w:color="auto" w:sz="4" w:space="0"/>
              <w:right w:val="single" w:color="auto" w:sz="4" w:space="0"/>
            </w:tcBorders>
            <w:noWrap/>
            <w:vAlign w:val="center"/>
          </w:tcPr>
          <w:p w14:paraId="03475A4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根据实际情况定制</w:t>
            </w:r>
          </w:p>
        </w:tc>
      </w:tr>
    </w:tbl>
    <w:p w14:paraId="7A0F8C31">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办公物质/设备汇总表（估算）</w:t>
      </w:r>
    </w:p>
    <w:tbl>
      <w:tblPr>
        <w:tblStyle w:val="4"/>
        <w:tblW w:w="86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80"/>
        <w:gridCol w:w="2869"/>
        <w:gridCol w:w="2042"/>
        <w:gridCol w:w="2635"/>
      </w:tblGrid>
      <w:tr w14:paraId="2B6D7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73208D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21C4AEA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设备分类</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5C5E8EA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379C879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64991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5B6DB9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316D83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广告机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6CCE32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032FB5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05426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28D3A3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3C2321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微波炉</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5C2F7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1A5B96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r>
      <w:tr w14:paraId="0C256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68F84F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06E3CD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冰箱</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5DB628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1BB87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r>
      <w:tr w14:paraId="11187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0FAA18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744929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热水器</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0B227C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72B453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1057A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02AC77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709637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饮水机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35B6B8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50DC7C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499B4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54D872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63C8B8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洗衣机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2A096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456AE8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5DBD8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2D559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7484D7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L型办公桌椅</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AF329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7C41A2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00BE9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44EB66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79AB34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挡板办公桌椅</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08D3E1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70D028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389</w:t>
            </w:r>
          </w:p>
        </w:tc>
      </w:tr>
      <w:tr w14:paraId="6384F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5F3B8C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12302E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办公桌椅</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62AF3F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0423CC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r>
      <w:tr w14:paraId="7E20C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149E2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145E04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长条桌椅</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38461A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16C59F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57CC6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00CA79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3E7C3A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会议桌</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4CA49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2BAE4A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r>
      <w:tr w14:paraId="05847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55E1AA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3FB6AF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桌椅</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5A7333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6EA0EE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14:paraId="331F6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4D3360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17A19A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圆桌</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303061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7C4C6D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59061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0263F2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0A7B54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长桌</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09429B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42B003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6C69B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D9956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3A2E1D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办公桌</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53ED8C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2E0FB4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5E278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4AB8A9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452888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椅子</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062BC7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05235F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396</w:t>
            </w:r>
          </w:p>
        </w:tc>
      </w:tr>
      <w:tr w14:paraId="53CAE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57D9E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775998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沙发</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3FDF0B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08A49D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r>
      <w:tr w14:paraId="6B7AF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3E39DC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58CE92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单人沙发</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6E19E5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49348A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03403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391BBF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19BDC5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茶几</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69445C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51E09F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55A4C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2F7342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130A06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置物架</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A8CB6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39D4BB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7EE7D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6DBA15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7AA43A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置物盒</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0EADEE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6522FB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r>
      <w:tr w14:paraId="13C0C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16818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77C6A8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讲台</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667E91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359ABF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11038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51195A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24C8B6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柜子</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077717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1B3DE8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176</w:t>
            </w:r>
          </w:p>
        </w:tc>
      </w:tr>
      <w:tr w14:paraId="10C3C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3308F6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2BF5D9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文件柜</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59EAE8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1FCDBE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5A967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388868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4CB225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档案柜</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37576C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02EA08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A405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7ED58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4D868C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铁柜</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81CBB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1A4AE3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3654A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AB1D4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4FC3F1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壁柜</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7FB64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65A1EE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6C182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52BF9E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776F5C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小柜子</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491437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5FB251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73078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365C0E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5DC0D3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书柜</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A6E0C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211A98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ABB8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60F8F5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44C84F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服务器机柜</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2461B8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45A21C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6CC6F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59AE53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24799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LED大屏</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1B6F1F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36726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5CD5C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605A60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3E8BEC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86寸大屏一体机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17E9D2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212385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47304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72FA4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23FDD6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98寸大屏一体机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1D937A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77BA5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524DF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3A96E9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277393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65寸大屏电视</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4D72A5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5126F1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5382E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32D1C9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077D9E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电脑</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22F1C7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2E0F8D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w:t>
            </w:r>
          </w:p>
        </w:tc>
      </w:tr>
      <w:tr w14:paraId="2775D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4D4938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460972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23C3D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4A55E3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14:paraId="6F261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7AFAB1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556532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大打印机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29CEE5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6F5C29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0A6F8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458201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4C057C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复合机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14E8C6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2E93E4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15F35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34EA0E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140D3B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冷风扇</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2482FC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4A3C11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1CD64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608989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1DA424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投影仪</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40F2E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2BD715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13266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32F4D1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295E16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碎纸机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13ADAF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20BD9A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78C87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2DBB88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7B4106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冰柜</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1264C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0CCC17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28E88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934EE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4743D4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台式机</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3A8E2B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3C8751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2E581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44C80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3EB8C9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桌子</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0122E6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48A0C7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r>
      <w:tr w14:paraId="7404F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760442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385EF9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小桌子</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6C3D15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5CAE01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r>
      <w:tr w14:paraId="56A48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006601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0C0A04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茶水台</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35C8E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7FFF70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697ED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125C4F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56BE49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箱子</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7FAB9B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38F6B2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3DBB9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single" w:color="000000" w:sz="4" w:space="0"/>
              <w:left w:val="single" w:color="000000" w:sz="4" w:space="0"/>
              <w:bottom w:val="single" w:color="000000" w:sz="4" w:space="0"/>
              <w:right w:val="single" w:color="000000" w:sz="4" w:space="0"/>
            </w:tcBorders>
            <w:noWrap/>
            <w:vAlign w:val="center"/>
          </w:tcPr>
          <w:p w14:paraId="03452A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2869" w:type="dxa"/>
            <w:tcBorders>
              <w:top w:val="single" w:color="000000" w:sz="4" w:space="0"/>
              <w:left w:val="single" w:color="000000" w:sz="4" w:space="0"/>
              <w:bottom w:val="single" w:color="000000" w:sz="4" w:space="0"/>
              <w:right w:val="single" w:color="000000" w:sz="4" w:space="0"/>
            </w:tcBorders>
            <w:noWrap/>
            <w:vAlign w:val="center"/>
          </w:tcPr>
          <w:p w14:paraId="0321E6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042" w:type="dxa"/>
            <w:tcBorders>
              <w:top w:val="single" w:color="000000" w:sz="4" w:space="0"/>
              <w:left w:val="single" w:color="000000" w:sz="4" w:space="0"/>
              <w:bottom w:val="single" w:color="000000" w:sz="4" w:space="0"/>
              <w:right w:val="single" w:color="000000" w:sz="4" w:space="0"/>
            </w:tcBorders>
            <w:noWrap/>
            <w:vAlign w:val="center"/>
          </w:tcPr>
          <w:p w14:paraId="2EF68766">
            <w:pPr>
              <w:jc w:val="center"/>
              <w:rPr>
                <w:rFonts w:hint="eastAsia" w:ascii="宋体" w:hAnsi="宋体" w:eastAsia="宋体" w:cs="宋体"/>
                <w:i w:val="0"/>
                <w:iCs w:val="0"/>
                <w:color w:val="000000"/>
                <w:sz w:val="24"/>
                <w:szCs w:val="24"/>
                <w:u w:val="none"/>
              </w:rPr>
            </w:pPr>
          </w:p>
        </w:tc>
        <w:tc>
          <w:tcPr>
            <w:tcW w:w="2635" w:type="dxa"/>
            <w:tcBorders>
              <w:top w:val="single" w:color="000000" w:sz="4" w:space="0"/>
              <w:left w:val="single" w:color="000000" w:sz="4" w:space="0"/>
              <w:bottom w:val="single" w:color="000000" w:sz="4" w:space="0"/>
              <w:right w:val="single" w:color="000000" w:sz="4" w:space="0"/>
            </w:tcBorders>
            <w:noWrap/>
            <w:vAlign w:val="center"/>
          </w:tcPr>
          <w:p w14:paraId="3C3EE3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1455</w:t>
            </w:r>
          </w:p>
        </w:tc>
      </w:tr>
    </w:tbl>
    <w:p w14:paraId="1F08B23A">
      <w:pPr>
        <w:wordWrap w:val="0"/>
        <w:spacing w:line="440" w:lineRule="exact"/>
        <w:ind w:firstLine="437"/>
        <w:jc w:val="left"/>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注：以上清单仅限参考，供应商在响应前应到采购人所在地进行现场勘踏，了解实际场地情况、项目需求以及项目实施过程中涉及的相关细节情况，未进行勘踏的供应商视为已充分了解现场相关情况。现场勘察联系人及联系方式：李老师：0551-65161291。</w:t>
      </w:r>
    </w:p>
    <w:p w14:paraId="583F5DD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（三）搬迁地点</w:t>
      </w:r>
    </w:p>
    <w:p w14:paraId="645BD3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由安徽省合肥市梅山路81号搬迁至安徽医科大学新医科中心（新校区）安徽省合肥市肥西县李陵山路和独秀园路交叉口</w:t>
      </w:r>
    </w:p>
    <w:p w14:paraId="10FD26B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（四）搬迁包装材料</w:t>
      </w:r>
    </w:p>
    <w:p w14:paraId="0EBA72D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纸箱、气泡膜、拉伸膜、封箱胶、标贴、油彩笔、防雨帆布等（由成交供应商按照实际履约需求提供）。</w:t>
      </w:r>
    </w:p>
    <w:p w14:paraId="4036406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color w:val="auto"/>
          <w:sz w:val="24"/>
          <w:szCs w:val="18"/>
          <w:highlight w:val="none"/>
          <w:lang w:val="en-US" w:eastAsia="zh-CN"/>
        </w:rPr>
      </w:pPr>
      <w:r>
        <w:rPr>
          <w:rFonts w:hint="eastAsia" w:ascii="宋体" w:hAnsi="宋体" w:eastAsia="宋体" w:cs="宋体"/>
          <w:b/>
          <w:color w:val="auto"/>
          <w:sz w:val="24"/>
          <w:szCs w:val="18"/>
          <w:highlight w:val="none"/>
          <w:lang w:val="en-US" w:eastAsia="zh-CN"/>
        </w:rPr>
        <w:t>四、搬迁总体内容</w:t>
      </w:r>
    </w:p>
    <w:p w14:paraId="5565434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 xml:space="preserve">（一）总体要求 </w:t>
      </w:r>
    </w:p>
    <w:p w14:paraId="6E96B6D9">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1.工作内容：</w:t>
      </w:r>
      <w:r>
        <w:rPr>
          <w:rFonts w:hint="eastAsia" w:ascii="宋体" w:hAnsi="宋体" w:eastAsia="宋体" w:cs="宋体"/>
          <w:color w:val="auto"/>
          <w:sz w:val="24"/>
          <w:szCs w:val="24"/>
          <w:lang w:val="en-US" w:eastAsia="zh-CN"/>
        </w:rPr>
        <w:t>本项目中涉及的广告机、微波炉、冰箱、饮水机、洗衣机、办公桌椅、圆桌、长桌、沙发、单人沙发、茶几、置物架、讲台、柜子（含文件柜、档案柜、铁柜、壁柜、小柜子、书柜等）、大屏一体机、电脑、打印机、大打印机、复合机、冷风扇、投影仪、碎纸机、冰柜、台式机、桌子、小桌子、茶水台等整体搬迁工作内容需要采用车辆、人工、设施设备、拆装、包装及保护材料（包括但不限于纸箱、打包带、包装材料、防护木板、木箱、防水隔离等耗材）等，涉及办公家具（可拆卸）、机房、多媒体设备等需要提供拆装及零件收集、打包及设备防护（包括但不限于纸箱、打包带、包装材料、防护木板、木箱、防水隔离等耗材）、搬运、布线（并提供耗材）、专业技术人员安装调试等综合需求。成交供应商应具备搬运专业设备的技术能力，</w:t>
      </w:r>
      <w:r>
        <w:rPr>
          <w:rFonts w:hint="eastAsia" w:ascii="宋体" w:hAnsi="宋体" w:eastAsia="宋体" w:cs="宋体"/>
          <w:b/>
          <w:bCs/>
          <w:color w:val="auto"/>
          <w:sz w:val="24"/>
          <w:szCs w:val="24"/>
          <w:lang w:val="en-US" w:eastAsia="zh-CN"/>
        </w:rPr>
        <w:t>所有物品搬迁需实现点对点服务，拆装后按原件组装，保证搬迁物品按照采购人要求放至指定位置并安装调试至可以正常使用，专业设备搬运后进行安装、调试等工作，所有设备正常运行，方可进行整体验收。</w:t>
      </w:r>
    </w:p>
    <w:p w14:paraId="11E17CDA">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2.搬迁计划：</w:t>
      </w:r>
      <w:r>
        <w:rPr>
          <w:rFonts w:hint="eastAsia" w:ascii="宋体" w:hAnsi="宋体" w:eastAsia="宋体" w:cs="宋体"/>
          <w:b w:val="0"/>
          <w:bCs w:val="0"/>
          <w:color w:val="auto"/>
          <w:kern w:val="2"/>
          <w:sz w:val="24"/>
          <w:szCs w:val="24"/>
          <w:lang w:val="en-US" w:eastAsia="zh-CN" w:bidi="ar-SA"/>
        </w:rPr>
        <w:t>供应商自行在响应前对所需搬迁内容进行实地踏勘。合同签订后成交供应商需提供项目搬迁整体方案及详细计划，供采购人确认后方可启动搬迁。涉及设备的搬迁要求成交供应商在搬迁前向采购人提供详细的拆卸、搬迁及安装调试方案，制定搬迁步骤及注意事项，针对搬迁中的重点难点制定应急措施以及安全保障措施。在采购人规定的时间内，按照采购人的要求有序实施搬迁工作，将需搬迁的物品搬至采购人指定区域，并满足采购人在搬迁中提出的其它合理要求，确保搬迁质量、数量达到采购人需求。</w:t>
      </w:r>
    </w:p>
    <w:p w14:paraId="0BF71D30">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3.按期要求：</w:t>
      </w:r>
      <w:r>
        <w:rPr>
          <w:rFonts w:hint="eastAsia" w:ascii="宋体" w:hAnsi="宋体" w:eastAsia="宋体" w:cs="宋体"/>
          <w:b w:val="0"/>
          <w:bCs w:val="0"/>
          <w:color w:val="auto"/>
          <w:kern w:val="2"/>
          <w:sz w:val="24"/>
          <w:szCs w:val="24"/>
          <w:lang w:val="en-US" w:eastAsia="zh-CN" w:bidi="ar-SA"/>
        </w:rPr>
        <w:t>除了重大灾害等不可抗力或采购人另有要求并书面同意可以延期，成交供应商必须在规定期限内按搬迁详细计划如期完工，如不能按期完工影响学校正常使用，因此造成的法律责任及经济损失由成交供应商承担。</w:t>
      </w:r>
    </w:p>
    <w:p w14:paraId="4A5F382A">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4.保密要求：</w:t>
      </w:r>
      <w:r>
        <w:rPr>
          <w:rFonts w:hint="eastAsia" w:ascii="宋体" w:hAnsi="宋体" w:eastAsia="宋体" w:cs="宋体"/>
          <w:b w:val="0"/>
          <w:bCs w:val="0"/>
          <w:color w:val="auto"/>
          <w:kern w:val="2"/>
          <w:sz w:val="24"/>
          <w:szCs w:val="24"/>
          <w:lang w:val="en-US" w:eastAsia="zh-CN" w:bidi="ar-SA"/>
        </w:rPr>
        <w:t>成交供应商应派专业团队负责本项目的搬迁工作并签订保密协议，在搬迁全程中对档案及设备等安全负责。执行人员、车辆进出登记制度，每天填写搬运车辆出入登记表，向采购人提供当天作业人员名单及并佩戴工作证，搬迁中一律带证工作。熟悉物资搬运要求，服从采购人的监督管理和调度，搬迁时工作需认真负责、服务态度好、言行文明，不得影响采购人的正常工作和教学。搬运过程中出现不服从管理和违规操作的情况，采购人有权进行违约处理。</w:t>
      </w:r>
    </w:p>
    <w:p w14:paraId="41A2D172">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5.现场保护：</w:t>
      </w:r>
      <w:r>
        <w:rPr>
          <w:rFonts w:hint="eastAsia" w:ascii="宋体" w:hAnsi="宋体" w:eastAsia="宋体" w:cs="宋体"/>
          <w:b w:val="0"/>
          <w:bCs w:val="0"/>
          <w:color w:val="auto"/>
          <w:kern w:val="2"/>
          <w:sz w:val="24"/>
          <w:szCs w:val="24"/>
          <w:lang w:val="en-US" w:eastAsia="zh-CN" w:bidi="ar-SA"/>
        </w:rPr>
        <w:t>成交供应商须维护采购人权益，做好搬运现场的保护工作，保证搬迁过程中涉及到的实施现场、设备、设施（包括但不限于供电、供水、供暖、电梯、地面、墙面、道路、楼梯、门窗、家具等）、车辆、建筑物及附属物的完好，如有损坏按实物赔偿。搬迁过程中做到文明施工，根据搬迁物品的大小尺寸、易碎、尖锐等分类进行搬迁、堆放，对于重点保护的物品，如贵重物品和易损坏的物品，在箱子上加印或粘贴醒目标识及提示语，确保在搬迁过程中轻拿轻放。因搬运导致的物品损坏，对损坏物品进行修缮，无法修缮的按原价实物赔偿。</w:t>
      </w:r>
    </w:p>
    <w:p w14:paraId="66EE6213">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6.分类打包：</w:t>
      </w:r>
      <w:r>
        <w:rPr>
          <w:rFonts w:hint="eastAsia" w:ascii="宋体" w:hAnsi="宋体" w:eastAsia="宋体" w:cs="宋体"/>
          <w:b w:val="0"/>
          <w:bCs w:val="0"/>
          <w:color w:val="auto"/>
          <w:kern w:val="2"/>
          <w:sz w:val="24"/>
          <w:szCs w:val="24"/>
          <w:lang w:val="en-US" w:eastAsia="zh-CN" w:bidi="ar-SA"/>
        </w:rPr>
        <w:t>提供在搬运过程中需要使用的不易损坏、变形的专用打包箱及打包材料，根据分类流水号顺序及各类物品类别进行打包装箱，打包箱统一编号，标注装箱内容、打包地点等信息，并填写装箱明细单，经单项负责人检验签字封箱后搬运至规定位置及上架。所有需拆装后的搬迁设备需要登记备案，并在设备上做好相应标记，方便搬迁至目标地点后安装调试。此项工作由采购人派出人员协助成交供应商相关人员逐一实施。对已打包装箱的设施设备及物资，未经采购人允许不得私自开封，全程做到防潮、防水、防盗、零缺失。如出现顺序位置错乱，采购人负责监督调整顺序直到完全正确无误。</w:t>
      </w:r>
    </w:p>
    <w:p w14:paraId="4D2F40F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搬迁装车时，合理安排物品的码放顺序，每辆车配备专用垫布、毛毯、防护木板等，对物品之间做好柔性或硬性隔层保护，防止车辆在运输过程中产生碰撞损坏。车辆装好后，根据采购人的指定路线行驶至下货地点，保证车辆的安全、平稳运行，按照单项负责人要求将全部物品搬运至指定地点（重要物品单项负责人跟车随行押运），按照指定区域对物品进行摆放，需要组装的设施设备完成组装，确保搬运一次到位，有序摆放。</w:t>
      </w:r>
    </w:p>
    <w:p w14:paraId="4F559740">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7.场地清理：</w:t>
      </w:r>
      <w:r>
        <w:rPr>
          <w:rFonts w:hint="eastAsia" w:ascii="宋体" w:hAnsi="宋体" w:eastAsia="宋体" w:cs="宋体"/>
          <w:color w:val="auto"/>
          <w:kern w:val="0"/>
          <w:sz w:val="24"/>
          <w:szCs w:val="24"/>
          <w:lang w:val="en-US" w:eastAsia="zh-CN" w:bidi="ar"/>
        </w:rPr>
        <w:t>成交供应商应清除新旧场地在搬迁过程中的杂物垃圾，物品有序整齐堆放清运。搬迁过程中，对过道、地面、墙面等做好清洁及保护措施，整个过程做到相关设施设备无污渍无损坏。每天搬运工作结束后，对当日搬迁的工作量进行统计并核对无误，如核对不上必须及时清点并查找至正确后方能离开。</w:t>
      </w:r>
    </w:p>
    <w:p w14:paraId="3EA1FC1D">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 xml:space="preserve">8. 人员要求： </w:t>
      </w:r>
    </w:p>
    <w:p w14:paraId="70463A2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（1）成立专门项目工作小组，配备足够各工种人员及搬运人员，费用自理。</w:t>
      </w:r>
    </w:p>
    <w:p w14:paraId="777DB292">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（2）安排经验丰富的调度人员现场调度，指定专人现场办公，高峰期增加调度及管理人员。</w:t>
      </w:r>
    </w:p>
    <w:p w14:paraId="48A0711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（3）提供车辆相关信息报备，确保车辆状况良好。</w:t>
      </w:r>
    </w:p>
    <w:p w14:paraId="6AB532B5">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（4）遇紧急情况及时报告，人员服从指挥管理，遵守规章制度，确保技术素质和队伍稳定性。</w:t>
      </w:r>
    </w:p>
    <w:p w14:paraId="26DFA755">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9. 安全责任：</w:t>
      </w:r>
      <w:r>
        <w:rPr>
          <w:rFonts w:hint="eastAsia" w:ascii="宋体" w:hAnsi="宋体" w:eastAsia="宋体" w:cs="宋体"/>
          <w:color w:val="auto"/>
          <w:kern w:val="0"/>
          <w:sz w:val="24"/>
          <w:szCs w:val="24"/>
          <w:lang w:val="en-US" w:eastAsia="zh-CN" w:bidi="ar"/>
        </w:rPr>
        <w:t>成交供应商负责搬迁所需设备，承担搬迁服务过程中出现的一切安全事故责任及损失赔偿。</w:t>
      </w:r>
    </w:p>
    <w:p w14:paraId="039A9077">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10.验收要求：</w:t>
      </w:r>
    </w:p>
    <w:p w14:paraId="74B0093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所有设备全部搬迁、安装、调试完毕，并试运行1个月后，按采购人对项目验收管理要求，由采购人及相关人员组成验收小组，对成交供应商提供服务期间的工作和所产生的文档等内容进行验收。</w:t>
      </w:r>
    </w:p>
    <w:p w14:paraId="41382209">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验收包括至少以下要求：</w:t>
      </w:r>
    </w:p>
    <w:p w14:paraId="6CC7E473">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（1）所有设备搬迁至指定位置，设备外观完好、无损坏，布线规范，硬件加电测试运行正常。</w:t>
      </w:r>
    </w:p>
    <w:p w14:paraId="42687703">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（2）搬迁后各信息系统整体平稳运行至少3个月。</w:t>
      </w:r>
    </w:p>
    <w:p w14:paraId="73BA9B64">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（3）文档完整交付（至少包括各项目整体搬迁方案、设备迁移后运行记录等材料)。</w:t>
      </w:r>
    </w:p>
    <w:p w14:paraId="38688D4F">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 xml:space="preserve">（二）物品分类搬迁要求 </w:t>
      </w:r>
    </w:p>
    <w:p w14:paraId="5E6B20A1">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2" w:firstLineChars="175"/>
        <w:jc w:val="left"/>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 xml:space="preserve">1.办公家具及物品（含会议室） </w:t>
      </w:r>
    </w:p>
    <w:p w14:paraId="57064ECC">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学院办公家具及物品搬迁需实现点对点服务，拆装后按原件组装，成交供应商将办公家具及办公物品（含会议室）进行各办公室对应点之间的搬迁，确保办公家具及办公物品按部门、按楼栋分类，不遗失、不错乱，搬迁物品应按照采购人要求放至指定位置并安装调试至可以正常使用。易损类物资的打包，搬迁，运输整理等工作内容，用泡沫箱，气泡膜，缠绕膜等打包。</w:t>
      </w:r>
    </w:p>
    <w:p w14:paraId="6AF8A276">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2" w:firstLineChars="175"/>
        <w:jc w:val="left"/>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 xml:space="preserve">2.多媒体设备 </w:t>
      </w:r>
    </w:p>
    <w:p w14:paraId="0099619A">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（1）搬迁前提供详细方案，经采购人同意后实施，专业性强的设备拆装需厂家技术人员指导，费用由成交供应商承担。</w:t>
      </w:r>
    </w:p>
    <w:p w14:paraId="309A083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（2）配有足够专业技术人员和设备工具，进行保护性拆除、包装，对昂贵设备购买保险，做好登记、编号等工作，提供足够打包材料，搬迁后清洁设备，提供3个月运维服务保障。</w:t>
      </w:r>
    </w:p>
    <w:p w14:paraId="776DA02A">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 xml:space="preserve">3.搬家顺序 </w:t>
      </w:r>
    </w:p>
    <w:p w14:paraId="5FE6303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由采购人根据实际教学计划需要据实制定，成交供应商要服从采购人要求。</w:t>
      </w:r>
    </w:p>
    <w:p w14:paraId="52B38942">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（三）运输要求</w:t>
      </w:r>
    </w:p>
    <w:p w14:paraId="1C3A4DA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1.成交供应商所有运输工具做减震防护处理，明确运输设备的基本参数、数量，以提供运输车辆在年检有效期内；</w:t>
      </w:r>
    </w:p>
    <w:p w14:paraId="3197F00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2.避免在搬运的路途中发生设备颠簸、碰撞，必须对封装好的设备摆放在卡板上并用拉伸膜与打包带加固；所有设备须做好防尘、防水工作；</w:t>
      </w:r>
    </w:p>
    <w:p w14:paraId="2F5C233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3.成交供应商需采用环保材料对进出电梯、地面、墙面进行保护，防地面、墙面划伤、分散，特别是重型设备的搬运要对现场地面进行特殊防护，如用木板等材料进行保护；</w:t>
      </w:r>
    </w:p>
    <w:p w14:paraId="6991490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4.对已上卡板加固封装的设备，搬运上车时，原搬迁地址负责人负责物品数量清点，待清点无误后签字确认，方可发车；设备在运输的路途中，每车必须要有相关监督员跟车监督运输的过程；</w:t>
      </w:r>
    </w:p>
    <w:p w14:paraId="50EA781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5.成交供应商每次将设备运输到达搬迁目的地的楼层后，车辆应按指定地址停靠，等待目的地接收人员清点货品清单核对数量无误后签字确认；</w:t>
      </w:r>
    </w:p>
    <w:p w14:paraId="5189EFC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6.以每间办公室或实验室为单位进行设备安全有序的搬运，以先楼下后楼上、先外后内为原则，参考新址设备布置要求进行摆放；</w:t>
      </w:r>
    </w:p>
    <w:p w14:paraId="3C02E4D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7.在目的地指定房间，由采购人相关的工作人员清点无误后，签字确认方可完成搬迁和运输工作。</w:t>
      </w:r>
    </w:p>
    <w:p w14:paraId="77B16890">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（四）设备安装要求</w:t>
      </w:r>
    </w:p>
    <w:p w14:paraId="2A7A6046">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（1）所有设备的安装应均由具备相关经验的工程师进行安装操作；</w:t>
      </w:r>
    </w:p>
    <w:p w14:paraId="43C1FE42">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（2）各种设备的配套主辅设备应尽可能成套再安装；</w:t>
      </w:r>
    </w:p>
    <w:p w14:paraId="61AECBFD">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（3）将涉及此台设备的所有包装箱全部集中在预定安装的位置附近。根据总箱号保证包装箱未有短缺；</w:t>
      </w:r>
    </w:p>
    <w:p w14:paraId="34169D6E">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（4）采取必要的防静电措施；</w:t>
      </w:r>
    </w:p>
    <w:p w14:paraId="16FE0299">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（5）将设备和外部联接的线缆，按规范和标记安装到位；</w:t>
      </w:r>
    </w:p>
    <w:p w14:paraId="613376DB">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（6）将拆卸的接插件、电路板卡及其他分离的部件，按规范和标记安装到位；</w:t>
      </w:r>
    </w:p>
    <w:p w14:paraId="5C3719C5">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7）所有设备应按正常步骤进行开机，开机正常后，按规定的步骤进行机器硬件自检，机器自检正常后，进行系统自检，系统自检正常后，查看系统参数和设备配置是否和保留的备份一样，若在自检过程中发生错误，立刻转到故障诊断流程，按规范进行排故。</w:t>
      </w:r>
    </w:p>
    <w:p w14:paraId="48F330E8">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both"/>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（五）搬迁后集成与测试服务</w:t>
      </w:r>
    </w:p>
    <w:p w14:paraId="74B3F63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（1）经过多批次的搬迁，供应商须逐一核查搬迁结果，记录所有搬迁工作</w:t>
      </w:r>
    </w:p>
    <w:p w14:paraId="3EFAE424">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过程，以及发生的问题、解决方法，提交给采购人；</w:t>
      </w:r>
    </w:p>
    <w:p w14:paraId="5CD3A59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（2）成交供应商须对所有物理线路进行整体检测，确保所有线路连接正常，接口无松动；</w:t>
      </w:r>
    </w:p>
    <w:p w14:paraId="02D79174">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（4）供应商须对整体设备硬件运行状态进行安全检测，以确保系统加电测</w:t>
      </w:r>
    </w:p>
    <w:p w14:paraId="2D774179">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试正常；</w:t>
      </w:r>
    </w:p>
    <w:p w14:paraId="1091446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（5）成交供应商须对业务应用系统进行综合测试，观察业务应用运行结果是否存在隐患或故障，提供技术支持，确保业务应用测试正常。</w:t>
      </w:r>
    </w:p>
    <w:p w14:paraId="2E619096">
      <w:pPr>
        <w:keepNext w:val="0"/>
        <w:keepLines w:val="0"/>
        <w:pageBreakBefore w:val="0"/>
        <w:widowControl/>
        <w:suppressLineNumbers w:val="0"/>
        <w:kinsoku/>
        <w:wordWrap/>
        <w:overflowPunct/>
        <w:topLinePunct w:val="0"/>
        <w:autoSpaceDE/>
        <w:autoSpaceDN/>
        <w:bidi w:val="0"/>
        <w:adjustRightInd/>
        <w:snapToGrid/>
        <w:spacing w:line="360" w:lineRule="auto"/>
        <w:ind w:firstLine="241" w:firstLineChars="100"/>
        <w:jc w:val="both"/>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（六）售后服务要求</w:t>
      </w:r>
    </w:p>
    <w:p w14:paraId="24FF9A70">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1.所有设施设备提供不少于3个月的维护服务（从采购人验收合格之日起</w:t>
      </w:r>
    </w:p>
    <w:p w14:paraId="1E7537E1">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算）。</w:t>
      </w:r>
    </w:p>
    <w:p w14:paraId="3E8ECC51">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2.响应时间：</w:t>
      </w:r>
    </w:p>
    <w:p w14:paraId="3CF8012D">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（1）在维护服务内即时响应（包括电话响应，相关费用均包含在本采购包</w:t>
      </w:r>
    </w:p>
    <w:p w14:paraId="5ADACFF8">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响应报价中）；</w:t>
      </w:r>
    </w:p>
    <w:p w14:paraId="09411884">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（2）对采购人的服务通知，成交供应商在接报后半小时内响应，2小时内到达现场。</w:t>
      </w:r>
    </w:p>
    <w:p w14:paraId="2AD4B0B1">
      <w:pPr>
        <w:keepNext w:val="0"/>
        <w:keepLines w:val="0"/>
        <w:pageBreakBefore w:val="0"/>
        <w:widowControl/>
        <w:suppressLineNumbers w:val="0"/>
        <w:kinsoku/>
        <w:wordWrap/>
        <w:overflowPunct/>
        <w:topLinePunct w:val="0"/>
        <w:autoSpaceDE/>
        <w:autoSpaceDN/>
        <w:bidi w:val="0"/>
        <w:adjustRightInd/>
        <w:snapToGrid/>
        <w:spacing w:line="360" w:lineRule="auto"/>
        <w:ind w:firstLine="241" w:firstLineChars="100"/>
        <w:jc w:val="left"/>
        <w:textAlignment w:val="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 xml:space="preserve">五、报价要求 </w:t>
      </w:r>
    </w:p>
    <w:p w14:paraId="7D38BBCB">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1.本项目总价包干，供应商报总价，响应总价包含完成本项目所产生的一切费用，履约期间采购人不再追加任何费用，供应商自行考虑报价风险。</w:t>
      </w:r>
    </w:p>
    <w:p w14:paraId="0D2178F3">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2.供应商自行事先到项目地点勘察以充分了解项目的位置、交通及任何其它足以影响响应报价的情况，任何因忽视或误解项目情况而导致的报价变更、索赔</w:t>
      </w:r>
    </w:p>
    <w:p w14:paraId="04A60750">
      <w:r>
        <w:rPr>
          <w:rFonts w:hint="eastAsia" w:ascii="宋体" w:hAnsi="宋体" w:eastAsia="宋体" w:cs="宋体"/>
          <w:color w:val="auto"/>
          <w:kern w:val="0"/>
          <w:sz w:val="24"/>
          <w:szCs w:val="24"/>
          <w:lang w:val="en-US" w:eastAsia="zh-CN" w:bidi="ar"/>
        </w:rPr>
        <w:t>申请将不获批准。</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112EB3"/>
    <w:multiLevelType w:val="singleLevel"/>
    <w:tmpl w:val="29112EB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985707"/>
    <w:rsid w:val="2E985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宋体" w:hAnsi="宋体" w:eastAsia="宋体"/>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none" w:color="auto" w:sz="0" w:space="0"/>
      </w:pBdr>
      <w:wordWrap w:val="0"/>
      <w:snapToGrid/>
      <w:spacing w:line="360" w:lineRule="auto"/>
    </w:pPr>
    <w:rPr>
      <w:rFonts w:ascii="宋体" w:hAnsi="宋体" w:eastAsia="宋体"/>
      <w:bCs/>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2025-07-25T08:04:00Z</dcterms:created>
  <dc:creator>森</dc:creator>
  <cp:lastModifiedBy>森</cp:lastModifiedBy>
  <dcterms:modified xsi:type="dcterms:W3CDTF">2025-07-25T08:04:41Z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7BF15927DC23455D80E7601D47125CCE_11</vt:lpwstr>
  </property>
  <property fmtid="{D5CDD505-2E9C-101B-9397-08002B2CF9AE}" pid="4" name="KSOTemplateDocerSaveRecord">
    <vt:lpwstr>eyJoZGlkIjoiOTc3M2Y5NzIzMDFlZjAyY2Q4Njk5ODkyYjFjNzBiNTQiLCJ1c2VySWQiOiI0MzAwMTYzNzkifQ==</vt:lpwstr>
  </property>
</Properties>
</file>