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15D63">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33C671C0">
      <w:pPr>
        <w:spacing w:line="360" w:lineRule="auto"/>
        <w:jc w:val="left"/>
        <w:rPr>
          <w:rFonts w:hint="eastAsia" w:ascii="宋体" w:hAnsi="宋体" w:cs="宋体"/>
          <w:b/>
          <w:sz w:val="24"/>
          <w:szCs w:val="24"/>
        </w:rPr>
      </w:pPr>
      <w:r>
        <w:rPr>
          <w:rFonts w:hint="eastAsia" w:ascii="宋体" w:hAnsi="宋体" w:cs="宋体"/>
          <w:b/>
          <w:sz w:val="24"/>
          <w:szCs w:val="24"/>
        </w:rPr>
        <w:t>前注：</w:t>
      </w:r>
    </w:p>
    <w:p w14:paraId="05ECC925">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020AFCB1">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4E07792C">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485C1585">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0F4B7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8EC8850">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68C67C4F">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607FA0BB">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40AFA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DC48600">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6E6EBCE8">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6C313D78">
            <w:pPr>
              <w:spacing w:line="360" w:lineRule="auto"/>
              <w:jc w:val="left"/>
              <w:rPr>
                <w:rFonts w:hint="eastAsia" w:ascii="宋体" w:hAnsi="宋体" w:cs="宋体"/>
                <w:sz w:val="24"/>
              </w:rPr>
            </w:pPr>
            <w:r>
              <w:rPr>
                <w:rFonts w:hint="eastAsia" w:ascii="宋体" w:hAnsi="宋体" w:cs="宋体"/>
                <w:sz w:val="24"/>
              </w:rPr>
              <w:t>验收合格后支付合同价款</w:t>
            </w:r>
          </w:p>
        </w:tc>
      </w:tr>
      <w:tr w14:paraId="19883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C0F292C">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05D269D3">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495450A4">
            <w:pPr>
              <w:spacing w:line="360" w:lineRule="auto"/>
              <w:jc w:val="left"/>
              <w:rPr>
                <w:rFonts w:hint="eastAsia" w:ascii="宋体" w:hAnsi="宋体" w:cs="宋体"/>
                <w:sz w:val="24"/>
              </w:rPr>
            </w:pPr>
            <w:r>
              <w:rPr>
                <w:rFonts w:hint="eastAsia" w:ascii="宋体" w:hAnsi="宋体"/>
                <w:sz w:val="24"/>
              </w:rPr>
              <w:t>安徽医科大学新医科中心或采购人指定地点</w:t>
            </w:r>
            <w:r>
              <w:rPr>
                <w:rFonts w:hint="eastAsia" w:ascii="宋体" w:hAnsi="宋体" w:cs="宋体"/>
                <w:bCs/>
                <w:kern w:val="0"/>
                <w:sz w:val="24"/>
                <w:szCs w:val="28"/>
              </w:rPr>
              <w:t>。</w:t>
            </w:r>
          </w:p>
        </w:tc>
      </w:tr>
      <w:tr w14:paraId="7B0B2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4E1F762">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460C33B4">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10BAD8F2">
            <w:pPr>
              <w:spacing w:line="360" w:lineRule="auto"/>
              <w:jc w:val="left"/>
              <w:rPr>
                <w:rFonts w:hint="eastAsia" w:ascii="宋体" w:hAnsi="宋体" w:cs="宋体"/>
                <w:sz w:val="24"/>
              </w:rPr>
            </w:pPr>
            <w:r>
              <w:rPr>
                <w:rFonts w:hint="eastAsia" w:ascii="宋体" w:hAnsi="宋体" w:cs="宋体"/>
                <w:sz w:val="24"/>
                <w:szCs w:val="24"/>
              </w:rPr>
              <w:t>自合同签订之日起25个</w:t>
            </w:r>
            <w:r>
              <w:rPr>
                <w:rFonts w:hint="eastAsia" w:ascii="宋体" w:hAnsi="宋体" w:cs="宋体"/>
                <w:sz w:val="24"/>
              </w:rPr>
              <w:t>工作日</w:t>
            </w:r>
            <w:r>
              <w:rPr>
                <w:rFonts w:hint="eastAsia" w:ascii="宋体" w:hAnsi="宋体" w:cs="宋体"/>
                <w:sz w:val="24"/>
                <w:szCs w:val="24"/>
              </w:rPr>
              <w:t>内完成供货、安装及调试</w:t>
            </w:r>
            <w:r>
              <w:rPr>
                <w:rFonts w:hint="eastAsia" w:ascii="宋体" w:hAnsi="宋体" w:cs="宋体"/>
                <w:bCs/>
                <w:kern w:val="0"/>
                <w:sz w:val="24"/>
                <w:szCs w:val="28"/>
              </w:rPr>
              <w:t>。</w:t>
            </w:r>
          </w:p>
        </w:tc>
      </w:tr>
      <w:tr w14:paraId="62BB5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5B1837F">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69496B06">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2BF08CA7">
            <w:pPr>
              <w:spacing w:line="360" w:lineRule="auto"/>
              <w:jc w:val="left"/>
              <w:rPr>
                <w:rFonts w:ascii="宋体" w:hAnsi="宋体" w:cs="宋体"/>
                <w:sz w:val="24"/>
              </w:rPr>
            </w:pPr>
            <w:r>
              <w:rPr>
                <w:rFonts w:hint="eastAsia" w:ascii="宋体" w:hAnsi="宋体"/>
                <w:sz w:val="24"/>
                <w:szCs w:val="24"/>
              </w:rPr>
              <w:t>自验收合格之日起</w:t>
            </w:r>
            <w:r>
              <w:rPr>
                <w:rFonts w:hint="eastAsia" w:ascii="宋体" w:hAnsi="宋体" w:cs="宋体"/>
                <w:sz w:val="24"/>
              </w:rPr>
              <w:t>3年。</w:t>
            </w:r>
            <w:r>
              <w:rPr>
                <w:rFonts w:hint="eastAsia" w:ascii="宋体" w:hAnsi="宋体" w:cs="宋体"/>
                <w:b/>
                <w:kern w:val="0"/>
                <w:sz w:val="24"/>
                <w:szCs w:val="28"/>
              </w:rPr>
              <w:t>货物需求中另有要求的，以采购需求为准。</w:t>
            </w:r>
          </w:p>
        </w:tc>
      </w:tr>
    </w:tbl>
    <w:p w14:paraId="4BCDC7E1">
      <w:pPr>
        <w:numPr>
          <w:ilvl w:val="0"/>
          <w:numId w:val="1"/>
        </w:numPr>
        <w:spacing w:line="360" w:lineRule="auto"/>
        <w:ind w:firstLine="437"/>
        <w:jc w:val="left"/>
        <w:rPr>
          <w:rFonts w:hint="eastAsia" w:ascii="宋体" w:hAnsi="宋体" w:cs="宋体"/>
          <w:b/>
          <w:sz w:val="24"/>
          <w:szCs w:val="24"/>
        </w:rPr>
      </w:pPr>
      <w:r>
        <w:rPr>
          <w:rFonts w:hint="eastAsia" w:ascii="宋体" w:hAnsi="宋体" w:cs="宋体"/>
          <w:b/>
          <w:sz w:val="24"/>
          <w:szCs w:val="24"/>
        </w:rPr>
        <w:t>项目概况</w:t>
      </w:r>
    </w:p>
    <w:p w14:paraId="1A13DD12">
      <w:pPr>
        <w:spacing w:line="360" w:lineRule="auto"/>
        <w:ind w:firstLine="480" w:firstLineChars="200"/>
        <w:jc w:val="left"/>
        <w:rPr>
          <w:rFonts w:ascii="宋体" w:hAnsi="宋体" w:cs="宋体"/>
          <w:bCs/>
          <w:sz w:val="24"/>
          <w:szCs w:val="24"/>
        </w:rPr>
      </w:pPr>
      <w:r>
        <w:rPr>
          <w:rFonts w:ascii="宋体" w:hAnsi="宋体" w:cs="宋体"/>
          <w:bCs/>
          <w:sz w:val="24"/>
          <w:szCs w:val="24"/>
        </w:rPr>
        <w:t>本项目为</w:t>
      </w:r>
      <w:r>
        <w:rPr>
          <w:rFonts w:hint="eastAsia" w:ascii="宋体" w:hAnsi="宋体" w:cs="宋体"/>
          <w:bCs/>
          <w:sz w:val="24"/>
          <w:szCs w:val="24"/>
          <w:lang w:eastAsia="zh-CN"/>
        </w:rPr>
        <w:t>安徽医科大学新医科中心公共学习中心人脸识别及磁力锁等设备采购项目（二次）</w:t>
      </w:r>
      <w:r>
        <w:rPr>
          <w:rFonts w:ascii="宋体" w:hAnsi="宋体" w:cs="宋体"/>
          <w:bCs/>
          <w:sz w:val="24"/>
          <w:szCs w:val="24"/>
        </w:rPr>
        <w:t>。公共学习中心为开放式结构，师生可以在大楼任意位置借阅图书，但由于大楼具有大量自由进出口、楼梯等，与多个其他部门相互联通，且有多处楼梯可自由进入顶楼平台（机组位于顶楼平台），造成楼内图书、机组以及其他资产管理工作压力巨大。</w:t>
      </w:r>
    </w:p>
    <w:p w14:paraId="1EDF34EA">
      <w:pPr>
        <w:spacing w:line="360" w:lineRule="auto"/>
        <w:ind w:firstLine="480" w:firstLineChars="200"/>
        <w:jc w:val="left"/>
        <w:rPr>
          <w:rFonts w:ascii="宋体" w:hAnsi="宋体" w:cs="宋体"/>
          <w:bCs/>
          <w:sz w:val="24"/>
          <w:szCs w:val="24"/>
        </w:rPr>
      </w:pPr>
      <w:r>
        <w:rPr>
          <w:rFonts w:ascii="宋体" w:hAnsi="宋体" w:cs="宋体"/>
          <w:bCs/>
          <w:sz w:val="24"/>
          <w:szCs w:val="24"/>
        </w:rPr>
        <w:t>为了减轻公共学习中心内图书、机组以及其他物资管理工作压力，减少图书等其他资产丢失、破坏风险，本项目拟将公共学习中心大楼内部分门、楼梯进出门等进行改造：</w:t>
      </w:r>
    </w:p>
    <w:p w14:paraId="30B17B90">
      <w:pPr>
        <w:spacing w:line="360" w:lineRule="auto"/>
        <w:ind w:firstLine="480" w:firstLineChars="200"/>
        <w:jc w:val="left"/>
        <w:rPr>
          <w:rFonts w:ascii="宋体" w:hAnsi="宋体" w:cs="宋体"/>
          <w:bCs/>
          <w:sz w:val="24"/>
          <w:szCs w:val="24"/>
        </w:rPr>
      </w:pPr>
      <w:r>
        <w:rPr>
          <w:rFonts w:ascii="宋体" w:hAnsi="宋体" w:cs="宋体"/>
          <w:bCs/>
          <w:sz w:val="24"/>
          <w:szCs w:val="24"/>
        </w:rPr>
        <w:t>1、将部分自由开关的门安装磁力锁，搭配人脸门禁机，实现刷脸进出；</w:t>
      </w:r>
    </w:p>
    <w:p w14:paraId="2DBADB88">
      <w:pPr>
        <w:spacing w:line="360" w:lineRule="auto"/>
        <w:ind w:firstLine="480" w:firstLineChars="200"/>
        <w:jc w:val="left"/>
        <w:rPr>
          <w:rFonts w:ascii="宋体" w:hAnsi="宋体" w:cs="宋体"/>
          <w:bCs/>
          <w:sz w:val="24"/>
          <w:szCs w:val="24"/>
        </w:rPr>
      </w:pPr>
      <w:r>
        <w:rPr>
          <w:rFonts w:ascii="宋体" w:hAnsi="宋体" w:cs="宋体"/>
          <w:bCs/>
          <w:sz w:val="24"/>
          <w:szCs w:val="24"/>
        </w:rPr>
        <w:t>2、将部分平时使用频率很低的门安装磁力锁，搭配门禁控制器，实现常闭状态；</w:t>
      </w:r>
    </w:p>
    <w:p w14:paraId="2945FFBA">
      <w:pPr>
        <w:spacing w:line="360" w:lineRule="auto"/>
        <w:ind w:firstLine="480" w:firstLineChars="200"/>
        <w:jc w:val="left"/>
        <w:rPr>
          <w:rFonts w:ascii="宋体" w:hAnsi="宋体" w:cs="宋体"/>
          <w:bCs/>
          <w:sz w:val="24"/>
          <w:szCs w:val="24"/>
        </w:rPr>
      </w:pPr>
      <w:r>
        <w:rPr>
          <w:rFonts w:ascii="宋体" w:hAnsi="宋体" w:cs="宋体"/>
          <w:bCs/>
          <w:sz w:val="24"/>
          <w:szCs w:val="24"/>
        </w:rPr>
        <w:t>3、将部分去往5楼机组平台的室外楼梯加装铁门，搭配门禁控制器，实现常闭状态。</w:t>
      </w:r>
    </w:p>
    <w:p w14:paraId="784D8F71">
      <w:pPr>
        <w:spacing w:line="360" w:lineRule="auto"/>
        <w:ind w:firstLine="480" w:firstLineChars="200"/>
        <w:jc w:val="left"/>
        <w:rPr>
          <w:rFonts w:ascii="宋体" w:hAnsi="宋体" w:cs="宋体"/>
          <w:bCs/>
          <w:sz w:val="24"/>
          <w:szCs w:val="24"/>
        </w:rPr>
      </w:pPr>
      <w:r>
        <w:rPr>
          <w:rFonts w:ascii="宋体" w:hAnsi="宋体" w:cs="宋体"/>
          <w:bCs/>
          <w:sz w:val="24"/>
          <w:szCs w:val="24"/>
        </w:rPr>
        <w:t>该方案需从以下方面着手保障安全：</w:t>
      </w:r>
    </w:p>
    <w:p w14:paraId="6E7F2C44">
      <w:pPr>
        <w:spacing w:line="360" w:lineRule="auto"/>
        <w:ind w:firstLine="480" w:firstLineChars="200"/>
        <w:jc w:val="left"/>
        <w:rPr>
          <w:rFonts w:ascii="宋体" w:hAnsi="宋体" w:cs="宋体"/>
          <w:bCs/>
          <w:sz w:val="24"/>
          <w:szCs w:val="24"/>
        </w:rPr>
      </w:pPr>
      <w:r>
        <w:rPr>
          <w:rFonts w:ascii="宋体" w:hAnsi="宋体" w:cs="宋体"/>
          <w:bCs/>
          <w:sz w:val="24"/>
          <w:szCs w:val="24"/>
        </w:rPr>
        <w:t>1、所有门禁物理逻辑为：断电开启，通电才能闭合；</w:t>
      </w:r>
    </w:p>
    <w:p w14:paraId="0DA6D9ED">
      <w:pPr>
        <w:spacing w:line="360" w:lineRule="auto"/>
        <w:ind w:firstLine="480" w:firstLineChars="200"/>
        <w:jc w:val="left"/>
        <w:rPr>
          <w:rFonts w:ascii="宋体" w:hAnsi="宋体" w:cs="宋体"/>
          <w:bCs/>
          <w:sz w:val="24"/>
          <w:szCs w:val="24"/>
        </w:rPr>
      </w:pPr>
      <w:r>
        <w:rPr>
          <w:rFonts w:ascii="宋体" w:hAnsi="宋体" w:cs="宋体"/>
          <w:bCs/>
          <w:sz w:val="24"/>
          <w:szCs w:val="24"/>
        </w:rPr>
        <w:t>2、所有门禁均配置紧急开关，紧急情况下强制破碎按钮，可打开门禁；</w:t>
      </w:r>
    </w:p>
    <w:p w14:paraId="676ADFB2">
      <w:pPr>
        <w:spacing w:line="360" w:lineRule="auto"/>
        <w:ind w:firstLine="480" w:firstLineChars="200"/>
        <w:jc w:val="left"/>
        <w:rPr>
          <w:rFonts w:ascii="宋体" w:hAnsi="宋体" w:cs="宋体"/>
          <w:bCs/>
          <w:sz w:val="24"/>
          <w:szCs w:val="24"/>
        </w:rPr>
      </w:pPr>
      <w:r>
        <w:rPr>
          <w:rFonts w:ascii="宋体" w:hAnsi="宋体" w:cs="宋体"/>
          <w:bCs/>
          <w:sz w:val="24"/>
          <w:szCs w:val="24"/>
        </w:rPr>
        <w:t>3、所有门禁均可在后台手动操作开关；</w:t>
      </w:r>
    </w:p>
    <w:p w14:paraId="5C6DEF5A">
      <w:pPr>
        <w:spacing w:line="360" w:lineRule="auto"/>
        <w:ind w:firstLine="480" w:firstLineChars="200"/>
        <w:jc w:val="left"/>
        <w:rPr>
          <w:rFonts w:ascii="宋体" w:hAnsi="宋体" w:cs="宋体"/>
          <w:bCs/>
          <w:sz w:val="24"/>
          <w:szCs w:val="24"/>
        </w:rPr>
      </w:pPr>
      <w:r>
        <w:rPr>
          <w:rFonts w:ascii="宋体" w:hAnsi="宋体" w:cs="宋体"/>
          <w:bCs/>
          <w:sz w:val="24"/>
          <w:szCs w:val="24"/>
        </w:rPr>
        <w:t>4、所有门禁与所在楼栋消防系统，支持消防联动，触发消防事件后自动开启。</w:t>
      </w:r>
    </w:p>
    <w:p w14:paraId="1BD52010">
      <w:pPr>
        <w:spacing w:line="360" w:lineRule="auto"/>
        <w:ind w:firstLine="480" w:firstLineChars="200"/>
        <w:jc w:val="left"/>
        <w:rPr>
          <w:rFonts w:ascii="宋体" w:hAnsi="宋体" w:cs="宋体"/>
          <w:bCs/>
          <w:sz w:val="24"/>
          <w:szCs w:val="24"/>
        </w:rPr>
      </w:pPr>
      <w:r>
        <w:rPr>
          <w:rFonts w:ascii="宋体" w:hAnsi="宋体" w:cs="宋体"/>
          <w:bCs/>
          <w:sz w:val="24"/>
          <w:szCs w:val="24"/>
        </w:rPr>
        <w:t>5、值班室增加一键开门，紧急情况下一键开启所有门禁</w:t>
      </w:r>
    </w:p>
    <w:p w14:paraId="62591146">
      <w:pPr>
        <w:spacing w:line="360" w:lineRule="auto"/>
        <w:ind w:firstLine="437"/>
        <w:jc w:val="left"/>
        <w:rPr>
          <w:rFonts w:hint="eastAsia" w:ascii="宋体" w:hAnsi="宋体" w:cs="宋体"/>
          <w:b/>
          <w:sz w:val="24"/>
          <w:szCs w:val="24"/>
        </w:rPr>
      </w:pPr>
      <w:r>
        <w:rPr>
          <w:rFonts w:hint="eastAsia" w:ascii="宋体" w:hAnsi="宋体" w:cs="宋体"/>
          <w:b/>
          <w:sz w:val="24"/>
          <w:szCs w:val="24"/>
        </w:rPr>
        <w:t>三、货物需求</w:t>
      </w:r>
    </w:p>
    <w:p w14:paraId="76678ABE">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528E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37564C23">
            <w:pPr>
              <w:spacing w:line="360" w:lineRule="auto"/>
              <w:jc w:val="center"/>
              <w:rPr>
                <w:rFonts w:ascii="宋体" w:hAnsi="宋体" w:cs="宋体"/>
                <w:b/>
                <w:sz w:val="24"/>
                <w:szCs w:val="18"/>
              </w:rPr>
            </w:pPr>
            <w:r>
              <w:rPr>
                <w:rFonts w:hint="eastAsia" w:ascii="宋体" w:hAnsi="宋体" w:cs="宋体"/>
                <w:b/>
                <w:sz w:val="24"/>
                <w:szCs w:val="18"/>
              </w:rPr>
              <w:t>标识重要性</w:t>
            </w:r>
          </w:p>
        </w:tc>
        <w:tc>
          <w:tcPr>
            <w:tcW w:w="1365" w:type="dxa"/>
            <w:noWrap w:val="0"/>
            <w:vAlign w:val="center"/>
          </w:tcPr>
          <w:p w14:paraId="3D5A964C">
            <w:pPr>
              <w:spacing w:line="360" w:lineRule="auto"/>
              <w:jc w:val="center"/>
              <w:rPr>
                <w:rFonts w:ascii="宋体" w:hAnsi="宋体" w:cs="宋体"/>
                <w:b/>
                <w:sz w:val="24"/>
                <w:szCs w:val="18"/>
              </w:rPr>
            </w:pPr>
            <w:r>
              <w:rPr>
                <w:rFonts w:hint="eastAsia" w:ascii="宋体" w:hAnsi="宋体" w:cs="宋体"/>
                <w:b/>
                <w:sz w:val="24"/>
                <w:szCs w:val="18"/>
              </w:rPr>
              <w:t>标识符号</w:t>
            </w:r>
          </w:p>
        </w:tc>
        <w:tc>
          <w:tcPr>
            <w:tcW w:w="5692" w:type="dxa"/>
            <w:noWrap w:val="0"/>
            <w:vAlign w:val="center"/>
          </w:tcPr>
          <w:p w14:paraId="09693965">
            <w:pPr>
              <w:spacing w:line="360" w:lineRule="auto"/>
              <w:jc w:val="center"/>
              <w:rPr>
                <w:rFonts w:ascii="宋体" w:hAnsi="宋体" w:cs="宋体"/>
                <w:b/>
                <w:sz w:val="24"/>
                <w:szCs w:val="18"/>
              </w:rPr>
            </w:pPr>
            <w:r>
              <w:rPr>
                <w:rFonts w:hint="eastAsia" w:ascii="宋体" w:hAnsi="宋体" w:cs="宋体"/>
                <w:b/>
                <w:sz w:val="24"/>
                <w:szCs w:val="18"/>
              </w:rPr>
              <w:t>代表意思</w:t>
            </w:r>
          </w:p>
        </w:tc>
      </w:tr>
      <w:tr w14:paraId="1B492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1378852">
            <w:pPr>
              <w:spacing w:line="360" w:lineRule="auto"/>
              <w:jc w:val="center"/>
              <w:rPr>
                <w:rFonts w:ascii="宋体" w:hAnsi="宋体" w:cs="宋体"/>
                <w:b/>
                <w:bCs/>
                <w:sz w:val="24"/>
                <w:szCs w:val="18"/>
              </w:rPr>
            </w:pPr>
            <w:r>
              <w:rPr>
                <w:rFonts w:hint="eastAsia" w:ascii="宋体" w:hAnsi="宋体" w:cs="宋体"/>
                <w:b/>
                <w:bCs/>
                <w:sz w:val="24"/>
                <w:szCs w:val="18"/>
              </w:rPr>
              <w:t>重点指标</w:t>
            </w:r>
          </w:p>
        </w:tc>
        <w:tc>
          <w:tcPr>
            <w:tcW w:w="1365" w:type="dxa"/>
            <w:noWrap w:val="0"/>
            <w:vAlign w:val="center"/>
          </w:tcPr>
          <w:p w14:paraId="58E3FCBB">
            <w:pPr>
              <w:spacing w:line="360" w:lineRule="auto"/>
              <w:jc w:val="center"/>
              <w:rPr>
                <w:rFonts w:ascii="宋体" w:hAnsi="宋体" w:cs="宋体"/>
                <w:b/>
                <w:bCs/>
                <w:sz w:val="24"/>
                <w:szCs w:val="18"/>
              </w:rPr>
            </w:pPr>
            <w:r>
              <w:rPr>
                <w:rFonts w:hint="eastAsia" w:ascii="仿宋" w:hAnsi="仿宋" w:eastAsia="仿宋" w:cs="仿宋"/>
                <w:color w:val="000000"/>
                <w:szCs w:val="24"/>
              </w:rPr>
              <w:t>●</w:t>
            </w:r>
          </w:p>
        </w:tc>
        <w:tc>
          <w:tcPr>
            <w:tcW w:w="5692" w:type="dxa"/>
            <w:noWrap w:val="0"/>
            <w:vAlign w:val="center"/>
          </w:tcPr>
          <w:p w14:paraId="6AAA75A5">
            <w:pPr>
              <w:spacing w:line="360" w:lineRule="auto"/>
              <w:jc w:val="left"/>
              <w:rPr>
                <w:rFonts w:ascii="宋体" w:hAnsi="宋体" w:cs="宋体"/>
                <w:b/>
                <w:bCs/>
                <w:sz w:val="24"/>
              </w:rPr>
            </w:pPr>
            <w:r>
              <w:rPr>
                <w:rFonts w:ascii="Arial" w:hAnsi="Arial" w:cs="Arial"/>
                <w:b/>
                <w:bCs/>
                <w:sz w:val="24"/>
                <w:szCs w:val="24"/>
              </w:rPr>
              <w:t>作为</w:t>
            </w:r>
            <w:r>
              <w:rPr>
                <w:rFonts w:hint="eastAsia" w:ascii="Arial" w:hAnsi="Arial" w:cs="Arial"/>
                <w:b/>
                <w:bCs/>
                <w:sz w:val="24"/>
                <w:szCs w:val="24"/>
              </w:rPr>
              <w:t>实质性要求</w:t>
            </w:r>
            <w:r>
              <w:rPr>
                <w:rFonts w:ascii="Arial" w:hAnsi="Arial" w:cs="Arial"/>
                <w:b/>
                <w:bCs/>
                <w:sz w:val="24"/>
                <w:szCs w:val="24"/>
              </w:rPr>
              <w:t>，负偏离或未响应，将导致</w:t>
            </w:r>
            <w:r>
              <w:rPr>
                <w:rFonts w:hint="eastAsia" w:ascii="Arial" w:hAnsi="Arial" w:cs="Arial"/>
                <w:b/>
                <w:bCs/>
                <w:sz w:val="24"/>
                <w:szCs w:val="24"/>
              </w:rPr>
              <w:t>参选</w:t>
            </w:r>
            <w:r>
              <w:rPr>
                <w:rFonts w:ascii="Arial" w:hAnsi="Arial" w:cs="Arial"/>
                <w:b/>
                <w:bCs/>
                <w:sz w:val="24"/>
                <w:szCs w:val="24"/>
              </w:rPr>
              <w:t>无效</w:t>
            </w:r>
            <w:r>
              <w:rPr>
                <w:rFonts w:hint="eastAsia" w:ascii="Arial" w:hAnsi="Arial" w:cs="Arial"/>
                <w:b/>
                <w:bCs/>
                <w:sz w:val="24"/>
                <w:szCs w:val="24"/>
              </w:rPr>
              <w:t>。</w:t>
            </w:r>
          </w:p>
        </w:tc>
      </w:tr>
      <w:tr w14:paraId="179B7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27C58D03">
            <w:pPr>
              <w:spacing w:line="360" w:lineRule="auto"/>
              <w:jc w:val="center"/>
              <w:rPr>
                <w:rFonts w:hint="eastAsia" w:ascii="宋体" w:hAnsi="宋体" w:cs="宋体"/>
                <w:b/>
                <w:bCs/>
                <w:sz w:val="24"/>
                <w:szCs w:val="18"/>
              </w:rPr>
            </w:pPr>
            <w:r>
              <w:rPr>
                <w:rFonts w:hint="eastAsia" w:ascii="宋体" w:hAnsi="宋体" w:cs="宋体"/>
                <w:b/>
                <w:bCs/>
                <w:sz w:val="24"/>
                <w:szCs w:val="18"/>
              </w:rPr>
              <w:t>核心指标项</w:t>
            </w:r>
          </w:p>
        </w:tc>
        <w:tc>
          <w:tcPr>
            <w:tcW w:w="1365" w:type="dxa"/>
            <w:noWrap w:val="0"/>
            <w:vAlign w:val="center"/>
          </w:tcPr>
          <w:p w14:paraId="726A1F4D">
            <w:pPr>
              <w:spacing w:line="360" w:lineRule="auto"/>
              <w:jc w:val="center"/>
              <w:rPr>
                <w:rFonts w:hint="eastAsia" w:ascii="宋体" w:hAnsi="宋体"/>
                <w:bCs/>
                <w:sz w:val="24"/>
                <w:szCs w:val="18"/>
              </w:rPr>
            </w:pPr>
            <w:r>
              <w:rPr>
                <w:rFonts w:hint="eastAsia" w:ascii="宋体" w:hAnsi="宋体"/>
                <w:bCs/>
                <w:sz w:val="24"/>
                <w:szCs w:val="18"/>
              </w:rPr>
              <w:t>★</w:t>
            </w:r>
          </w:p>
        </w:tc>
        <w:tc>
          <w:tcPr>
            <w:tcW w:w="5692" w:type="dxa"/>
            <w:noWrap w:val="0"/>
            <w:vAlign w:val="center"/>
          </w:tcPr>
          <w:p w14:paraId="524BE41A">
            <w:pPr>
              <w:spacing w:line="360" w:lineRule="auto"/>
              <w:jc w:val="left"/>
              <w:rPr>
                <w:rFonts w:hint="eastAsia" w:ascii="宋体" w:hAnsi="宋体" w:cs="宋体"/>
                <w:b/>
                <w:bCs/>
                <w:sz w:val="24"/>
                <w:szCs w:val="24"/>
              </w:rPr>
            </w:pPr>
            <w:r>
              <w:rPr>
                <w:rFonts w:hint="eastAsia" w:ascii="宋体" w:hAnsi="宋体" w:cs="宋体"/>
                <w:b/>
                <w:bCs/>
                <w:sz w:val="24"/>
                <w:szCs w:val="24"/>
              </w:rPr>
              <w:t>作为评分项，详见“第四章 评标方法和标准”中评分细则。</w:t>
            </w:r>
          </w:p>
        </w:tc>
      </w:tr>
      <w:tr w14:paraId="00245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4071F597">
            <w:pPr>
              <w:spacing w:line="360" w:lineRule="auto"/>
              <w:jc w:val="center"/>
              <w:rPr>
                <w:rFonts w:hint="eastAsia" w:ascii="宋体" w:hAnsi="宋体" w:cs="宋体"/>
                <w:b/>
                <w:bCs/>
                <w:sz w:val="24"/>
                <w:szCs w:val="18"/>
              </w:rPr>
            </w:pPr>
            <w:r>
              <w:rPr>
                <w:rFonts w:hint="eastAsia" w:ascii="宋体" w:hAnsi="宋体" w:cs="宋体"/>
                <w:b/>
                <w:bCs/>
                <w:sz w:val="24"/>
                <w:szCs w:val="18"/>
              </w:rPr>
              <w:t>无标识项</w:t>
            </w:r>
          </w:p>
        </w:tc>
        <w:tc>
          <w:tcPr>
            <w:tcW w:w="1365" w:type="dxa"/>
            <w:noWrap w:val="0"/>
            <w:vAlign w:val="center"/>
          </w:tcPr>
          <w:p w14:paraId="3EB20893">
            <w:pPr>
              <w:spacing w:line="360" w:lineRule="auto"/>
              <w:jc w:val="center"/>
              <w:rPr>
                <w:rFonts w:hint="eastAsia" w:ascii="宋体" w:hAnsi="宋体"/>
                <w:bCs/>
                <w:sz w:val="24"/>
                <w:szCs w:val="18"/>
              </w:rPr>
            </w:pPr>
          </w:p>
        </w:tc>
        <w:tc>
          <w:tcPr>
            <w:tcW w:w="5692" w:type="dxa"/>
            <w:noWrap w:val="0"/>
            <w:vAlign w:val="center"/>
          </w:tcPr>
          <w:p w14:paraId="1545D763">
            <w:pPr>
              <w:spacing w:line="360" w:lineRule="auto"/>
              <w:jc w:val="left"/>
              <w:rPr>
                <w:rFonts w:hint="eastAsia" w:ascii="宋体" w:hAnsi="宋体" w:cs="宋体"/>
                <w:b/>
                <w:bCs/>
                <w:sz w:val="24"/>
                <w:szCs w:val="24"/>
              </w:rPr>
            </w:pPr>
            <w:r>
              <w:rPr>
                <w:rFonts w:ascii="Arial" w:hAnsi="Arial" w:cs="Arial"/>
                <w:b/>
                <w:bCs/>
                <w:sz w:val="24"/>
                <w:szCs w:val="24"/>
              </w:rPr>
              <w:t>作为基础指标，</w:t>
            </w:r>
            <w:r>
              <w:rPr>
                <w:rFonts w:hint="eastAsia" w:ascii="宋体" w:hAnsi="宋体" w:cs="宋体"/>
                <w:b/>
                <w:bCs/>
                <w:color w:val="000000"/>
                <w:sz w:val="24"/>
                <w:szCs w:val="24"/>
              </w:rPr>
              <w:t>超过</w:t>
            </w:r>
            <w:r>
              <w:rPr>
                <w:rFonts w:ascii="宋体" w:hAnsi="宋体" w:cs="宋体"/>
                <w:b/>
                <w:bCs/>
                <w:color w:val="000000"/>
                <w:sz w:val="24"/>
                <w:szCs w:val="24"/>
              </w:rPr>
              <w:t>3</w:t>
            </w:r>
            <w:r>
              <w:rPr>
                <w:rFonts w:hint="eastAsia" w:ascii="宋体" w:hAnsi="宋体" w:cs="宋体"/>
                <w:b/>
                <w:bCs/>
                <w:color w:val="000000"/>
                <w:sz w:val="24"/>
                <w:szCs w:val="24"/>
              </w:rPr>
              <w:t>（含</w:t>
            </w:r>
            <w:r>
              <w:rPr>
                <w:rFonts w:ascii="宋体" w:hAnsi="宋体" w:cs="宋体"/>
                <w:b/>
                <w:bCs/>
                <w:color w:val="000000"/>
                <w:sz w:val="24"/>
                <w:szCs w:val="24"/>
              </w:rPr>
              <w:t>3</w:t>
            </w:r>
            <w:r>
              <w:rPr>
                <w:rFonts w:hint="eastAsia" w:ascii="宋体" w:hAnsi="宋体" w:cs="宋体"/>
                <w:b/>
                <w:bCs/>
                <w:color w:val="000000"/>
                <w:sz w:val="24"/>
                <w:szCs w:val="24"/>
              </w:rPr>
              <w:t>）条及以上负</w:t>
            </w:r>
            <w:r>
              <w:rPr>
                <w:rFonts w:hint="eastAsia" w:ascii="宋体" w:hAnsi="宋体" w:cs="宋体"/>
                <w:b/>
                <w:bCs/>
                <w:sz w:val="24"/>
                <w:szCs w:val="24"/>
              </w:rPr>
              <w:t>偏离或未响应，将导致参选无效。</w:t>
            </w:r>
          </w:p>
        </w:tc>
      </w:tr>
      <w:tr w14:paraId="513D1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4D65AFFE">
            <w:pPr>
              <w:spacing w:line="360" w:lineRule="auto"/>
              <w:rPr>
                <w:rFonts w:hint="eastAsia" w:ascii="宋体" w:hAnsi="宋体" w:cs="宋体"/>
                <w:b/>
                <w:color w:val="000000"/>
                <w:sz w:val="24"/>
              </w:rPr>
            </w:pPr>
            <w:r>
              <w:rPr>
                <w:rFonts w:hint="eastAsia" w:ascii="宋体" w:hAnsi="宋体" w:cs="宋体"/>
                <w:b/>
                <w:sz w:val="24"/>
              </w:rPr>
              <w:t>注</w:t>
            </w:r>
            <w:r>
              <w:rPr>
                <w:rFonts w:hint="eastAsia" w:ascii="宋体" w:hAnsi="宋体" w:cs="宋体"/>
                <w:b/>
                <w:color w:val="000000"/>
                <w:sz w:val="24"/>
              </w:rPr>
              <w:t>：</w:t>
            </w:r>
          </w:p>
          <w:p w14:paraId="24668737">
            <w:pPr>
              <w:spacing w:line="360" w:lineRule="auto"/>
              <w:jc w:val="left"/>
              <w:rPr>
                <w:rFonts w:hint="eastAsia" w:ascii="宋体" w:hAnsi="宋体" w:cs="宋体"/>
                <w:b/>
                <w:bCs/>
                <w:color w:val="000000"/>
                <w:sz w:val="24"/>
                <w:szCs w:val="24"/>
              </w:rPr>
            </w:pPr>
            <w:r>
              <w:rPr>
                <w:rFonts w:hint="eastAsia" w:ascii="宋体" w:hAnsi="宋体" w:cs="宋体"/>
                <w:b/>
                <w:bCs/>
                <w:color w:val="000000"/>
                <w:sz w:val="24"/>
                <w:szCs w:val="24"/>
              </w:rPr>
              <w:t>（1）针对下表中标注★的指标项须在参选文件中提供证明材料予以佐证。</w:t>
            </w:r>
          </w:p>
          <w:p w14:paraId="5BF17EEF">
            <w:pPr>
              <w:spacing w:line="360" w:lineRule="auto"/>
              <w:jc w:val="left"/>
              <w:rPr>
                <w:rFonts w:hint="eastAsia" w:ascii="宋体" w:hAnsi="宋体" w:cs="宋体"/>
                <w:b/>
                <w:color w:val="000000"/>
                <w:sz w:val="24"/>
                <w:szCs w:val="24"/>
                <w:lang w:val="zh-CN"/>
              </w:rPr>
            </w:pPr>
            <w:r>
              <w:rPr>
                <w:rFonts w:hint="eastAsia" w:ascii="宋体" w:hAnsi="宋体" w:cs="宋体"/>
                <w:b/>
                <w:color w:val="000000"/>
                <w:sz w:val="24"/>
                <w:szCs w:val="24"/>
              </w:rPr>
              <w:t>1.采购需求中</w:t>
            </w:r>
            <w:r>
              <w:rPr>
                <w:rFonts w:hint="eastAsia" w:ascii="宋体" w:hAnsi="宋体" w:cs="宋体"/>
                <w:b/>
                <w:color w:val="000000"/>
                <w:sz w:val="24"/>
                <w:szCs w:val="24"/>
                <w:lang w:val="zh-CN"/>
              </w:rPr>
              <w:t>明确要求提供</w:t>
            </w:r>
            <w:r>
              <w:rPr>
                <w:rFonts w:hint="eastAsia" w:ascii="宋体" w:hAnsi="宋体" w:cs="宋体"/>
                <w:b/>
                <w:color w:val="000000"/>
                <w:sz w:val="24"/>
                <w:szCs w:val="24"/>
              </w:rPr>
              <w:t>相关</w:t>
            </w:r>
            <w:r>
              <w:rPr>
                <w:rFonts w:hint="eastAsia" w:ascii="宋体" w:hAnsi="宋体" w:cs="宋体"/>
                <w:b/>
                <w:color w:val="000000"/>
                <w:sz w:val="24"/>
                <w:szCs w:val="24"/>
                <w:lang w:val="zh-CN"/>
              </w:rPr>
              <w:t>材料</w:t>
            </w:r>
            <w:r>
              <w:rPr>
                <w:rFonts w:hint="eastAsia" w:ascii="宋体" w:hAnsi="宋体" w:cs="宋体"/>
                <w:b/>
                <w:color w:val="000000"/>
                <w:sz w:val="24"/>
                <w:szCs w:val="24"/>
              </w:rPr>
              <w:t>的</w:t>
            </w:r>
            <w:r>
              <w:rPr>
                <w:rFonts w:hint="eastAsia" w:ascii="宋体" w:hAnsi="宋体" w:cs="宋体"/>
                <w:b/>
                <w:color w:val="000000"/>
                <w:sz w:val="24"/>
                <w:szCs w:val="24"/>
                <w:lang w:val="zh-CN"/>
              </w:rPr>
              <w:t>按采购需求要求提供</w:t>
            </w:r>
            <w:r>
              <w:rPr>
                <w:rFonts w:hint="eastAsia" w:ascii="宋体" w:hAnsi="宋体" w:cs="宋体"/>
                <w:b/>
                <w:color w:val="000000"/>
                <w:sz w:val="24"/>
                <w:szCs w:val="24"/>
              </w:rPr>
              <w:t>对应证明材料</w:t>
            </w:r>
            <w:r>
              <w:rPr>
                <w:rFonts w:hint="eastAsia" w:ascii="宋体" w:hAnsi="宋体" w:cs="宋体"/>
                <w:b/>
                <w:color w:val="000000"/>
                <w:sz w:val="24"/>
                <w:szCs w:val="24"/>
                <w:lang w:val="zh-CN"/>
              </w:rPr>
              <w:t>；</w:t>
            </w:r>
          </w:p>
          <w:p w14:paraId="517CB03E">
            <w:pPr>
              <w:spacing w:line="360" w:lineRule="auto"/>
              <w:rPr>
                <w:rFonts w:hint="eastAsia" w:ascii="宋体" w:hAnsi="宋体" w:cs="宋体"/>
                <w:b/>
                <w:bCs/>
                <w:color w:val="000000"/>
                <w:sz w:val="24"/>
                <w:szCs w:val="24"/>
              </w:rPr>
            </w:pPr>
            <w:r>
              <w:rPr>
                <w:rFonts w:hint="eastAsia" w:ascii="宋体" w:hAnsi="宋体" w:cs="宋体"/>
                <w:b/>
                <w:color w:val="000000"/>
                <w:sz w:val="24"/>
                <w:szCs w:val="24"/>
              </w:rPr>
              <w:t>2.采购需求中未明确要求提供证明料的，参选人须自行提供</w:t>
            </w:r>
            <w:r>
              <w:rPr>
                <w:rFonts w:hint="eastAsia" w:ascii="宋体" w:hAnsi="宋体" w:cs="宋体"/>
                <w:b/>
                <w:bCs/>
                <w:color w:val="000000"/>
                <w:sz w:val="24"/>
                <w:szCs w:val="24"/>
              </w:rPr>
              <w:t>证明材料，包括产品技术白皮书、产品技术说明书、产品彩页（产品功能截图）、厂家（制造商）官网截图、第三方机构出具的带有CMA或</w:t>
            </w:r>
            <w:r>
              <w:rPr>
                <w:rFonts w:hint="eastAsia" w:ascii="宋体" w:hAnsi="宋体" w:cs="宋体"/>
                <w:b/>
                <w:bCs/>
                <w:color w:val="000000"/>
                <w:kern w:val="0"/>
                <w:sz w:val="24"/>
                <w:szCs w:val="24"/>
                <w:lang w:bidi="ar"/>
              </w:rPr>
              <w:t>CNAS</w:t>
            </w:r>
            <w:r>
              <w:rPr>
                <w:rFonts w:hint="eastAsia" w:ascii="宋体" w:hAnsi="宋体" w:cs="宋体"/>
                <w:b/>
                <w:bCs/>
                <w:color w:val="000000"/>
                <w:sz w:val="24"/>
                <w:szCs w:val="24"/>
              </w:rPr>
              <w:t>标识的检测报告，提供其中之一即可。未按以上要求提供证明材料的视为负偏离或未响应（为便于评审，建议参选人对证明材料中的关键参数进行标注）。</w:t>
            </w:r>
          </w:p>
          <w:p w14:paraId="58142980">
            <w:pPr>
              <w:spacing w:line="360" w:lineRule="auto"/>
              <w:rPr>
                <w:rFonts w:ascii="宋体" w:hAnsi="宋体" w:cs="宋体"/>
                <w:bCs/>
                <w:sz w:val="24"/>
              </w:rPr>
            </w:pPr>
            <w:r>
              <w:rPr>
                <w:rFonts w:hint="eastAsia" w:ascii="宋体" w:hAnsi="宋体" w:cs="宋体"/>
                <w:b/>
                <w:sz w:val="24"/>
              </w:rPr>
              <w:t>（2）如某项标识中包含多条技术参数或要求，则该项标识所含内容均需满足或优于比选文件要求，否则不予认可。</w:t>
            </w:r>
          </w:p>
        </w:tc>
      </w:tr>
    </w:tbl>
    <w:p w14:paraId="31344B24">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52" w:type="pct"/>
        <w:jc w:val="center"/>
        <w:tblLayout w:type="fixed"/>
        <w:tblCellMar>
          <w:top w:w="0" w:type="dxa"/>
          <w:left w:w="108" w:type="dxa"/>
          <w:bottom w:w="0" w:type="dxa"/>
          <w:right w:w="108" w:type="dxa"/>
        </w:tblCellMar>
      </w:tblPr>
      <w:tblGrid>
        <w:gridCol w:w="492"/>
        <w:gridCol w:w="994"/>
        <w:gridCol w:w="5669"/>
        <w:gridCol w:w="727"/>
        <w:gridCol w:w="729"/>
      </w:tblGrid>
      <w:tr w14:paraId="6331D63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2FAFAF22">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序号</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81EB09C">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名称</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AE2F8A6">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参数</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8A9BDEE">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数量</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EA0E571">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单位</w:t>
            </w:r>
          </w:p>
        </w:tc>
      </w:tr>
      <w:tr w14:paraId="7FAE79B7">
        <w:tblPrEx>
          <w:tblCellMar>
            <w:top w:w="0" w:type="dxa"/>
            <w:left w:w="108" w:type="dxa"/>
            <w:bottom w:w="0" w:type="dxa"/>
            <w:right w:w="108" w:type="dxa"/>
          </w:tblCellMar>
        </w:tblPrEx>
        <w:trPr>
          <w:trHeight w:val="570"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6D3F84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8B248DF">
            <w:pPr>
              <w:widowControl/>
              <w:snapToGrid w:val="0"/>
              <w:jc w:val="center"/>
              <w:textAlignment w:val="center"/>
              <w:rPr>
                <w:rFonts w:hint="eastAsia" w:ascii="宋体" w:hAnsi="宋体" w:cs="宋体"/>
                <w:color w:val="auto"/>
                <w:sz w:val="24"/>
                <w:szCs w:val="24"/>
              </w:rPr>
            </w:pPr>
            <w:r>
              <w:rPr>
                <w:rFonts w:hint="eastAsia" w:ascii="宋体" w:hAnsi="宋体" w:cs="宋体"/>
                <w:color w:val="auto"/>
                <w:sz w:val="24"/>
                <w:szCs w:val="24"/>
              </w:rPr>
              <w:t>门禁管控平台</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8AB9026">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1.需接入本项目所有人脸门禁一体机、门禁控制器。</w:t>
            </w:r>
          </w:p>
          <w:p w14:paraId="13506279">
            <w:pPr>
              <w:widowControl/>
              <w:snapToGrid w:val="0"/>
              <w:textAlignment w:val="center"/>
              <w:rPr>
                <w:rFonts w:hint="eastAsia" w:ascii="宋体" w:hAnsi="宋体" w:cs="宋体"/>
                <w:b/>
                <w:color w:val="auto"/>
                <w:kern w:val="0"/>
                <w:sz w:val="24"/>
                <w:szCs w:val="24"/>
                <w:lang w:bidi="ar"/>
              </w:rPr>
            </w:pPr>
            <w:r>
              <w:rPr>
                <w:rFonts w:hint="eastAsia" w:ascii="宋体" w:hAnsi="宋体" w:cs="宋体"/>
                <w:color w:val="auto"/>
                <w:kern w:val="0"/>
                <w:sz w:val="24"/>
                <w:szCs w:val="24"/>
                <w:lang w:bidi="ar"/>
              </w:rPr>
              <w:t>2.支持AD域，支持部署组件（服务）到服务器集群，并进行集群管理</w:t>
            </w:r>
            <w:r>
              <w:rPr>
                <w:rFonts w:hint="eastAsia" w:ascii="宋体" w:hAnsi="宋体" w:cs="宋体"/>
                <w:b/>
                <w:color w:val="auto"/>
                <w:kern w:val="0"/>
                <w:sz w:val="24"/>
                <w:szCs w:val="24"/>
                <w:lang w:bidi="ar"/>
              </w:rPr>
              <w:t>。</w:t>
            </w:r>
          </w:p>
          <w:p w14:paraId="421A2293">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3.支持根据用户使用习惯自定义配置快捷功能入口，支持首页投放大屏展示，支持最近7天每日的用户活跃数统计；支持多色彩（红、橙、黄）展示运行告警状态，支持告警统计、概览、处理，支持告警记录查看、查询，支持告警单条、批量处理；支持系统最近7天每日告警数统计，支持评分量化系统监控指数，显示系统运行状态。</w:t>
            </w:r>
          </w:p>
          <w:p w14:paraId="135C1E8D">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4.支持视频画面叠加水印，包括视频预览、录像回放、即时回放、录像剪辑、手动录像和录像下载时叠加；支持设备录像回传至中心存储，可以支持计划回传和手动回传两种模式。</w:t>
            </w:r>
          </w:p>
          <w:p w14:paraId="392A7266">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★5.支持可设置门禁权限为长期有效；权限时间支持精确到秒；门禁权限手动冻结、解冻；支持开启自动清理一定时间范围未使用的门禁权限。</w:t>
            </w:r>
          </w:p>
          <w:p w14:paraId="2B0FE154">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6.支持通过APP端输入人员姓名、身份证号查询人员姓名、部门、照片、身份证号。</w:t>
            </w:r>
          </w:p>
          <w:p w14:paraId="4AB25BB8">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7.支持大屏控制，可对大屏进行1/4/9/16/25分屏、拼接、开窗、窗口漫游的操作，通过客户端支持电视墙开窗后支持分割，并可将大屏分屏配置另保存为场景。</w:t>
            </w:r>
          </w:p>
          <w:p w14:paraId="474FF14B">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★8.支持查看今日告警事件数据，包括事件总数、已处置和未处置数、处置率。</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A934F3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EFF139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4D6CDF12">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89AF74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0DED53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人脸门禁一体机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1581BF32">
            <w:pPr>
              <w:rPr>
                <w:rFonts w:hint="eastAsia" w:ascii="宋体" w:hAnsi="宋体" w:cs="宋体"/>
                <w:color w:val="auto"/>
                <w:sz w:val="24"/>
                <w:szCs w:val="24"/>
              </w:rPr>
            </w:pPr>
            <w:r>
              <w:rPr>
                <w:rFonts w:hint="eastAsia" w:ascii="宋体" w:hAnsi="宋体" w:cs="宋体"/>
                <w:color w:val="auto"/>
                <w:sz w:val="24"/>
                <w:szCs w:val="24"/>
              </w:rPr>
              <w:t>屏幕应为不小于7英寸触摸屏；应采用水滴屏全贴合工艺；玻璃屏占比≥90%。屏幕流明度≥600cd/m2；屏幕分辨率应不低于600*1024；屏显下端应具有圆形指示灯，指示灯应支持固定频率的亮起和熄灭（呼吸状态）及识别状态提示。</w:t>
            </w:r>
          </w:p>
          <w:p w14:paraId="66330A25">
            <w:pPr>
              <w:rPr>
                <w:rFonts w:hint="eastAsia" w:ascii="宋体" w:hAnsi="宋体" w:cs="宋体"/>
                <w:color w:val="auto"/>
                <w:sz w:val="24"/>
                <w:szCs w:val="24"/>
              </w:rPr>
            </w:pPr>
            <w:r>
              <w:rPr>
                <w:rFonts w:hint="eastAsia" w:ascii="宋体" w:hAnsi="宋体" w:cs="宋体"/>
                <w:color w:val="auto"/>
                <w:sz w:val="24"/>
                <w:szCs w:val="24"/>
              </w:rPr>
              <w:t>一、硬件接口：不低于以下要求</w:t>
            </w:r>
          </w:p>
          <w:p w14:paraId="295E44E3">
            <w:pPr>
              <w:rPr>
                <w:rFonts w:hint="eastAsia" w:ascii="宋体" w:hAnsi="宋体" w:cs="宋体"/>
                <w:color w:val="auto"/>
                <w:sz w:val="24"/>
                <w:szCs w:val="24"/>
              </w:rPr>
            </w:pPr>
            <w:r>
              <w:rPr>
                <w:rFonts w:hint="eastAsia" w:ascii="宋体" w:hAnsi="宋体" w:cs="宋体"/>
                <w:color w:val="auto"/>
                <w:sz w:val="24"/>
                <w:szCs w:val="24"/>
              </w:rPr>
              <w:t>1.LAN×1，支持 10M/100M/1000M 网络自适应配置；</w:t>
            </w:r>
          </w:p>
          <w:p w14:paraId="0284C6FF">
            <w:pPr>
              <w:rPr>
                <w:rFonts w:hint="eastAsia" w:ascii="宋体" w:hAnsi="宋体" w:cs="宋体"/>
                <w:color w:val="auto"/>
                <w:sz w:val="24"/>
                <w:szCs w:val="24"/>
              </w:rPr>
            </w:pPr>
            <w:r>
              <w:rPr>
                <w:rFonts w:hint="eastAsia" w:ascii="宋体" w:hAnsi="宋体" w:cs="宋体"/>
                <w:color w:val="auto"/>
                <w:sz w:val="24"/>
                <w:szCs w:val="24"/>
              </w:rPr>
              <w:t>2.RS-485 串口×1 个；</w:t>
            </w:r>
          </w:p>
          <w:p w14:paraId="4B60C2A0">
            <w:pPr>
              <w:rPr>
                <w:rFonts w:hint="eastAsia" w:ascii="宋体" w:hAnsi="宋体" w:cs="宋体"/>
                <w:color w:val="auto"/>
                <w:sz w:val="24"/>
                <w:szCs w:val="24"/>
              </w:rPr>
            </w:pPr>
            <w:r>
              <w:rPr>
                <w:rFonts w:hint="eastAsia" w:ascii="宋体" w:hAnsi="宋体" w:cs="宋体"/>
                <w:color w:val="auto"/>
                <w:sz w:val="24"/>
                <w:szCs w:val="24"/>
              </w:rPr>
              <w:t>3.输入、输出韦根接口×1 个（平台可配置）；</w:t>
            </w:r>
          </w:p>
          <w:p w14:paraId="7F8990A8">
            <w:pPr>
              <w:rPr>
                <w:rFonts w:hint="eastAsia" w:ascii="宋体" w:hAnsi="宋体" w:cs="宋体"/>
                <w:color w:val="auto"/>
                <w:sz w:val="24"/>
                <w:szCs w:val="24"/>
              </w:rPr>
            </w:pPr>
            <w:r>
              <w:rPr>
                <w:rFonts w:hint="eastAsia" w:ascii="宋体" w:hAnsi="宋体" w:cs="宋体"/>
                <w:color w:val="auto"/>
                <w:sz w:val="24"/>
                <w:szCs w:val="24"/>
              </w:rPr>
              <w:t>4.USB 接口×2 个，包括 type C 接口、micro USB 接口和普通 USB 连接口（需扩展线）；5.内置扬声器×1 个；</w:t>
            </w:r>
          </w:p>
          <w:p w14:paraId="0FE93496">
            <w:pPr>
              <w:rPr>
                <w:rFonts w:hint="eastAsia" w:ascii="宋体" w:hAnsi="宋体" w:cs="宋体"/>
                <w:color w:val="auto"/>
                <w:sz w:val="24"/>
                <w:szCs w:val="24"/>
              </w:rPr>
            </w:pPr>
            <w:r>
              <w:rPr>
                <w:rFonts w:hint="eastAsia" w:ascii="宋体" w:hAnsi="宋体" w:cs="宋体"/>
                <w:color w:val="auto"/>
                <w:sz w:val="24"/>
                <w:szCs w:val="24"/>
              </w:rPr>
              <w:t>6.门锁 I/O 输出×1 个；</w:t>
            </w:r>
          </w:p>
          <w:p w14:paraId="6625EBBC">
            <w:pPr>
              <w:rPr>
                <w:rFonts w:hint="eastAsia" w:ascii="宋体" w:hAnsi="宋体" w:cs="宋体"/>
                <w:color w:val="auto"/>
                <w:sz w:val="24"/>
                <w:szCs w:val="24"/>
              </w:rPr>
            </w:pPr>
            <w:r>
              <w:rPr>
                <w:rFonts w:hint="eastAsia" w:ascii="宋体" w:hAnsi="宋体" w:cs="宋体"/>
                <w:color w:val="auto"/>
                <w:sz w:val="24"/>
                <w:szCs w:val="24"/>
              </w:rPr>
              <w:t>7.门磁 I/O 输入×1 个；</w:t>
            </w:r>
          </w:p>
          <w:p w14:paraId="66D8AABB">
            <w:pPr>
              <w:rPr>
                <w:rFonts w:hint="eastAsia" w:ascii="宋体" w:hAnsi="宋体" w:cs="宋体"/>
                <w:color w:val="auto"/>
                <w:sz w:val="24"/>
                <w:szCs w:val="24"/>
              </w:rPr>
            </w:pPr>
            <w:r>
              <w:rPr>
                <w:rFonts w:hint="eastAsia" w:ascii="宋体" w:hAnsi="宋体" w:cs="宋体"/>
                <w:color w:val="auto"/>
                <w:sz w:val="24"/>
                <w:szCs w:val="24"/>
              </w:rPr>
              <w:t>8.开门按钮 I/O 输入×1 个；</w:t>
            </w:r>
          </w:p>
          <w:p w14:paraId="7DF1CA3E">
            <w:pPr>
              <w:rPr>
                <w:rFonts w:hint="eastAsia" w:ascii="宋体" w:hAnsi="宋体" w:cs="宋体"/>
                <w:color w:val="auto"/>
                <w:sz w:val="24"/>
                <w:szCs w:val="24"/>
              </w:rPr>
            </w:pPr>
            <w:r>
              <w:rPr>
                <w:rFonts w:hint="eastAsia" w:ascii="宋体" w:hAnsi="宋体" w:cs="宋体"/>
                <w:color w:val="auto"/>
                <w:sz w:val="24"/>
                <w:szCs w:val="24"/>
              </w:rPr>
              <w:t>9.报警 I/O 输出×1 个；</w:t>
            </w:r>
          </w:p>
          <w:p w14:paraId="1C31B2D8">
            <w:pPr>
              <w:rPr>
                <w:rFonts w:hint="eastAsia" w:ascii="宋体" w:hAnsi="宋体" w:cs="宋体"/>
                <w:color w:val="auto"/>
                <w:sz w:val="24"/>
                <w:szCs w:val="24"/>
              </w:rPr>
            </w:pPr>
            <w:r>
              <w:rPr>
                <w:rFonts w:hint="eastAsia" w:ascii="宋体" w:hAnsi="宋体" w:cs="宋体"/>
                <w:color w:val="auto"/>
                <w:sz w:val="24"/>
                <w:szCs w:val="24"/>
              </w:rPr>
              <w:t>10.报警事件 I/O 输入×2 个。</w:t>
            </w:r>
          </w:p>
          <w:p w14:paraId="4E8D06F4">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二、功能要求</w:t>
            </w:r>
          </w:p>
          <w:p w14:paraId="3C1DD83E">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★1.设备离线应支持至少10000个用户（用户权限应能配置为管理员）、10000张人脸库、50000张卡片容量、150000 笔记录存储、10000个密码、10000个掌纹掌静脉特征。</w:t>
            </w:r>
          </w:p>
          <w:p w14:paraId="3A2FDD7E">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sz w:val="24"/>
                <w:szCs w:val="24"/>
              </w:rPr>
              <w:t>2.应具有拓展GPS定位模块能力，应能通过事件方式定时上报设备位置信息</w:t>
            </w:r>
            <w:r>
              <w:rPr>
                <w:rFonts w:hint="eastAsia" w:ascii="宋体" w:hAnsi="宋体" w:cs="宋体"/>
                <w:color w:val="auto"/>
                <w:kern w:val="0"/>
                <w:sz w:val="24"/>
                <w:szCs w:val="24"/>
                <w:lang w:bidi="ar"/>
              </w:rPr>
              <w:t>。</w:t>
            </w:r>
          </w:p>
          <w:p w14:paraId="0E1556CE">
            <w:pPr>
              <w:rPr>
                <w:rFonts w:hint="eastAsia" w:ascii="宋体" w:hAnsi="宋体" w:cs="宋体"/>
                <w:color w:val="auto"/>
                <w:sz w:val="24"/>
                <w:szCs w:val="24"/>
              </w:rPr>
            </w:pPr>
            <w:r>
              <w:rPr>
                <w:rFonts w:hint="eastAsia" w:ascii="宋体" w:hAnsi="宋体" w:cs="宋体"/>
                <w:color w:val="auto"/>
                <w:sz w:val="24"/>
                <w:szCs w:val="24"/>
              </w:rPr>
              <w:t>★3.设备接入系统平台后应能支持视频联动报警功能；未授权人员刷人脸时，设备应能支持抓拍图片并实时上报平台预警；系统应具有应急开启的方法，如设备支持接入消防应急信号联动开门；根据设定事件的联动关系，当检测到该事件发生时，应能触发对应的动作。</w:t>
            </w:r>
          </w:p>
          <w:p w14:paraId="446E8F03">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★4.支持本地非明文存储比对结果、身份信息及抓拍人脸照片；支持实时非明文上传比对结果、身份信息及抓拍人脸照片等至管理中心；支持断网续传离线记录非明文数据功能；支持对 USB 导出数据（事件记录及人脸等）应采用非明文方案。</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04706D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D83D66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3E359A8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EDA4AC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32CA040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门禁控制器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5E88C0D">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1.管控门数：2门；</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2.通讯方式：上行TCP/IP；</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3.可接读卡器：不少RS485读卡器*4、Wiegand读卡器*4；</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4.存储容量：不低于10万张卡和20万记录存储；</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5.门禁高级功能：支持多门互锁、单主机反潜回、多重卡认证等；</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6.输入接口：门磁*2、开门按钮*2、Case输入*5、防拆*1、消防*1；</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7.输出接口：开门继电器*2、报警继电器*4；</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8.其他功能：带消防联动继电器接口；</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9.工作电压：DC 12V（自带开关电源：220V输入，12V/100W输出）。</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C63359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34</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166D92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028AB72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6D9AD5A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605E722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双门磁力锁</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7A423FE">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1.铝外壳采用高强度合金材料，阳极硬化处理；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2.最大静态直线拉力：230kg±10%*2；</w:t>
            </w:r>
            <w:r>
              <w:rPr>
                <w:rFonts w:hint="eastAsia" w:ascii="宋体" w:hAnsi="宋体" w:cs="宋体"/>
                <w:color w:val="auto"/>
                <w:kern w:val="0"/>
                <w:sz w:val="24"/>
                <w:szCs w:val="24"/>
                <w:lang w:bidi="ar"/>
              </w:rPr>
              <w:br w:type="textWrapping"/>
            </w:r>
            <w:r>
              <w:rPr>
                <w:rFonts w:hint="eastAsia" w:ascii="仿宋" w:hAnsi="仿宋" w:eastAsia="仿宋" w:cs="仿宋"/>
                <w:color w:val="auto"/>
                <w:szCs w:val="24"/>
              </w:rPr>
              <w:t>●3.</w:t>
            </w:r>
            <w:r>
              <w:rPr>
                <w:rFonts w:hint="eastAsia" w:ascii="宋体" w:hAnsi="宋体" w:cs="宋体"/>
                <w:color w:val="auto"/>
                <w:kern w:val="0"/>
                <w:sz w:val="24"/>
                <w:szCs w:val="24"/>
                <w:lang w:bidi="ar"/>
              </w:rPr>
              <w:t>断电开锁，满足消防要求；</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4.指示灯：红灯为开锁状态， 绿灯为上锁状态；</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5.支持锁状态侦测信号(门磁)输出：NO/NC/COM接点；</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6.工作电压：12V/940mA 或 24V/470mA，可自行设定工作电压，出厂默认为DC12V；</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7.防残磁设计，选用防磨损材料；</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8.磁力锁无机械故障，完全采用电磁吸力工作；</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9.配备加大电磁吸力，双重锁体绝缘处理；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10.使用环境：室内（不防水）；</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11.适用门型：木门、玻璃门、金属门、防火门。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093617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45</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9CEA63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2AF68E4F">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58DC7A4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B55BFC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单门磁力锁</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14120F70">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1.铝外壳采用高强度合金材料，阳极硬化处理；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2.最大静态直线拉力：230kg±10%；</w:t>
            </w:r>
            <w:r>
              <w:rPr>
                <w:rFonts w:hint="eastAsia" w:ascii="宋体" w:hAnsi="宋体" w:cs="宋体"/>
                <w:color w:val="auto"/>
                <w:kern w:val="0"/>
                <w:sz w:val="24"/>
                <w:szCs w:val="24"/>
                <w:lang w:bidi="ar"/>
              </w:rPr>
              <w:br w:type="textWrapping"/>
            </w:r>
            <w:r>
              <w:rPr>
                <w:rFonts w:hint="eastAsia" w:ascii="仿宋" w:hAnsi="仿宋" w:eastAsia="仿宋" w:cs="仿宋"/>
                <w:color w:val="auto"/>
                <w:szCs w:val="24"/>
              </w:rPr>
              <w:t>●3.</w:t>
            </w:r>
            <w:r>
              <w:rPr>
                <w:rFonts w:hint="eastAsia" w:ascii="宋体" w:hAnsi="宋体" w:cs="宋体"/>
                <w:color w:val="auto"/>
                <w:kern w:val="0"/>
                <w:sz w:val="24"/>
                <w:szCs w:val="24"/>
                <w:lang w:bidi="ar"/>
              </w:rPr>
              <w:t>断电开锁，满足消防要求；</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4.指示灯：红灯为开锁状态， 绿灯为上锁状态；</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5.支持锁状态侦测信号(门磁)输出：NO/NC/COM接点；</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6.工作电压：12V/470mA 或 24V/235mA，可自行设定工作电压，出厂默认为DC12V；</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7.防残磁设计，选用防磨损材料；</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8.磁力锁无机械故障，完全采用电磁吸力工作；</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9.配备加大电磁吸力，双重锁体绝缘处理；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10.使用环境：室内（不防水）；</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11.适用门型：木门、玻璃门、金属门、防火门。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63B6B5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82FCD9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6F27F354">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7399DC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F73DF6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重型闭门器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937BBA5">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不定位型，拉力不小于150KG</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16EC3F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4A22EFE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个</w:t>
            </w:r>
          </w:p>
        </w:tc>
      </w:tr>
      <w:tr w14:paraId="6C70639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7950E8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4213F8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门禁专用电源</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33AD38C">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门禁专用电源，输出不小于12V5A</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8F69B4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2EF101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54619CC4">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7456DA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DA39B8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声光报警器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2C85255">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声光报警器，带延时报警，声音可调</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BA165A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63B7DB0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1F6184C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AD0DF6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E0B903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紧急开关</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895B2FA">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用于紧急情况下强制破碎按钮，可常开门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93A721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6775B69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38904B1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B1D2A3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BF65EA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总配电箱</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92FBD40">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定制装配，接受消防信号后断开电源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B7F0FA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E77C9D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63776DD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A725E9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635D84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楼层配电箱</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8E6A583">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定制装配，接受消防信号后断开电源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BD59DB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CA5B5F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1AE6F2B7">
        <w:tblPrEx>
          <w:tblCellMar>
            <w:top w:w="0" w:type="dxa"/>
            <w:left w:w="108" w:type="dxa"/>
            <w:bottom w:w="0" w:type="dxa"/>
            <w:right w:w="108" w:type="dxa"/>
          </w:tblCellMar>
        </w:tblPrEx>
        <w:trPr>
          <w:trHeight w:val="1833"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E61A6C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ED5927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56AE22AE">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1.固化千兆电口≥24个，4个1G/2.5G SFP光口；Console口≥1个；</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2.须支持全线速转发，交换容量≥336Gbps/3.36Tbps，包转发率≥96Mpps/126Mpps；</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3.须支持通过在控制器的 Web 页面对交换机进行可视化管理查看，包括交换机的端口 状态及配置、vlan 信息;</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★4.须支持终端类型库，基于指纹自动识别PC、路由器、摄像头设备、无线AP等</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★5.须支持零配置上线，支持二层广播自动发现网管中心平台；支持配置静态IP地址三层发现网管中心平台；支持DHCP Option43方式发现网管中心平台；支持DNS域名发现网管中心平台</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6.须支持IEEE 802.3az 标准的 EEE节能技术，可减小端口的功耗，达到了节能的目的；</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★7.须支持在交换机上创建东西向安全策略，实现全网安全风险拦截</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8.具备安全特性，支持与无线网络设备、安全设备联动实现更安全的网络管控；</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9.为保证设备在受到外界机械碰撞时能够正常运行，要求所投交换机IK防护测试级别至少达到IK06；</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★10.为满足网络安全建设需求，交换机需满足《信息安全技术 交换机安全技术要求 GA/T 684-2007》,符合安全交换机标准</w:t>
            </w:r>
            <w:r>
              <w:rPr>
                <w:rFonts w:hint="eastAsia" w:ascii="宋体" w:hAnsi="宋体" w:cs="宋体"/>
                <w:b/>
                <w:bCs/>
                <w:color w:val="auto"/>
                <w:kern w:val="0"/>
                <w:sz w:val="22"/>
                <w:szCs w:val="22"/>
                <w:lang w:bidi="ar"/>
              </w:rPr>
              <w:t>（投标时提供首页具有CMA或CNAS认证标识的第三方检测报告复印件）。</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11F8CDD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1544B9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53403D9A">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763101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688CE8B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850AB97">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1.采用共享缓存架构，每个端口可利用的缓存空间扩大数倍，可大大增强突发大流量的转发性能</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2.固化至少16个10/100/1000Base-T电口(包含两个uplink口，可作为上行口)2个1000Base-X SFP端口(uplink口)</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3.交换容量不低于36Gbps,包转发不低于26.8Mpps</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F883BC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763FCE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1C09DC45">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14E9B2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3C76964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8D89785">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1.千兆以太网</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2.背板带宽：≥16Gbps</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3.包转发率：≥12Mpps</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4.接口数目：≥8口</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4A023C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E47812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4CE99D46">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2D1A2CE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56ACF37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六类网线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2F43F18">
            <w:pPr>
              <w:widowControl/>
              <w:snapToGrid w:val="0"/>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 xml:space="preserve">1.六类网线，导体采用优质铜导体，导体直径≥0.57mm±0.1mm。 </w:t>
            </w:r>
          </w:p>
          <w:p w14:paraId="5924CDB5">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2.满足线规23AWG。</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B7F649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4800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FD19AA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7724579E">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2345B2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9E331F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电源线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279D050">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RVV3*1.0电源线。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A71E65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F7FB25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42E61E96">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AAD260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F0EF15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四芯线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54359E70">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rvv4*0.5四芯线。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4AC7B4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296D10D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004C14BC">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69A2D5E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957E60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主干电源线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0FE0B1AC">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RVV3*2.0电源线。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68E226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2521AD9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314714EA">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6AFDBD4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A8B5C1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定制铁门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7C5EC38">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1.2楼北露台通道增加铁门1道；</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2.5楼室外楼梯铁门3道。</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E89EF9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18661B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处</w:t>
            </w:r>
          </w:p>
        </w:tc>
      </w:tr>
      <w:tr w14:paraId="0BFBDCA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862AE8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A469D8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管材</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517C23C">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满足现场环境所需的所有管材。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15C09C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08CE300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7044296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C9FED0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57B5C7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一键开门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9D40C27">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定制一键控制所有门禁全部常开。</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7EA87C5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636844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0A68092B">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5EB644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035A28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系统对接</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FFD2F1A">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人脸库平台对接人员、照片信息和消防联动对接。</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1E4A38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251BA4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32366C8C">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262CEF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87B43D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墙面开槽及恢复</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3E01CE0C">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墙面开槽及恢复。</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9C5CA7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C4A6CC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5ADBBED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158FC5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060BB53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系统集成安装调试</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516C3DE7">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系统集成安装调试，门禁一体机、门禁控制器、磁力锁等安装调试，含必要辅材。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2159A6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87625A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bl>
    <w:p w14:paraId="09203536">
      <w:pPr>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四、其他要求</w:t>
      </w:r>
    </w:p>
    <w:p w14:paraId="058CF456">
      <w:pPr>
        <w:pStyle w:val="4"/>
        <w:ind w:firstLine="480"/>
        <w:rPr>
          <w:rFonts w:hint="eastAsia" w:eastAsia="宋体"/>
          <w:color w:val="000000"/>
        </w:rPr>
      </w:pPr>
      <w:r>
        <w:rPr>
          <w:rFonts w:hint="eastAsia"/>
          <w:color w:val="000000"/>
        </w:rPr>
        <w:t>1、</w:t>
      </w:r>
      <w:r>
        <w:rPr>
          <w:rFonts w:hint="eastAsia" w:eastAsia="宋体"/>
          <w:color w:val="000000"/>
        </w:rPr>
        <w:t>新增管理系统需无缝接入学校现有的管理系统，可实现一体控制。</w:t>
      </w:r>
    </w:p>
    <w:p w14:paraId="16AB51FA">
      <w:pPr>
        <w:pStyle w:val="4"/>
        <w:ind w:firstLine="480"/>
        <w:rPr>
          <w:rFonts w:hint="eastAsia"/>
          <w:b/>
          <w:bCs/>
          <w:color w:val="000000"/>
        </w:rPr>
      </w:pPr>
      <w:r>
        <w:rPr>
          <w:rFonts w:hint="eastAsia" w:eastAsia="宋体"/>
          <w:color w:val="000000"/>
        </w:rPr>
        <w:t>2、</w:t>
      </w:r>
      <w:r>
        <w:rPr>
          <w:rFonts w:hint="eastAsia" w:eastAsia="宋体"/>
          <w:b/>
          <w:bCs/>
          <w:color w:val="000000"/>
          <w:lang w:val="en-US" w:eastAsia="zh-CN"/>
        </w:rPr>
        <w:t>合同签订后服务前,比</w:t>
      </w:r>
      <w:r>
        <w:rPr>
          <w:rFonts w:hint="eastAsia" w:eastAsia="宋体"/>
          <w:b/>
          <w:bCs/>
          <w:color w:val="000000"/>
        </w:rPr>
        <w:t>选</w:t>
      </w:r>
      <w:r>
        <w:rPr>
          <w:rFonts w:hint="eastAsia"/>
          <w:b/>
          <w:bCs/>
          <w:color w:val="000000"/>
        </w:rPr>
        <w:t>人有权要求参选人提供人脸门禁一体机厂家出具的系统对接承诺函（包括不限于：与人脸库对接、与安防管理平台等），若参选</w:t>
      </w:r>
      <w:r>
        <w:rPr>
          <w:rFonts w:hint="eastAsia"/>
          <w:b/>
          <w:bCs/>
          <w:color w:val="000000"/>
          <w:lang w:val="en-US" w:eastAsia="zh-CN"/>
        </w:rPr>
        <w:t>人</w:t>
      </w:r>
      <w:r>
        <w:rPr>
          <w:rFonts w:hint="eastAsia"/>
          <w:b/>
          <w:bCs/>
          <w:color w:val="000000"/>
        </w:rPr>
        <w:t>不能提供，视为其虚假响应，比选人有权解除合同，并追究参选人违约责任。</w:t>
      </w:r>
    </w:p>
    <w:p w14:paraId="477B9F86">
      <w:pPr>
        <w:pStyle w:val="4"/>
        <w:ind w:firstLine="480"/>
        <w:rPr>
          <w:rFonts w:hint="eastAsia"/>
          <w:color w:val="000000"/>
        </w:rPr>
      </w:pPr>
      <w:r>
        <w:rPr>
          <w:rFonts w:hint="eastAsia"/>
          <w:color w:val="000000"/>
        </w:rPr>
        <w:t>3、具体设备现状以及项目环境等情况，参选人参选前可自行到现场进行了解。若参选人因未及时勘察现场而导致报价缺项、漏项，造成中标后无法履约的，参选人自行承担一切后果。</w:t>
      </w:r>
    </w:p>
    <w:p w14:paraId="559F4C0F">
      <w:pPr>
        <w:pStyle w:val="4"/>
        <w:ind w:firstLine="480"/>
        <w:rPr>
          <w:color w:val="000000"/>
        </w:rPr>
      </w:pPr>
      <w:r>
        <w:rPr>
          <w:rFonts w:hint="eastAsia"/>
          <w:b/>
          <w:bCs/>
          <w:color w:val="000000"/>
        </w:rPr>
        <w:t>4、比选文件中需要提供承诺函，承诺合同签订后供货前若采购人要求，需提供该产品到采购人处进行功能验证，未提供视为参选无效。</w:t>
      </w:r>
    </w:p>
    <w:p w14:paraId="3977A91A">
      <w:pPr>
        <w:pStyle w:val="4"/>
        <w:ind w:firstLine="480"/>
        <w:rPr>
          <w:rFonts w:hint="eastAsia"/>
          <w:color w:val="000000"/>
          <w:szCs w:val="24"/>
        </w:rPr>
      </w:pPr>
      <w:r>
        <w:rPr>
          <w:rFonts w:hint="eastAsia"/>
          <w:color w:val="000000"/>
          <w:szCs w:val="24"/>
        </w:rPr>
        <w:t>五、报价要求</w:t>
      </w:r>
    </w:p>
    <w:p w14:paraId="42FAD994">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不同系统平台间对接费用、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6ED22"/>
    <w:multiLevelType w:val="singleLevel"/>
    <w:tmpl w:val="8116ED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0258F3"/>
    <w:rsid w:val="330258F3"/>
    <w:rsid w:val="64C11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段落"/>
    <w:basedOn w:val="1"/>
    <w:qFormat/>
    <w:uiPriority w:val="0"/>
    <w:pPr>
      <w:spacing w:line="360" w:lineRule="auto"/>
      <w:ind w:firstLine="420" w:firstLineChars="200"/>
      <w:jc w:val="left"/>
    </w:pPr>
    <w:rPr>
      <w:rFonts w:ascii="宋体" w:hAnsi="宋体"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2025-07-18T07:29:00Z</dcterms:created>
  <dc:creator>森</dc:creator>
  <cp:lastModifiedBy>森</cp:lastModifiedBy>
  <dcterms:modified xsi:type="dcterms:W3CDTF">2025-07-18T07:39:43Z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B2452D014A3749F383DFB165AD64BEAE_13</vt:lpwstr>
  </property>
  <property fmtid="{D5CDD505-2E9C-101B-9397-08002B2CF9AE}" pid="4" name="KSOTemplateDocerSaveRecord">
    <vt:lpwstr>eyJoZGlkIjoiOTc3M2Y5NzIzMDFlZjAyY2Q4Njk5ODkyYjFjNzBiNTQiLCJ1c2VySWQiOiI0MzAwMTYzNzkifQ==</vt:lpwstr>
  </property>
</Properties>
</file>