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E0D89">
      <w:pPr>
        <w:spacing w:line="360" w:lineRule="auto"/>
        <w:jc w:val="center"/>
        <w:outlineLvl w:val="0"/>
        <w:rPr>
          <w:rFonts w:hint="eastAsia" w:cs="宋体"/>
          <w:b/>
          <w:sz w:val="32"/>
          <w:szCs w:val="21"/>
          <w:lang w:val="en-US" w:eastAsia="zh-CN"/>
        </w:rPr>
      </w:pPr>
      <w:r>
        <w:rPr>
          <w:rFonts w:hint="eastAsia" w:cs="宋体"/>
          <w:b/>
          <w:sz w:val="32"/>
          <w:szCs w:val="21"/>
          <w:lang w:val="en-US" w:eastAsia="zh-CN"/>
        </w:rPr>
        <w:t>货物类政府采购项目采购需求表</w:t>
      </w:r>
    </w:p>
    <w:tbl>
      <w:tblPr>
        <w:tblStyle w:val="12"/>
        <w:tblW w:w="54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4"/>
        <w:gridCol w:w="7116"/>
      </w:tblGrid>
      <w:tr w14:paraId="5ACD2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82" w:type="pct"/>
            <w:noWrap w:val="0"/>
            <w:vAlign w:val="center"/>
          </w:tcPr>
          <w:p w14:paraId="4D20C2B5">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项目名称</w:t>
            </w:r>
          </w:p>
        </w:tc>
        <w:tc>
          <w:tcPr>
            <w:tcW w:w="3817" w:type="pct"/>
            <w:noWrap w:val="0"/>
            <w:vAlign w:val="center"/>
          </w:tcPr>
          <w:p w14:paraId="0A0767ED">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阜阳师范大学2025年业务专网设备采购项目</w:t>
            </w:r>
          </w:p>
        </w:tc>
      </w:tr>
      <w:tr w14:paraId="084C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14:paraId="5476652F">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项目预算</w:t>
            </w:r>
          </w:p>
        </w:tc>
        <w:tc>
          <w:tcPr>
            <w:tcW w:w="3817" w:type="pct"/>
            <w:noWrap w:val="0"/>
            <w:vAlign w:val="center"/>
          </w:tcPr>
          <w:p w14:paraId="5D374DBB">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150万元</w:t>
            </w:r>
          </w:p>
        </w:tc>
      </w:tr>
      <w:tr w14:paraId="723A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14:paraId="36DE62B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项目概况</w:t>
            </w:r>
          </w:p>
        </w:tc>
        <w:tc>
          <w:tcPr>
            <w:tcW w:w="3817" w:type="pct"/>
            <w:noWrap w:val="0"/>
            <w:vAlign w:val="center"/>
          </w:tcPr>
          <w:p w14:paraId="6EBFE768">
            <w:pPr>
              <w:keepNext w:val="0"/>
              <w:keepLines w:val="0"/>
              <w:pageBreakBefore w:val="0"/>
              <w:widowControl w:val="0"/>
              <w:kinsoku/>
              <w:wordWrap w:val="0"/>
              <w:overflowPunct/>
              <w:topLinePunct w:val="0"/>
              <w:autoSpaceDE w:val="0"/>
              <w:bidi w:val="0"/>
              <w:adjustRightInd/>
              <w:snapToGrid/>
              <w:spacing w:line="360" w:lineRule="auto"/>
              <w:jc w:val="lef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u w:val="none"/>
                <w:lang w:val="en-US" w:eastAsia="zh-CN"/>
              </w:rPr>
              <w:t>阜阳师范大学2025年业务专网设备采购，详见招标文件。</w:t>
            </w:r>
          </w:p>
        </w:tc>
      </w:tr>
      <w:tr w14:paraId="45F0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2" w:type="pct"/>
            <w:noWrap w:val="0"/>
            <w:vAlign w:val="center"/>
          </w:tcPr>
          <w:p w14:paraId="09EBF1D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采购方式</w:t>
            </w:r>
          </w:p>
        </w:tc>
        <w:tc>
          <w:tcPr>
            <w:tcW w:w="3817" w:type="pct"/>
            <w:noWrap w:val="0"/>
            <w:vAlign w:val="center"/>
          </w:tcPr>
          <w:p w14:paraId="5EE2507B">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公开招标</w:t>
            </w:r>
          </w:p>
        </w:tc>
      </w:tr>
      <w:tr w14:paraId="5CC3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182" w:type="pct"/>
            <w:noWrap w:val="0"/>
            <w:vAlign w:val="center"/>
          </w:tcPr>
          <w:p w14:paraId="7233641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本项目是否接受联合体投标</w:t>
            </w:r>
          </w:p>
        </w:tc>
        <w:tc>
          <w:tcPr>
            <w:tcW w:w="3817" w:type="pct"/>
            <w:noWrap w:val="0"/>
            <w:vAlign w:val="center"/>
          </w:tcPr>
          <w:p w14:paraId="462B232B">
            <w:pPr>
              <w:keepNext w:val="0"/>
              <w:keepLines w:val="0"/>
              <w:pageBreakBefore w:val="0"/>
              <w:widowControl w:val="0"/>
              <w:kinsoku/>
              <w:wordWrap w:val="0"/>
              <w:overflowPunct/>
              <w:topLinePunct w:val="0"/>
              <w:autoSpaceDE w:val="0"/>
              <w:autoSpaceDN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否</w:t>
            </w:r>
          </w:p>
        </w:tc>
      </w:tr>
      <w:tr w14:paraId="551B9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1182" w:type="pct"/>
            <w:noWrap w:val="0"/>
            <w:vAlign w:val="center"/>
          </w:tcPr>
          <w:p w14:paraId="1184F1F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投标人资格要求</w:t>
            </w:r>
          </w:p>
        </w:tc>
        <w:tc>
          <w:tcPr>
            <w:tcW w:w="3817" w:type="pct"/>
            <w:noWrap w:val="0"/>
            <w:vAlign w:val="center"/>
          </w:tcPr>
          <w:p w14:paraId="14577BFF">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1.满足《中华人民共和国政府采购法》第二十二条规定；</w:t>
            </w:r>
          </w:p>
          <w:p w14:paraId="6B27AB4A">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2.落实政府采购政策需满足的资格要求：</w:t>
            </w:r>
            <w:r>
              <w:rPr>
                <w:rFonts w:hint="eastAsia" w:ascii="宋体" w:hAnsi="宋体" w:eastAsia="宋体" w:cs="宋体"/>
                <w:sz w:val="24"/>
                <w:szCs w:val="24"/>
                <w:highlight w:val="none"/>
                <w:lang w:val="en-US" w:eastAsia="zh-CN"/>
              </w:rPr>
              <w:t>无</w:t>
            </w:r>
            <w:r>
              <w:rPr>
                <w:rFonts w:hint="eastAsia" w:ascii="宋体" w:hAnsi="宋体" w:eastAsia="宋体" w:cs="宋体"/>
                <w:sz w:val="24"/>
                <w:szCs w:val="24"/>
                <w:highlight w:val="none"/>
              </w:rPr>
              <w:t>；</w:t>
            </w:r>
          </w:p>
          <w:p w14:paraId="711EB21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3.本项目的特定资格要求：</w:t>
            </w:r>
            <w:r>
              <w:rPr>
                <w:rFonts w:hint="eastAsia" w:ascii="宋体" w:hAnsi="宋体" w:eastAsia="宋体" w:cs="宋体"/>
                <w:sz w:val="24"/>
                <w:szCs w:val="24"/>
                <w:highlight w:val="none"/>
                <w:lang w:val="en-US" w:eastAsia="zh-CN"/>
              </w:rPr>
              <w:t>无</w:t>
            </w:r>
            <w:r>
              <w:rPr>
                <w:rFonts w:hint="eastAsia" w:ascii="宋体" w:hAnsi="宋体" w:eastAsia="宋体" w:cs="宋体"/>
                <w:sz w:val="24"/>
                <w:szCs w:val="24"/>
                <w:highlight w:val="none"/>
              </w:rPr>
              <w:t>。</w:t>
            </w:r>
          </w:p>
        </w:tc>
      </w:tr>
      <w:tr w14:paraId="0DDE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82" w:type="pct"/>
            <w:noWrap w:val="0"/>
            <w:vAlign w:val="center"/>
          </w:tcPr>
          <w:p w14:paraId="3FAF6F4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付款方式</w:t>
            </w:r>
          </w:p>
        </w:tc>
        <w:tc>
          <w:tcPr>
            <w:tcW w:w="3817" w:type="pct"/>
            <w:shd w:val="clear" w:color="auto" w:fill="auto"/>
            <w:noWrap w:val="0"/>
            <w:vAlign w:val="center"/>
          </w:tcPr>
          <w:p w14:paraId="2FCFB4C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kern w:val="2"/>
                <w:sz w:val="24"/>
                <w:szCs w:val="24"/>
                <w:u w:val="single"/>
                <w:lang w:val="en-US" w:eastAsia="zh-CN" w:bidi="ar-SA"/>
              </w:rPr>
            </w:pPr>
            <w:r>
              <w:rPr>
                <w:rFonts w:hint="eastAsia" w:ascii="宋体" w:hAnsi="宋体" w:eastAsia="宋体" w:cs="宋体"/>
                <w:color w:val="000000"/>
                <w:kern w:val="0"/>
                <w:sz w:val="24"/>
                <w:szCs w:val="24"/>
                <w:lang w:val="en-US" w:eastAsia="zh-CN" w:bidi="ar"/>
              </w:rPr>
              <w:t>项目验收合格后一次性付清项目合同全款。</w:t>
            </w:r>
          </w:p>
        </w:tc>
      </w:tr>
      <w:tr w14:paraId="1A19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82" w:type="pct"/>
            <w:noWrap w:val="0"/>
            <w:vAlign w:val="center"/>
          </w:tcPr>
          <w:p w14:paraId="3B89FF5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供货及安装地点</w:t>
            </w:r>
          </w:p>
        </w:tc>
        <w:tc>
          <w:tcPr>
            <w:tcW w:w="3817" w:type="pct"/>
            <w:noWrap w:val="0"/>
            <w:vAlign w:val="center"/>
          </w:tcPr>
          <w:p w14:paraId="31CAC02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宋体" w:hAnsi="宋体" w:eastAsia="宋体" w:cs="宋体"/>
                <w:sz w:val="24"/>
                <w:szCs w:val="24"/>
                <w:highlight w:val="none"/>
              </w:rPr>
            </w:pPr>
            <w:r>
              <w:rPr>
                <w:rFonts w:hint="eastAsia" w:ascii="宋体" w:hAnsi="宋体" w:eastAsia="宋体" w:cs="宋体"/>
                <w:b w:val="0"/>
                <w:sz w:val="24"/>
                <w:szCs w:val="24"/>
                <w:lang w:val="en-US" w:eastAsia="zh-CN"/>
              </w:rPr>
              <w:t>阜阳师范大学，采购人指定地点。</w:t>
            </w:r>
          </w:p>
        </w:tc>
      </w:tr>
      <w:tr w14:paraId="1DCB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4DF371C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供货及安装期限</w:t>
            </w:r>
          </w:p>
        </w:tc>
        <w:tc>
          <w:tcPr>
            <w:tcW w:w="3817" w:type="pct"/>
            <w:noWrap w:val="0"/>
            <w:vAlign w:val="center"/>
          </w:tcPr>
          <w:p w14:paraId="3C00979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合同签订后至2025年11月30日完成供货及安装调试。</w:t>
            </w:r>
          </w:p>
        </w:tc>
      </w:tr>
      <w:tr w14:paraId="2EA3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D35287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是否专门面向中小企业采购</w:t>
            </w:r>
          </w:p>
        </w:tc>
        <w:tc>
          <w:tcPr>
            <w:tcW w:w="3817" w:type="pct"/>
            <w:noWrap w:val="0"/>
            <w:vAlign w:val="center"/>
          </w:tcPr>
          <w:p w14:paraId="64C1543E">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否</w:t>
            </w:r>
          </w:p>
        </w:tc>
      </w:tr>
      <w:tr w14:paraId="7854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13A76E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预留中小企业份额占比</w:t>
            </w:r>
          </w:p>
        </w:tc>
        <w:tc>
          <w:tcPr>
            <w:tcW w:w="3817" w:type="pct"/>
            <w:noWrap w:val="0"/>
            <w:vAlign w:val="center"/>
          </w:tcPr>
          <w:p w14:paraId="4D0EAD46">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default" w:ascii="宋体" w:hAnsi="宋体" w:eastAsia="宋体" w:cs="宋体"/>
                <w:sz w:val="24"/>
                <w:szCs w:val="24"/>
                <w:highlight w:val="none"/>
                <w:lang w:val="en-US"/>
              </w:rPr>
              <w:t>/</w:t>
            </w:r>
          </w:p>
        </w:tc>
      </w:tr>
      <w:tr w14:paraId="3385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7F20E166">
            <w:pPr>
              <w:pStyle w:val="19"/>
              <w:keepNext w:val="0"/>
              <w:keepLines w:val="0"/>
              <w:pageBreakBefore w:val="0"/>
              <w:widowControl w:val="0"/>
              <w:kinsoku/>
              <w:wordWrap w:val="0"/>
              <w:overflowPunct/>
              <w:topLinePunct w:val="0"/>
              <w:bidi w:val="0"/>
              <w:adjustRightInd/>
              <w:snapToGrid/>
              <w:spacing w:before="0" w:beforeAutospacing="0" w:after="0" w:afterAutospacing="0" w:line="360" w:lineRule="auto"/>
              <w:textAlignment w:val="auto"/>
              <w:rPr>
                <w:rFonts w:hint="eastAsia" w:ascii="宋体" w:hAnsi="宋体" w:eastAsia="宋体" w:cs="宋体"/>
                <w:b/>
                <w:sz w:val="24"/>
                <w:szCs w:val="24"/>
                <w:highlight w:val="none"/>
              </w:rPr>
            </w:pPr>
            <w:r>
              <w:rPr>
                <w:rFonts w:hint="eastAsia" w:ascii="宋体" w:hAnsi="宋体" w:eastAsia="宋体" w:cs="宋体"/>
                <w:b w:val="0"/>
                <w:sz w:val="24"/>
                <w:szCs w:val="24"/>
                <w:highlight w:val="none"/>
              </w:rPr>
              <w:t>本项目采购标的名称及所属行业</w:t>
            </w:r>
          </w:p>
        </w:tc>
        <w:tc>
          <w:tcPr>
            <w:tcW w:w="3817" w:type="pct"/>
            <w:noWrap w:val="0"/>
            <w:vAlign w:val="center"/>
          </w:tcPr>
          <w:p w14:paraId="0D7EDE22">
            <w:pPr>
              <w:pStyle w:val="5"/>
              <w:keepNext w:val="0"/>
              <w:keepLines w:val="0"/>
              <w:pageBreakBefore w:val="0"/>
              <w:widowControl w:val="0"/>
              <w:kinsoku/>
              <w:wordWrap w:val="0"/>
              <w:overflowPunct/>
              <w:topLinePunct w:val="0"/>
              <w:bidi w:val="0"/>
              <w:adjustRightInd/>
              <w:snapToGrid/>
              <w:spacing w:after="0"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工业</w:t>
            </w:r>
          </w:p>
        </w:tc>
      </w:tr>
      <w:tr w14:paraId="6416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45B904C0">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拟采用的评标办法</w:t>
            </w:r>
          </w:p>
        </w:tc>
        <w:tc>
          <w:tcPr>
            <w:tcW w:w="3817" w:type="pct"/>
            <w:noWrap w:val="0"/>
            <w:vAlign w:val="center"/>
          </w:tcPr>
          <w:p w14:paraId="292B928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综合评分法</w:t>
            </w:r>
            <w:r>
              <w:rPr>
                <w:rFonts w:hint="eastAsia" w:ascii="宋体" w:hAnsi="宋体" w:eastAsia="宋体" w:cs="宋体"/>
                <w:color w:val="FF0000"/>
                <w:sz w:val="24"/>
                <w:szCs w:val="24"/>
              </w:rPr>
              <w:t>（分值设置：技术分</w:t>
            </w:r>
            <w:r>
              <w:rPr>
                <w:rFonts w:hint="eastAsia" w:ascii="宋体" w:hAnsi="宋体" w:eastAsia="宋体" w:cs="宋体"/>
                <w:color w:val="FF0000"/>
                <w:sz w:val="24"/>
                <w:szCs w:val="24"/>
                <w:u w:val="single"/>
                <w:lang w:val="en-US" w:eastAsia="zh-CN"/>
              </w:rPr>
              <w:t>70</w:t>
            </w:r>
            <w:r>
              <w:rPr>
                <w:rFonts w:hint="eastAsia" w:ascii="宋体" w:hAnsi="宋体" w:eastAsia="宋体" w:cs="宋体"/>
                <w:color w:val="FF0000"/>
                <w:sz w:val="24"/>
                <w:szCs w:val="24"/>
              </w:rPr>
              <w:t>分，价格分</w:t>
            </w:r>
            <w:r>
              <w:rPr>
                <w:rFonts w:hint="eastAsia" w:ascii="宋体" w:hAnsi="宋体" w:eastAsia="宋体" w:cs="宋体"/>
                <w:color w:val="FF0000"/>
                <w:sz w:val="24"/>
                <w:szCs w:val="24"/>
                <w:u w:val="single"/>
                <w:lang w:val="en-US" w:eastAsia="zh-CN"/>
              </w:rPr>
              <w:t>30</w:t>
            </w:r>
            <w:r>
              <w:rPr>
                <w:rFonts w:hint="eastAsia" w:ascii="宋体" w:hAnsi="宋体" w:eastAsia="宋体" w:cs="宋体"/>
                <w:color w:val="FF0000"/>
                <w:sz w:val="24"/>
                <w:szCs w:val="24"/>
              </w:rPr>
              <w:t>分）</w:t>
            </w:r>
          </w:p>
        </w:tc>
      </w:tr>
      <w:tr w14:paraId="0065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37C00188">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标前公示截止时间</w:t>
            </w:r>
          </w:p>
        </w:tc>
        <w:tc>
          <w:tcPr>
            <w:tcW w:w="3817" w:type="pct"/>
            <w:noWrap w:val="0"/>
            <w:vAlign w:val="center"/>
          </w:tcPr>
          <w:p w14:paraId="6D0311FF">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b/>
                <w:bCs/>
                <w:color w:val="auto"/>
                <w:sz w:val="24"/>
                <w:szCs w:val="24"/>
                <w:lang w:val="en-US" w:eastAsia="zh-CN"/>
              </w:rPr>
              <w:t>2025</w:t>
            </w:r>
            <w:r>
              <w:rPr>
                <w:rFonts w:hint="eastAsia" w:ascii="宋体" w:hAnsi="宋体" w:eastAsia="宋体" w:cs="宋体"/>
                <w:b/>
                <w:bCs/>
                <w:color w:val="auto"/>
                <w:sz w:val="24"/>
                <w:szCs w:val="24"/>
                <w:lang w:eastAsia="zh-CN"/>
              </w:rPr>
              <w:t>年</w:t>
            </w:r>
            <w:r>
              <w:rPr>
                <w:rFonts w:hint="eastAsia" w:ascii="宋体" w:hAnsi="宋体" w:eastAsia="宋体" w:cs="宋体"/>
                <w:b/>
                <w:bCs/>
                <w:color w:val="auto"/>
                <w:sz w:val="24"/>
                <w:szCs w:val="24"/>
                <w:lang w:val="en-US" w:eastAsia="zh-CN"/>
              </w:rPr>
              <w:t>7</w:t>
            </w:r>
            <w:r>
              <w:rPr>
                <w:rFonts w:hint="eastAsia" w:ascii="宋体" w:hAnsi="宋体" w:eastAsia="宋体" w:cs="宋体"/>
                <w:b/>
                <w:bCs/>
                <w:color w:val="auto"/>
                <w:sz w:val="24"/>
                <w:szCs w:val="24"/>
                <w:lang w:eastAsia="zh-CN"/>
              </w:rPr>
              <w:t>月</w:t>
            </w:r>
            <w:r>
              <w:rPr>
                <w:rFonts w:hint="eastAsia" w:ascii="宋体" w:hAnsi="宋体" w:eastAsia="宋体" w:cs="宋体"/>
                <w:b/>
                <w:bCs/>
                <w:color w:val="auto"/>
                <w:sz w:val="24"/>
                <w:szCs w:val="24"/>
                <w:lang w:val="en-US" w:eastAsia="zh-CN"/>
              </w:rPr>
              <w:t>22</w:t>
            </w:r>
            <w:r>
              <w:rPr>
                <w:rFonts w:hint="eastAsia" w:ascii="宋体" w:hAnsi="宋体" w:eastAsia="宋体" w:cs="宋体"/>
                <w:b/>
                <w:bCs/>
                <w:color w:val="auto"/>
                <w:sz w:val="24"/>
                <w:szCs w:val="24"/>
                <w:lang w:eastAsia="zh-CN"/>
              </w:rPr>
              <w:t>日</w:t>
            </w:r>
            <w:r>
              <w:rPr>
                <w:rFonts w:hint="eastAsia" w:ascii="宋体" w:hAnsi="宋体" w:eastAsia="宋体" w:cs="宋体"/>
                <w:b/>
                <w:bCs/>
                <w:color w:val="auto"/>
                <w:sz w:val="24"/>
                <w:szCs w:val="24"/>
                <w:lang w:val="en-US" w:eastAsia="zh-CN"/>
              </w:rPr>
              <w:t>17:30</w:t>
            </w:r>
            <w:r>
              <w:rPr>
                <w:rFonts w:hint="eastAsia" w:ascii="宋体" w:hAnsi="宋体" w:eastAsia="宋体" w:cs="宋体"/>
                <w:b/>
                <w:bCs/>
                <w:color w:val="auto"/>
                <w:sz w:val="24"/>
                <w:szCs w:val="24"/>
                <w:lang w:eastAsia="zh-CN"/>
              </w:rPr>
              <w:t>前（超过规定时间的视同放弃）</w:t>
            </w:r>
          </w:p>
        </w:tc>
      </w:tr>
    </w:tbl>
    <w:p w14:paraId="2A414DAA">
      <w:pPr>
        <w:rPr>
          <w:rFonts w:hint="eastAsia" w:ascii="宋体" w:hAnsi="宋体" w:eastAsia="宋体" w:cs="Times New Roman"/>
          <w:b/>
          <w:sz w:val="24"/>
          <w:szCs w:val="28"/>
        </w:rPr>
      </w:pPr>
      <w:r>
        <w:rPr>
          <w:rFonts w:hint="eastAsia" w:ascii="宋体" w:hAnsi="宋体" w:eastAsia="宋体" w:cs="Times New Roman"/>
          <w:b/>
          <w:sz w:val="24"/>
          <w:szCs w:val="28"/>
        </w:rPr>
        <w:br w:type="page"/>
      </w:r>
    </w:p>
    <w:p w14:paraId="42AECFA4">
      <w:pPr>
        <w:rPr>
          <w:rFonts w:hint="eastAsia" w:ascii="宋体" w:hAnsi="宋体" w:eastAsia="宋体" w:cs="Times New Roman"/>
          <w:b/>
          <w:sz w:val="24"/>
          <w:szCs w:val="28"/>
        </w:rPr>
      </w:pPr>
      <w:r>
        <w:rPr>
          <w:rFonts w:hint="eastAsia" w:ascii="宋体" w:hAnsi="宋体" w:eastAsia="宋体" w:cs="Times New Roman"/>
          <w:b/>
          <w:sz w:val="24"/>
          <w:szCs w:val="28"/>
        </w:rPr>
        <w:t>二、</w:t>
      </w:r>
      <w:r>
        <w:rPr>
          <w:rFonts w:hint="eastAsia" w:ascii="宋体" w:hAnsi="宋体" w:eastAsia="宋体" w:cs="Times New Roman"/>
          <w:b/>
          <w:sz w:val="24"/>
          <w:szCs w:val="28"/>
          <w:lang w:val="en-US" w:eastAsia="zh-CN"/>
        </w:rPr>
        <w:t>采购</w:t>
      </w:r>
      <w:r>
        <w:rPr>
          <w:rFonts w:hint="eastAsia" w:ascii="宋体" w:hAnsi="宋体" w:eastAsia="宋体" w:cs="Times New Roman"/>
          <w:b/>
          <w:sz w:val="24"/>
          <w:szCs w:val="28"/>
        </w:rPr>
        <w:t>需求</w:t>
      </w:r>
    </w:p>
    <w:p w14:paraId="45C74C1E">
      <w:pPr>
        <w:spacing w:line="360" w:lineRule="auto"/>
        <w:rPr>
          <w:rFonts w:hint="eastAsia" w:ascii="宋体" w:hAnsi="宋体" w:eastAsia="宋体" w:cs="宋体"/>
          <w:b/>
          <w:sz w:val="24"/>
        </w:rPr>
      </w:pPr>
      <w:r>
        <w:rPr>
          <w:rFonts w:hint="eastAsia" w:ascii="宋体" w:hAnsi="宋体" w:eastAsia="宋体" w:cs="宋体"/>
          <w:b/>
          <w:sz w:val="24"/>
        </w:rPr>
        <w:t>前注：</w:t>
      </w:r>
    </w:p>
    <w:p w14:paraId="33C92E48">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1.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14:paraId="08C99D2E">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2.下列采购需求中：</w:t>
      </w:r>
    </w:p>
    <w:p w14:paraId="5C7CE5D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r>
        <w:rPr>
          <w:rFonts w:hint="eastAsia" w:ascii="宋体" w:hAnsi="宋体" w:eastAsia="宋体" w:cs="宋体"/>
          <w:b/>
          <w:bCs/>
          <w:sz w:val="24"/>
          <w:szCs w:val="24"/>
        </w:rPr>
        <w:t>否则投标无效</w:t>
      </w:r>
      <w:r>
        <w:rPr>
          <w:rFonts w:hint="eastAsia" w:ascii="宋体" w:hAnsi="宋体" w:eastAsia="宋体" w:cs="宋体"/>
          <w:sz w:val="24"/>
          <w:szCs w:val="24"/>
        </w:rPr>
        <w:t>。</w:t>
      </w:r>
    </w:p>
    <w:p w14:paraId="0940227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  （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5049FE18">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3.下列采购需求中：标注▲的产品（核心产品），投标人在投标文件《主要中标标的承诺函》中填写名称、品牌、规格、型号、数量、单价等信息。</w:t>
      </w:r>
    </w:p>
    <w:p w14:paraId="3E6CD68B">
      <w:pPr>
        <w:spacing w:line="360" w:lineRule="auto"/>
        <w:ind w:firstLine="435"/>
        <w:rPr>
          <w:rFonts w:hint="eastAsia" w:ascii="宋体" w:hAnsi="宋体" w:eastAsia="宋体" w:cs="宋体"/>
          <w:sz w:val="24"/>
          <w:szCs w:val="18"/>
        </w:rPr>
      </w:pPr>
      <w:r>
        <w:rPr>
          <w:rFonts w:hint="eastAsia" w:ascii="宋体" w:hAnsi="宋体" w:eastAsia="宋体" w:cs="宋体"/>
          <w:sz w:val="24"/>
          <w:szCs w:val="24"/>
        </w:rPr>
        <w:t>4. 如采购人允许采用分包方式履行合同的，应当明确可以分包履行的相关内容。</w:t>
      </w:r>
    </w:p>
    <w:p w14:paraId="2B0486CB">
      <w:pPr>
        <w:spacing w:line="360" w:lineRule="auto"/>
        <w:ind w:firstLine="437"/>
        <w:outlineLvl w:val="1"/>
        <w:rPr>
          <w:rFonts w:hint="eastAsia" w:ascii="宋体" w:hAnsi="宋体" w:eastAsia="宋体" w:cs="宋体"/>
          <w:b/>
          <w:sz w:val="24"/>
          <w:szCs w:val="18"/>
        </w:rPr>
      </w:pPr>
      <w:r>
        <w:rPr>
          <w:rFonts w:hint="eastAsia" w:ascii="宋体" w:hAnsi="宋体" w:eastAsia="宋体" w:cs="宋体"/>
          <w:b/>
          <w:sz w:val="24"/>
          <w:szCs w:val="18"/>
        </w:rPr>
        <w:t>一、采购需求前附表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2032"/>
        <w:gridCol w:w="5486"/>
      </w:tblGrid>
      <w:tr w14:paraId="0BAD2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3DB36F72">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
                <w:kern w:val="2"/>
                <w:szCs w:val="24"/>
              </w:rPr>
            </w:pPr>
            <w:r>
              <w:rPr>
                <w:rFonts w:hint="eastAsia" w:ascii="宋体" w:hAnsi="宋体" w:eastAsia="宋体" w:cs="宋体"/>
                <w:b/>
                <w:kern w:val="2"/>
                <w:szCs w:val="24"/>
              </w:rPr>
              <w:t>序号</w:t>
            </w:r>
          </w:p>
        </w:tc>
        <w:tc>
          <w:tcPr>
            <w:tcW w:w="1192" w:type="pct"/>
            <w:vAlign w:val="center"/>
          </w:tcPr>
          <w:p w14:paraId="5C95A26F">
            <w:pPr>
              <w:pStyle w:val="19"/>
              <w:widowControl w:val="0"/>
              <w:wordWrap/>
              <w:spacing w:before="0" w:beforeAutospacing="0" w:after="0" w:afterAutospacing="0" w:line="440" w:lineRule="exact"/>
              <w:rPr>
                <w:rFonts w:hint="eastAsia" w:ascii="宋体" w:hAnsi="宋体" w:eastAsia="宋体" w:cs="宋体"/>
                <w:bCs w:val="0"/>
                <w:sz w:val="24"/>
                <w:szCs w:val="24"/>
              </w:rPr>
            </w:pPr>
            <w:r>
              <w:rPr>
                <w:rFonts w:hint="eastAsia" w:ascii="宋体" w:hAnsi="宋体" w:eastAsia="宋体" w:cs="宋体"/>
                <w:bCs w:val="0"/>
                <w:sz w:val="24"/>
                <w:szCs w:val="24"/>
              </w:rPr>
              <w:t>条款名称</w:t>
            </w:r>
          </w:p>
        </w:tc>
        <w:tc>
          <w:tcPr>
            <w:tcW w:w="3217" w:type="pct"/>
            <w:vAlign w:val="center"/>
          </w:tcPr>
          <w:p w14:paraId="1C2F97E2">
            <w:pPr>
              <w:pStyle w:val="19"/>
              <w:widowControl w:val="0"/>
              <w:wordWrap/>
              <w:spacing w:before="0" w:beforeAutospacing="0" w:after="0" w:afterAutospacing="0" w:line="440" w:lineRule="exact"/>
              <w:rPr>
                <w:rFonts w:hint="eastAsia" w:ascii="宋体" w:hAnsi="宋体" w:eastAsia="宋体" w:cs="宋体"/>
                <w:bCs w:val="0"/>
                <w:sz w:val="24"/>
                <w:szCs w:val="24"/>
              </w:rPr>
            </w:pPr>
            <w:r>
              <w:rPr>
                <w:rFonts w:hint="eastAsia" w:ascii="宋体" w:hAnsi="宋体" w:eastAsia="宋体" w:cs="宋体"/>
                <w:bCs w:val="0"/>
                <w:sz w:val="24"/>
                <w:szCs w:val="24"/>
              </w:rPr>
              <w:t>内容、说明与要求</w:t>
            </w:r>
          </w:p>
        </w:tc>
      </w:tr>
      <w:tr w14:paraId="28FDD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5109DF4F">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Cs/>
                <w:kern w:val="2"/>
                <w:szCs w:val="24"/>
              </w:rPr>
            </w:pPr>
            <w:r>
              <w:rPr>
                <w:rFonts w:hint="eastAsia" w:ascii="宋体" w:hAnsi="宋体" w:eastAsia="宋体" w:cs="宋体"/>
                <w:bCs/>
                <w:kern w:val="2"/>
                <w:szCs w:val="24"/>
              </w:rPr>
              <w:t>1</w:t>
            </w:r>
          </w:p>
        </w:tc>
        <w:tc>
          <w:tcPr>
            <w:tcW w:w="1192" w:type="pct"/>
            <w:vAlign w:val="center"/>
          </w:tcPr>
          <w:p w14:paraId="3FDA8749">
            <w:pPr>
              <w:pStyle w:val="19"/>
              <w:widowControl w:val="0"/>
              <w:wordWrap/>
              <w:spacing w:before="0" w:beforeAutospacing="0" w:after="0" w:afterAutospacing="0" w:line="440" w:lineRule="exact"/>
              <w:rPr>
                <w:rFonts w:hint="eastAsia" w:ascii="宋体" w:hAnsi="宋体" w:eastAsia="宋体" w:cs="宋体"/>
                <w:b w:val="0"/>
                <w:sz w:val="24"/>
                <w:szCs w:val="24"/>
              </w:rPr>
            </w:pPr>
            <w:r>
              <w:rPr>
                <w:rFonts w:hint="eastAsia" w:ascii="宋体" w:hAnsi="宋体" w:eastAsia="宋体" w:cs="宋体"/>
                <w:b w:val="0"/>
                <w:sz w:val="24"/>
                <w:szCs w:val="24"/>
              </w:rPr>
              <w:t>付款方式</w:t>
            </w:r>
          </w:p>
        </w:tc>
        <w:tc>
          <w:tcPr>
            <w:tcW w:w="3217" w:type="pct"/>
            <w:vAlign w:val="center"/>
          </w:tcPr>
          <w:p w14:paraId="4790BCB9">
            <w:pPr>
              <w:widowControl/>
              <w:wordWrap/>
              <w:spacing w:line="440" w:lineRule="exact"/>
              <w:rPr>
                <w:rFonts w:hint="eastAsia" w:ascii="宋体" w:hAnsi="宋体" w:eastAsia="宋体" w:cs="宋体"/>
                <w:sz w:val="24"/>
                <w:szCs w:val="24"/>
                <w:u w:val="single"/>
              </w:rPr>
            </w:pPr>
            <w:r>
              <w:rPr>
                <w:rFonts w:hint="eastAsia" w:ascii="宋体" w:hAnsi="宋体" w:eastAsia="宋体" w:cs="宋体"/>
                <w:color w:val="000000"/>
                <w:kern w:val="0"/>
                <w:sz w:val="24"/>
                <w:szCs w:val="24"/>
                <w:lang w:bidi="ar"/>
              </w:rPr>
              <w:t>项目验收合格后一次性付清项目合同全款。</w:t>
            </w:r>
          </w:p>
        </w:tc>
      </w:tr>
      <w:tr w14:paraId="6C39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55FE963A">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Cs/>
                <w:kern w:val="2"/>
                <w:szCs w:val="24"/>
              </w:rPr>
            </w:pPr>
            <w:r>
              <w:rPr>
                <w:rFonts w:hint="eastAsia" w:ascii="宋体" w:hAnsi="宋体" w:eastAsia="宋体" w:cs="宋体"/>
                <w:bCs/>
                <w:kern w:val="2"/>
                <w:szCs w:val="24"/>
              </w:rPr>
              <w:t>2</w:t>
            </w:r>
          </w:p>
        </w:tc>
        <w:tc>
          <w:tcPr>
            <w:tcW w:w="1192" w:type="pct"/>
            <w:vAlign w:val="center"/>
          </w:tcPr>
          <w:p w14:paraId="0793AE46">
            <w:pPr>
              <w:pStyle w:val="19"/>
              <w:widowControl w:val="0"/>
              <w:wordWrap/>
              <w:spacing w:before="0" w:beforeAutospacing="0" w:after="0" w:afterAutospacing="0" w:line="440" w:lineRule="exact"/>
              <w:rPr>
                <w:rFonts w:hint="eastAsia" w:ascii="宋体" w:hAnsi="宋体" w:eastAsia="宋体" w:cs="宋体"/>
                <w:b w:val="0"/>
                <w:sz w:val="24"/>
                <w:szCs w:val="24"/>
              </w:rPr>
            </w:pPr>
            <w:r>
              <w:rPr>
                <w:rFonts w:hint="eastAsia" w:ascii="宋体" w:hAnsi="宋体" w:eastAsia="宋体" w:cs="宋体"/>
                <w:b w:val="0"/>
                <w:sz w:val="24"/>
                <w:szCs w:val="24"/>
              </w:rPr>
              <w:t>供货及安装地点</w:t>
            </w:r>
          </w:p>
        </w:tc>
        <w:tc>
          <w:tcPr>
            <w:tcW w:w="3217" w:type="pct"/>
            <w:vAlign w:val="center"/>
          </w:tcPr>
          <w:p w14:paraId="24CF238E">
            <w:pPr>
              <w:pStyle w:val="19"/>
              <w:widowControl w:val="0"/>
              <w:wordWrap/>
              <w:spacing w:before="0" w:beforeAutospacing="0" w:after="0" w:afterAutospacing="0" w:line="440" w:lineRule="exact"/>
              <w:jc w:val="both"/>
              <w:rPr>
                <w:rFonts w:hint="eastAsia" w:ascii="宋体" w:hAnsi="宋体" w:eastAsia="宋体" w:cs="宋体"/>
                <w:b w:val="0"/>
                <w:sz w:val="24"/>
                <w:szCs w:val="24"/>
              </w:rPr>
            </w:pPr>
            <w:r>
              <w:rPr>
                <w:rFonts w:hint="eastAsia" w:ascii="宋体" w:hAnsi="宋体" w:eastAsia="宋体" w:cs="宋体"/>
                <w:b w:val="0"/>
                <w:sz w:val="24"/>
                <w:szCs w:val="24"/>
              </w:rPr>
              <w:t>阜阳师范大学，采购人指定地点。</w:t>
            </w:r>
          </w:p>
        </w:tc>
      </w:tr>
      <w:tr w14:paraId="018AB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043561ED">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Cs/>
                <w:kern w:val="2"/>
                <w:szCs w:val="24"/>
              </w:rPr>
            </w:pPr>
            <w:r>
              <w:rPr>
                <w:rFonts w:hint="eastAsia" w:ascii="宋体" w:hAnsi="宋体" w:eastAsia="宋体" w:cs="宋体"/>
                <w:bCs/>
                <w:kern w:val="2"/>
                <w:szCs w:val="24"/>
              </w:rPr>
              <w:t>3</w:t>
            </w:r>
          </w:p>
        </w:tc>
        <w:tc>
          <w:tcPr>
            <w:tcW w:w="1192" w:type="pct"/>
            <w:vAlign w:val="center"/>
          </w:tcPr>
          <w:p w14:paraId="061B4324">
            <w:pPr>
              <w:pStyle w:val="19"/>
              <w:widowControl w:val="0"/>
              <w:wordWrap/>
              <w:spacing w:before="0" w:beforeAutospacing="0" w:after="0" w:afterAutospacing="0" w:line="440" w:lineRule="exact"/>
              <w:rPr>
                <w:rFonts w:hint="eastAsia" w:ascii="宋体" w:hAnsi="宋体" w:eastAsia="宋体" w:cs="宋体"/>
                <w:b w:val="0"/>
                <w:sz w:val="24"/>
                <w:szCs w:val="24"/>
              </w:rPr>
            </w:pPr>
            <w:r>
              <w:rPr>
                <w:rFonts w:hint="eastAsia" w:ascii="宋体" w:hAnsi="宋体" w:eastAsia="宋体" w:cs="宋体"/>
                <w:b w:val="0"/>
                <w:sz w:val="24"/>
                <w:szCs w:val="24"/>
              </w:rPr>
              <w:t>供货及安装期限</w:t>
            </w:r>
          </w:p>
        </w:tc>
        <w:tc>
          <w:tcPr>
            <w:tcW w:w="3217" w:type="pct"/>
            <w:vAlign w:val="center"/>
          </w:tcPr>
          <w:p w14:paraId="1B5FAD96">
            <w:pPr>
              <w:pStyle w:val="19"/>
              <w:widowControl w:val="0"/>
              <w:wordWrap/>
              <w:spacing w:before="0" w:beforeAutospacing="0" w:after="0" w:afterAutospacing="0" w:line="440" w:lineRule="exact"/>
              <w:jc w:val="both"/>
              <w:rPr>
                <w:rFonts w:hint="eastAsia" w:ascii="宋体" w:hAnsi="宋体" w:eastAsia="宋体" w:cs="宋体"/>
                <w:b w:val="0"/>
                <w:sz w:val="24"/>
                <w:szCs w:val="24"/>
              </w:rPr>
            </w:pPr>
            <w:r>
              <w:rPr>
                <w:rFonts w:hint="eastAsia" w:ascii="宋体" w:hAnsi="宋体" w:eastAsia="宋体" w:cs="宋体"/>
                <w:b w:val="0"/>
                <w:sz w:val="24"/>
                <w:szCs w:val="24"/>
              </w:rPr>
              <w:t>合同签订后至2025年11月30日完成供货及安装调试。</w:t>
            </w:r>
          </w:p>
        </w:tc>
      </w:tr>
      <w:tr w14:paraId="0E629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59BE1A6F">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Cs/>
                <w:kern w:val="2"/>
                <w:szCs w:val="24"/>
              </w:rPr>
            </w:pPr>
            <w:r>
              <w:rPr>
                <w:rFonts w:hint="eastAsia" w:ascii="宋体" w:hAnsi="宋体" w:eastAsia="宋体" w:cs="宋体"/>
                <w:bCs/>
                <w:kern w:val="2"/>
                <w:szCs w:val="24"/>
              </w:rPr>
              <w:t>4</w:t>
            </w:r>
          </w:p>
        </w:tc>
        <w:tc>
          <w:tcPr>
            <w:tcW w:w="1192" w:type="pct"/>
            <w:vAlign w:val="center"/>
          </w:tcPr>
          <w:p w14:paraId="404E9E49">
            <w:pPr>
              <w:pStyle w:val="19"/>
              <w:widowControl w:val="0"/>
              <w:wordWrap/>
              <w:spacing w:before="0" w:beforeAutospacing="0" w:after="0" w:afterAutospacing="0" w:line="440" w:lineRule="exact"/>
              <w:rPr>
                <w:rFonts w:hint="eastAsia" w:ascii="宋体" w:hAnsi="宋体" w:eastAsia="宋体" w:cs="宋体"/>
                <w:b w:val="0"/>
                <w:sz w:val="24"/>
                <w:szCs w:val="24"/>
              </w:rPr>
            </w:pPr>
            <w:r>
              <w:rPr>
                <w:rFonts w:hint="eastAsia" w:ascii="宋体" w:hAnsi="宋体" w:eastAsia="宋体" w:cs="宋体"/>
                <w:b w:val="0"/>
                <w:sz w:val="24"/>
                <w:szCs w:val="24"/>
              </w:rPr>
              <w:t>质保期</w:t>
            </w:r>
          </w:p>
        </w:tc>
        <w:tc>
          <w:tcPr>
            <w:tcW w:w="3217" w:type="pct"/>
            <w:vAlign w:val="center"/>
          </w:tcPr>
          <w:p w14:paraId="3BDA65F4">
            <w:pPr>
              <w:widowControl/>
              <w:wordWrap/>
              <w:spacing w:line="440" w:lineRule="exact"/>
              <w:rPr>
                <w:rFonts w:hint="eastAsia" w:ascii="宋体" w:hAnsi="宋体" w:eastAsia="宋体" w:cs="宋体"/>
                <w:sz w:val="24"/>
                <w:szCs w:val="24"/>
              </w:rPr>
            </w:pPr>
            <w:r>
              <w:rPr>
                <w:rFonts w:hint="eastAsia" w:ascii="宋体" w:hAnsi="宋体" w:eastAsia="宋体" w:cs="宋体"/>
                <w:color w:val="000000"/>
                <w:kern w:val="0"/>
                <w:sz w:val="24"/>
                <w:szCs w:val="24"/>
                <w:lang w:bidi="ar"/>
              </w:rPr>
              <w:t>自验收合格之日起所有标的质保不低于6年，包含所有软件的重大版本升级。</w:t>
            </w:r>
            <w:r>
              <w:rPr>
                <w:rFonts w:hint="eastAsia" w:ascii="宋体" w:hAnsi="宋体" w:eastAsia="宋体" w:cs="宋体"/>
                <w:bCs/>
                <w:kern w:val="0"/>
                <w:sz w:val="24"/>
                <w:szCs w:val="24"/>
              </w:rPr>
              <w:t>（货物需求另有规定的，以货物需求为准）</w:t>
            </w:r>
            <w:r>
              <w:rPr>
                <w:rFonts w:hint="eastAsia" w:ascii="宋体" w:hAnsi="宋体" w:eastAsia="宋体" w:cs="宋体"/>
                <w:kern w:val="0"/>
                <w:sz w:val="24"/>
                <w:szCs w:val="24"/>
                <w:lang w:bidi="ar"/>
              </w:rPr>
              <w:t>。</w:t>
            </w:r>
          </w:p>
        </w:tc>
      </w:tr>
      <w:tr w14:paraId="0B68A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89" w:type="pct"/>
            <w:vAlign w:val="center"/>
          </w:tcPr>
          <w:p w14:paraId="1664EC86">
            <w:pPr>
              <w:pStyle w:val="18"/>
              <w:pBdr>
                <w:bottom w:val="none" w:color="auto" w:sz="0" w:space="0"/>
              </w:pBdr>
              <w:tabs>
                <w:tab w:val="clear" w:pos="4153"/>
                <w:tab w:val="clear" w:pos="8306"/>
              </w:tabs>
              <w:wordWrap/>
              <w:adjustRightInd/>
              <w:spacing w:line="440" w:lineRule="exact"/>
              <w:textAlignment w:val="auto"/>
              <w:rPr>
                <w:rFonts w:hint="eastAsia" w:ascii="宋体" w:hAnsi="宋体" w:eastAsia="宋体" w:cs="宋体"/>
                <w:bCs/>
                <w:kern w:val="2"/>
                <w:szCs w:val="24"/>
              </w:rPr>
            </w:pPr>
            <w:r>
              <w:rPr>
                <w:rFonts w:hint="eastAsia" w:ascii="宋体" w:hAnsi="宋体" w:eastAsia="宋体" w:cs="宋体"/>
                <w:bCs/>
                <w:kern w:val="2"/>
                <w:szCs w:val="24"/>
              </w:rPr>
              <w:t>5</w:t>
            </w:r>
          </w:p>
        </w:tc>
        <w:tc>
          <w:tcPr>
            <w:tcW w:w="1192" w:type="pct"/>
            <w:vAlign w:val="center"/>
          </w:tcPr>
          <w:p w14:paraId="5B66CE24">
            <w:pPr>
              <w:pStyle w:val="19"/>
              <w:widowControl w:val="0"/>
              <w:wordWrap/>
              <w:spacing w:before="0" w:beforeAutospacing="0" w:after="0" w:afterAutospacing="0" w:line="440" w:lineRule="exact"/>
              <w:rPr>
                <w:rFonts w:hint="eastAsia" w:ascii="宋体" w:hAnsi="宋体" w:eastAsia="宋体" w:cs="宋体"/>
                <w:b w:val="0"/>
                <w:sz w:val="24"/>
                <w:szCs w:val="24"/>
              </w:rPr>
            </w:pPr>
            <w:r>
              <w:rPr>
                <w:rFonts w:hint="eastAsia" w:ascii="宋体" w:hAnsi="宋体" w:eastAsia="宋体" w:cs="宋体"/>
                <w:b w:val="0"/>
                <w:sz w:val="24"/>
                <w:szCs w:val="24"/>
              </w:rPr>
              <w:t>售后服务</w:t>
            </w:r>
          </w:p>
        </w:tc>
        <w:tc>
          <w:tcPr>
            <w:tcW w:w="3217" w:type="pct"/>
            <w:shd w:val="clear" w:color="auto" w:fill="auto"/>
            <w:vAlign w:val="center"/>
          </w:tcPr>
          <w:p w14:paraId="0B3D92B0">
            <w:pPr>
              <w:widowControl/>
              <w:wordWrap/>
              <w:spacing w:line="440" w:lineRule="exac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质保期内，提供7*24小时的应急响应服务，软硬件设备出现问题，半小时内响应并处置，如远程不能及时处理，接到通知后12小时内到达现场处理。</w:t>
            </w:r>
          </w:p>
        </w:tc>
      </w:tr>
    </w:tbl>
    <w:p w14:paraId="3AA4A045">
      <w:pPr>
        <w:rPr>
          <w:rFonts w:hint="eastAsia" w:ascii="宋体" w:hAnsi="宋体" w:eastAsia="宋体" w:cs="宋体"/>
        </w:rPr>
      </w:pPr>
    </w:p>
    <w:p w14:paraId="07BF64EF">
      <w:pPr>
        <w:rPr>
          <w:rFonts w:hint="eastAsia" w:ascii="宋体" w:hAnsi="宋体" w:eastAsia="宋体" w:cs="宋体"/>
        </w:rPr>
      </w:pPr>
    </w:p>
    <w:p w14:paraId="69BC7552">
      <w:pPr>
        <w:spacing w:line="360" w:lineRule="auto"/>
        <w:ind w:firstLine="437"/>
        <w:outlineLvl w:val="1"/>
        <w:rPr>
          <w:rFonts w:hint="eastAsia" w:ascii="宋体" w:hAnsi="宋体" w:eastAsia="宋体" w:cs="宋体"/>
          <w:b/>
          <w:bCs/>
          <w:sz w:val="24"/>
          <w:szCs w:val="18"/>
        </w:rPr>
      </w:pPr>
      <w:r>
        <w:rPr>
          <w:rFonts w:hint="eastAsia" w:ascii="宋体" w:hAnsi="宋体" w:eastAsia="宋体" w:cs="宋体"/>
          <w:b/>
          <w:bCs/>
          <w:sz w:val="24"/>
          <w:szCs w:val="18"/>
        </w:rPr>
        <w:t>二、货物需求</w:t>
      </w:r>
    </w:p>
    <w:p w14:paraId="634C9F13">
      <w:pPr>
        <w:spacing w:line="360" w:lineRule="auto"/>
        <w:ind w:firstLine="437"/>
        <w:rPr>
          <w:rFonts w:hint="eastAsia" w:ascii="宋体" w:hAnsi="宋体" w:eastAsia="宋体" w:cs="宋体"/>
          <w:b/>
          <w:sz w:val="24"/>
        </w:rPr>
      </w:pPr>
      <w:r>
        <w:rPr>
          <w:rFonts w:hint="eastAsia" w:ascii="宋体" w:hAnsi="宋体" w:eastAsia="宋体" w:cs="宋体"/>
          <w:b/>
          <w:sz w:val="24"/>
        </w:rPr>
        <w:t>（一）货物需求说明</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1305"/>
        <w:gridCol w:w="5539"/>
      </w:tblGrid>
      <w:tr w14:paraId="443C4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82" w:type="pct"/>
            <w:vAlign w:val="center"/>
          </w:tcPr>
          <w:p w14:paraId="045E3A31">
            <w:pPr>
              <w:wordWrap/>
              <w:spacing w:line="440" w:lineRule="exact"/>
              <w:jc w:val="center"/>
              <w:rPr>
                <w:rFonts w:hint="eastAsia" w:ascii="宋体" w:hAnsi="宋体" w:eastAsia="宋体" w:cs="宋体"/>
                <w:kern w:val="0"/>
                <w:sz w:val="24"/>
                <w:szCs w:val="24"/>
              </w:rPr>
            </w:pPr>
            <w:r>
              <w:rPr>
                <w:rFonts w:hint="eastAsia" w:ascii="宋体" w:hAnsi="宋体" w:eastAsia="宋体" w:cs="宋体"/>
                <w:bCs/>
                <w:kern w:val="0"/>
                <w:sz w:val="24"/>
                <w:szCs w:val="24"/>
              </w:rPr>
              <w:t>标识重要性</w:t>
            </w:r>
          </w:p>
        </w:tc>
        <w:tc>
          <w:tcPr>
            <w:tcW w:w="766" w:type="pct"/>
            <w:vAlign w:val="center"/>
          </w:tcPr>
          <w:p w14:paraId="1FB4C44B">
            <w:pPr>
              <w:wordWrap/>
              <w:spacing w:line="440" w:lineRule="exact"/>
              <w:jc w:val="center"/>
              <w:rPr>
                <w:rFonts w:hint="eastAsia" w:ascii="宋体" w:hAnsi="宋体" w:eastAsia="宋体" w:cs="宋体"/>
                <w:kern w:val="0"/>
                <w:sz w:val="24"/>
                <w:szCs w:val="24"/>
              </w:rPr>
            </w:pPr>
            <w:r>
              <w:rPr>
                <w:rFonts w:hint="eastAsia" w:ascii="宋体" w:hAnsi="宋体" w:eastAsia="宋体" w:cs="宋体"/>
                <w:bCs/>
                <w:kern w:val="0"/>
                <w:sz w:val="24"/>
                <w:szCs w:val="24"/>
              </w:rPr>
              <w:t>标识符号</w:t>
            </w:r>
          </w:p>
        </w:tc>
        <w:tc>
          <w:tcPr>
            <w:tcW w:w="3250" w:type="pct"/>
            <w:vAlign w:val="center"/>
          </w:tcPr>
          <w:p w14:paraId="063DAC2D">
            <w:pPr>
              <w:wordWrap/>
              <w:spacing w:line="440" w:lineRule="exact"/>
              <w:jc w:val="center"/>
              <w:rPr>
                <w:rFonts w:hint="eastAsia" w:ascii="宋体" w:hAnsi="宋体" w:eastAsia="宋体" w:cs="宋体"/>
                <w:kern w:val="0"/>
                <w:sz w:val="24"/>
                <w:szCs w:val="24"/>
              </w:rPr>
            </w:pPr>
            <w:r>
              <w:rPr>
                <w:rFonts w:hint="eastAsia" w:ascii="宋体" w:hAnsi="宋体" w:eastAsia="宋体" w:cs="宋体"/>
                <w:bCs/>
                <w:kern w:val="0"/>
                <w:sz w:val="24"/>
                <w:szCs w:val="24"/>
              </w:rPr>
              <w:t>代表意思</w:t>
            </w:r>
          </w:p>
        </w:tc>
      </w:tr>
      <w:tr w14:paraId="03DAA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82" w:type="pct"/>
            <w:vAlign w:val="center"/>
          </w:tcPr>
          <w:p w14:paraId="7E42CAF3">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实质性响应项</w:t>
            </w:r>
          </w:p>
        </w:tc>
        <w:tc>
          <w:tcPr>
            <w:tcW w:w="766" w:type="pct"/>
            <w:vAlign w:val="center"/>
          </w:tcPr>
          <w:p w14:paraId="1D1C9210">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w:t>
            </w:r>
          </w:p>
        </w:tc>
        <w:tc>
          <w:tcPr>
            <w:tcW w:w="3250" w:type="pct"/>
            <w:vAlign w:val="center"/>
          </w:tcPr>
          <w:p w14:paraId="69B003AD">
            <w:pPr>
              <w:wordWrap/>
              <w:spacing w:line="440" w:lineRule="exact"/>
              <w:jc w:val="both"/>
              <w:rPr>
                <w:rFonts w:hint="eastAsia" w:ascii="宋体" w:hAnsi="宋体" w:eastAsia="宋体" w:cs="宋体"/>
                <w:bCs/>
                <w:kern w:val="0"/>
                <w:sz w:val="24"/>
                <w:szCs w:val="24"/>
              </w:rPr>
            </w:pPr>
            <w:r>
              <w:rPr>
                <w:rFonts w:hint="eastAsia" w:ascii="宋体" w:hAnsi="宋体" w:eastAsia="宋体" w:cs="宋体"/>
                <w:bCs/>
                <w:kern w:val="0"/>
                <w:sz w:val="24"/>
                <w:szCs w:val="24"/>
              </w:rPr>
              <w:t>作为实质性响应项，不允许偏离，否则</w:t>
            </w:r>
            <w:r>
              <w:rPr>
                <w:rFonts w:hint="eastAsia" w:ascii="宋体" w:hAnsi="宋体" w:eastAsia="宋体" w:cs="宋体"/>
                <w:b/>
                <w:kern w:val="0"/>
                <w:sz w:val="24"/>
                <w:szCs w:val="24"/>
              </w:rPr>
              <w:t>投标无效</w:t>
            </w:r>
            <w:r>
              <w:rPr>
                <w:rFonts w:hint="eastAsia" w:ascii="宋体" w:hAnsi="宋体" w:eastAsia="宋体" w:cs="宋体"/>
                <w:bCs/>
                <w:kern w:val="0"/>
                <w:sz w:val="24"/>
                <w:szCs w:val="24"/>
              </w:rPr>
              <w:t>。</w:t>
            </w:r>
          </w:p>
        </w:tc>
      </w:tr>
      <w:tr w14:paraId="28840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982" w:type="pct"/>
            <w:vAlign w:val="center"/>
          </w:tcPr>
          <w:p w14:paraId="19F4EF80">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重要指标项</w:t>
            </w:r>
          </w:p>
        </w:tc>
        <w:tc>
          <w:tcPr>
            <w:tcW w:w="766" w:type="pct"/>
            <w:vAlign w:val="center"/>
          </w:tcPr>
          <w:p w14:paraId="33852491">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w:t>
            </w:r>
          </w:p>
        </w:tc>
        <w:tc>
          <w:tcPr>
            <w:tcW w:w="3250" w:type="pct"/>
            <w:vAlign w:val="center"/>
          </w:tcPr>
          <w:p w14:paraId="2678B86F">
            <w:pPr>
              <w:pStyle w:val="19"/>
              <w:widowControl w:val="0"/>
              <w:wordWrap/>
              <w:spacing w:before="0" w:beforeAutospacing="0" w:after="0" w:afterAutospacing="0" w:line="440" w:lineRule="exact"/>
              <w:jc w:val="both"/>
              <w:rPr>
                <w:rFonts w:hint="eastAsia" w:ascii="宋体" w:hAnsi="宋体" w:eastAsia="宋体" w:cs="宋体"/>
                <w:b w:val="0"/>
                <w:sz w:val="24"/>
                <w:szCs w:val="24"/>
              </w:rPr>
            </w:pPr>
            <w:r>
              <w:rPr>
                <w:rFonts w:hint="eastAsia" w:ascii="宋体" w:hAnsi="宋体" w:eastAsia="宋体" w:cs="宋体"/>
                <w:b w:val="0"/>
                <w:sz w:val="24"/>
                <w:szCs w:val="24"/>
              </w:rPr>
              <w:t>作为评分项，详见“第四章评标方法和标准”中评分细则。</w:t>
            </w:r>
          </w:p>
        </w:tc>
      </w:tr>
      <w:tr w14:paraId="2F15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982" w:type="pct"/>
            <w:vAlign w:val="center"/>
          </w:tcPr>
          <w:p w14:paraId="197A6822">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无标识项</w:t>
            </w:r>
          </w:p>
        </w:tc>
        <w:tc>
          <w:tcPr>
            <w:tcW w:w="766" w:type="pct"/>
            <w:vAlign w:val="center"/>
          </w:tcPr>
          <w:p w14:paraId="7A78DB78">
            <w:pPr>
              <w:wordWrap/>
              <w:spacing w:line="440" w:lineRule="exact"/>
              <w:jc w:val="center"/>
              <w:rPr>
                <w:rFonts w:hint="eastAsia" w:ascii="宋体" w:hAnsi="宋体" w:eastAsia="宋体" w:cs="宋体"/>
                <w:bCs/>
                <w:kern w:val="0"/>
                <w:sz w:val="24"/>
                <w:szCs w:val="24"/>
              </w:rPr>
            </w:pPr>
            <w:r>
              <w:rPr>
                <w:rFonts w:hint="eastAsia" w:ascii="宋体" w:hAnsi="宋体" w:eastAsia="宋体" w:cs="宋体"/>
                <w:bCs/>
                <w:kern w:val="0"/>
                <w:sz w:val="24"/>
                <w:szCs w:val="24"/>
              </w:rPr>
              <w:t>无</w:t>
            </w:r>
          </w:p>
        </w:tc>
        <w:tc>
          <w:tcPr>
            <w:tcW w:w="3250" w:type="pct"/>
            <w:vAlign w:val="center"/>
          </w:tcPr>
          <w:p w14:paraId="417F3A79">
            <w:pPr>
              <w:pStyle w:val="19"/>
              <w:widowControl w:val="0"/>
              <w:wordWrap/>
              <w:spacing w:before="0" w:beforeAutospacing="0" w:after="0" w:afterAutospacing="0" w:line="440" w:lineRule="exact"/>
              <w:jc w:val="both"/>
              <w:rPr>
                <w:rFonts w:hint="eastAsia" w:ascii="宋体" w:hAnsi="宋体" w:eastAsia="宋体" w:cs="宋体"/>
                <w:b w:val="0"/>
                <w:sz w:val="24"/>
                <w:szCs w:val="24"/>
              </w:rPr>
            </w:pPr>
            <w:r>
              <w:rPr>
                <w:rFonts w:hint="eastAsia" w:ascii="宋体" w:hAnsi="宋体" w:eastAsia="宋体" w:cs="宋体"/>
                <w:b w:val="0"/>
                <w:sz w:val="24"/>
                <w:szCs w:val="24"/>
              </w:rPr>
              <w:t>无标识项为符合性审查项，5项及以上未响应或负偏离的，</w:t>
            </w:r>
            <w:r>
              <w:rPr>
                <w:rFonts w:hint="eastAsia" w:ascii="宋体" w:hAnsi="宋体" w:eastAsia="宋体" w:cs="宋体"/>
                <w:bCs w:val="0"/>
                <w:sz w:val="24"/>
                <w:szCs w:val="24"/>
              </w:rPr>
              <w:t>投标无效</w:t>
            </w:r>
            <w:r>
              <w:rPr>
                <w:rFonts w:hint="eastAsia" w:ascii="宋体" w:hAnsi="宋体" w:eastAsia="宋体" w:cs="宋体"/>
                <w:b w:val="0"/>
                <w:sz w:val="24"/>
                <w:szCs w:val="24"/>
              </w:rPr>
              <w:t>。</w:t>
            </w:r>
          </w:p>
        </w:tc>
      </w:tr>
      <w:tr w14:paraId="370F7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5000" w:type="pct"/>
            <w:gridSpan w:val="3"/>
            <w:vAlign w:val="center"/>
          </w:tcPr>
          <w:p w14:paraId="2F51E956">
            <w:pPr>
              <w:wordWrap/>
              <w:spacing w:line="440" w:lineRule="exact"/>
              <w:rPr>
                <w:rFonts w:hint="eastAsia" w:ascii="宋体" w:hAnsi="宋体" w:eastAsia="宋体" w:cs="宋体"/>
                <w:b/>
                <w:bCs/>
                <w:sz w:val="24"/>
                <w:szCs w:val="24"/>
              </w:rPr>
            </w:pPr>
            <w:r>
              <w:rPr>
                <w:rFonts w:hint="eastAsia" w:ascii="宋体" w:hAnsi="宋体" w:eastAsia="宋体" w:cs="宋体"/>
                <w:b/>
                <w:bCs/>
                <w:sz w:val="24"/>
                <w:szCs w:val="24"/>
              </w:rPr>
              <w:t>注：</w:t>
            </w:r>
          </w:p>
          <w:p w14:paraId="26C40B6A">
            <w:pPr>
              <w:wordWrap/>
              <w:spacing w:line="440" w:lineRule="exact"/>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b/>
                <w:bCs/>
                <w:sz w:val="24"/>
                <w:szCs w:val="24"/>
              </w:rPr>
              <w:t>如某项标识中包含多条技术参数或要求，则该项标识所含内容均需满足或优于招标文件要求，否则不予认可。</w:t>
            </w:r>
          </w:p>
          <w:p w14:paraId="48F09F58">
            <w:pPr>
              <w:wordWrap/>
              <w:spacing w:line="440" w:lineRule="exact"/>
              <w:rPr>
                <w:rFonts w:hint="eastAsia" w:ascii="宋体" w:hAnsi="宋体" w:eastAsia="宋体" w:cs="宋体"/>
                <w:b/>
                <w:bCs/>
                <w:sz w:val="24"/>
                <w:szCs w:val="24"/>
              </w:rPr>
            </w:pPr>
            <w:r>
              <w:rPr>
                <w:rFonts w:hint="eastAsia" w:ascii="宋体" w:hAnsi="宋体" w:eastAsia="宋体" w:cs="宋体"/>
                <w:b/>
                <w:bCs/>
                <w:sz w:val="24"/>
                <w:szCs w:val="24"/>
              </w:rPr>
              <w:t>2.以投标响应表中“6.2技术响应表”响应情况及采购需求中要求提供的证明材料作为评审依据。</w:t>
            </w:r>
          </w:p>
        </w:tc>
      </w:tr>
    </w:tbl>
    <w:p w14:paraId="64D5B801">
      <w:pPr>
        <w:rPr>
          <w:rFonts w:hint="eastAsia" w:ascii="宋体" w:hAnsi="宋体" w:eastAsia="宋体" w:cs="宋体"/>
          <w:b/>
          <w:sz w:val="24"/>
        </w:rPr>
      </w:pPr>
    </w:p>
    <w:p w14:paraId="142141DF">
      <w:pPr>
        <w:rPr>
          <w:rFonts w:hint="eastAsia" w:ascii="宋体" w:hAnsi="宋体" w:eastAsia="宋体" w:cs="宋体"/>
        </w:rPr>
      </w:pPr>
      <w:r>
        <w:rPr>
          <w:rFonts w:hint="eastAsia" w:ascii="宋体" w:hAnsi="宋体" w:eastAsia="宋体" w:cs="宋体"/>
          <w:b/>
          <w:sz w:val="24"/>
        </w:rPr>
        <w:t>（二）货物具体需求</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726"/>
        <w:gridCol w:w="5172"/>
        <w:gridCol w:w="936"/>
        <w:gridCol w:w="670"/>
        <w:gridCol w:w="501"/>
      </w:tblGrid>
      <w:tr w14:paraId="0CE65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vAlign w:val="center"/>
          </w:tcPr>
          <w:p w14:paraId="0D1AD16D">
            <w:pPr>
              <w:jc w:val="center"/>
              <w:rPr>
                <w:rFonts w:hint="eastAsia" w:ascii="宋体" w:hAnsi="宋体" w:eastAsia="宋体" w:cs="宋体"/>
                <w:b/>
                <w:bCs/>
                <w:szCs w:val="21"/>
              </w:rPr>
            </w:pPr>
            <w:r>
              <w:rPr>
                <w:rFonts w:hint="eastAsia" w:ascii="宋体" w:hAnsi="宋体" w:eastAsia="宋体" w:cs="宋体"/>
                <w:b/>
                <w:bCs/>
                <w:szCs w:val="21"/>
              </w:rPr>
              <w:t>序号</w:t>
            </w:r>
          </w:p>
        </w:tc>
        <w:tc>
          <w:tcPr>
            <w:tcW w:w="426" w:type="pct"/>
            <w:vAlign w:val="center"/>
          </w:tcPr>
          <w:p w14:paraId="25AAF0CA">
            <w:pPr>
              <w:jc w:val="center"/>
              <w:rPr>
                <w:rFonts w:hint="eastAsia" w:ascii="宋体" w:hAnsi="宋体" w:eastAsia="宋体" w:cs="宋体"/>
                <w:b/>
                <w:bCs/>
                <w:szCs w:val="21"/>
              </w:rPr>
            </w:pPr>
            <w:r>
              <w:rPr>
                <w:rFonts w:hint="eastAsia" w:ascii="宋体" w:hAnsi="宋体" w:eastAsia="宋体" w:cs="宋体"/>
                <w:b/>
                <w:bCs/>
                <w:szCs w:val="21"/>
              </w:rPr>
              <w:t>货物名称</w:t>
            </w:r>
          </w:p>
        </w:tc>
        <w:tc>
          <w:tcPr>
            <w:tcW w:w="3034" w:type="pct"/>
            <w:vAlign w:val="center"/>
          </w:tcPr>
          <w:p w14:paraId="297D3DCE">
            <w:pPr>
              <w:jc w:val="center"/>
              <w:rPr>
                <w:rFonts w:hint="eastAsia" w:ascii="宋体" w:hAnsi="宋体" w:eastAsia="宋体" w:cs="宋体"/>
                <w:b/>
                <w:bCs/>
                <w:szCs w:val="21"/>
              </w:rPr>
            </w:pPr>
            <w:r>
              <w:rPr>
                <w:rFonts w:hint="eastAsia" w:ascii="宋体" w:hAnsi="宋体" w:eastAsia="宋体" w:cs="宋体"/>
                <w:b/>
                <w:bCs/>
                <w:szCs w:val="21"/>
              </w:rPr>
              <w:t>技术参数及要求</w:t>
            </w:r>
          </w:p>
        </w:tc>
        <w:tc>
          <w:tcPr>
            <w:tcW w:w="549" w:type="pct"/>
            <w:vAlign w:val="center"/>
          </w:tcPr>
          <w:p w14:paraId="1412D585">
            <w:pPr>
              <w:jc w:val="center"/>
              <w:rPr>
                <w:rFonts w:hint="eastAsia" w:ascii="宋体" w:hAnsi="宋体" w:eastAsia="宋体" w:cs="宋体"/>
                <w:b/>
                <w:bCs/>
                <w:szCs w:val="21"/>
              </w:rPr>
            </w:pPr>
            <w:r>
              <w:rPr>
                <w:rFonts w:hint="eastAsia" w:ascii="宋体" w:hAnsi="宋体" w:eastAsia="宋体" w:cs="宋体"/>
                <w:b/>
                <w:bCs/>
                <w:szCs w:val="21"/>
              </w:rPr>
              <w:t>数量</w:t>
            </w:r>
          </w:p>
          <w:p w14:paraId="3F472E98">
            <w:pPr>
              <w:jc w:val="center"/>
              <w:rPr>
                <w:rFonts w:hint="eastAsia" w:ascii="宋体" w:hAnsi="宋体" w:eastAsia="宋体" w:cs="宋体"/>
                <w:b/>
                <w:bCs/>
                <w:szCs w:val="21"/>
              </w:rPr>
            </w:pPr>
            <w:r>
              <w:rPr>
                <w:rFonts w:hint="eastAsia" w:ascii="宋体" w:hAnsi="宋体" w:eastAsia="宋体" w:cs="宋体"/>
                <w:b/>
                <w:bCs/>
                <w:szCs w:val="21"/>
              </w:rPr>
              <w:t>（单位）</w:t>
            </w:r>
          </w:p>
        </w:tc>
        <w:tc>
          <w:tcPr>
            <w:tcW w:w="393" w:type="pct"/>
            <w:vAlign w:val="center"/>
          </w:tcPr>
          <w:p w14:paraId="253E3EF5">
            <w:pPr>
              <w:jc w:val="center"/>
              <w:rPr>
                <w:rFonts w:hint="eastAsia" w:ascii="宋体" w:hAnsi="宋体" w:eastAsia="宋体" w:cs="宋体"/>
                <w:b/>
                <w:bCs/>
                <w:szCs w:val="21"/>
              </w:rPr>
            </w:pPr>
            <w:r>
              <w:rPr>
                <w:rFonts w:hint="eastAsia" w:ascii="宋体" w:hAnsi="宋体" w:eastAsia="宋体" w:cs="宋体"/>
                <w:b/>
                <w:bCs/>
                <w:szCs w:val="21"/>
              </w:rPr>
              <w:t>所属行业</w:t>
            </w:r>
          </w:p>
        </w:tc>
        <w:tc>
          <w:tcPr>
            <w:tcW w:w="294" w:type="pct"/>
            <w:vAlign w:val="center"/>
          </w:tcPr>
          <w:p w14:paraId="26EB37CC">
            <w:pPr>
              <w:jc w:val="center"/>
              <w:rPr>
                <w:rFonts w:hint="eastAsia" w:ascii="宋体" w:hAnsi="宋体" w:eastAsia="宋体" w:cs="宋体"/>
                <w:b/>
                <w:bCs/>
                <w:szCs w:val="21"/>
              </w:rPr>
            </w:pPr>
            <w:r>
              <w:rPr>
                <w:rFonts w:hint="eastAsia" w:ascii="宋体" w:hAnsi="宋体" w:eastAsia="宋体" w:cs="宋体"/>
                <w:b/>
                <w:bCs/>
                <w:szCs w:val="21"/>
              </w:rPr>
              <w:t>备注</w:t>
            </w:r>
          </w:p>
        </w:tc>
      </w:tr>
      <w:tr w14:paraId="6A3A8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vAlign w:val="center"/>
          </w:tcPr>
          <w:p w14:paraId="1779B08A">
            <w:pPr>
              <w:jc w:val="center"/>
              <w:rPr>
                <w:rFonts w:hint="eastAsia" w:ascii="宋体" w:hAnsi="宋体" w:eastAsia="宋体" w:cs="宋体"/>
                <w:szCs w:val="21"/>
              </w:rPr>
            </w:pPr>
            <w:r>
              <w:rPr>
                <w:rFonts w:hint="eastAsia" w:ascii="宋体" w:hAnsi="宋体" w:eastAsia="宋体" w:cs="宋体"/>
                <w:szCs w:val="21"/>
              </w:rPr>
              <w:t>1</w:t>
            </w:r>
          </w:p>
        </w:tc>
        <w:tc>
          <w:tcPr>
            <w:tcW w:w="426" w:type="pct"/>
            <w:vAlign w:val="center"/>
          </w:tcPr>
          <w:p w14:paraId="1F72CC5F">
            <w:pPr>
              <w:widowControl/>
              <w:jc w:val="center"/>
              <w:rPr>
                <w:rFonts w:hint="eastAsia" w:ascii="宋体" w:hAnsi="宋体" w:eastAsia="宋体" w:cs="宋体"/>
                <w:bCs/>
                <w:szCs w:val="21"/>
              </w:rPr>
            </w:pPr>
            <w:r>
              <w:rPr>
                <w:rFonts w:hint="eastAsia" w:ascii="宋体" w:hAnsi="宋体" w:eastAsia="宋体" w:cs="宋体"/>
                <w:color w:val="000000"/>
                <w:kern w:val="0"/>
                <w:szCs w:val="21"/>
              </w:rPr>
              <w:t>汇聚交换机</w:t>
            </w:r>
          </w:p>
        </w:tc>
        <w:tc>
          <w:tcPr>
            <w:tcW w:w="3034" w:type="pct"/>
            <w:shd w:val="clear" w:color="auto" w:fill="auto"/>
            <w:vAlign w:val="center"/>
          </w:tcPr>
          <w:p w14:paraId="58701C6C">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1.交换容量不低于13T，包转发率不低于420Mpps；</w:t>
            </w:r>
          </w:p>
          <w:p w14:paraId="699C2C05">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2.固定端口不少于24个千兆SFP和4个万兆SFP+，配置可插拔冗余双电源；</w:t>
            </w:r>
          </w:p>
          <w:p w14:paraId="7D01F809">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3.支持不少于1个扩展插槽，最大支持扩展不低于8个10GE光口或4*40GE；</w:t>
            </w:r>
          </w:p>
          <w:p w14:paraId="62BBBCE3">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4.支持路由包括但不限于静态路由、RIPv1/2、RIPng、OSPF、OSPFv3、ECMP、ISIS、ISISv6、BGP、 BGP4+、VRRP、VRRP6等；</w:t>
            </w:r>
          </w:p>
          <w:p w14:paraId="6D7DBF0B">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★5.支持MAC地址规格不低于32K，ARP表项规格不低于19K，IPv4路由FIB表不低于8K，IPv6 FIB表项不低于4K；（投标文件中提供第三方有权机构出具的含有CMA标识的检测报告扫描件）</w:t>
            </w:r>
          </w:p>
          <w:p w14:paraId="658C7ADE">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★6.支持IPCA2.0功能；（投标文件中提供第三方有权机构出具的含有CMA标识的检测报告扫描件）</w:t>
            </w:r>
          </w:p>
          <w:p w14:paraId="3B96D768">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★7.支持SEP协议；（投标文件中提供官网截图及链接）</w:t>
            </w:r>
          </w:p>
          <w:p w14:paraId="5E9A9984">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★8.支持MFF功能；（投标文件中提供第三方有权机构出具的含有CMA标识的检测报告扫描件）</w:t>
            </w:r>
          </w:p>
          <w:p w14:paraId="36BCF628">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9.支持Telemetry技术。实时采集设备数据，配合网络分析器及时发现网络问题；</w:t>
            </w:r>
          </w:p>
          <w:p w14:paraId="58F812E6">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10.支持智能iStack堆叠。从逻辑上将多台支持堆叠特性的交换机组合，虚拟为一台交换机；</w:t>
            </w:r>
          </w:p>
          <w:p w14:paraId="495F4ED1">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★11.支持SVF功能；（投标文件中提供第三方有权机构出具的含有CMA标识的检测报告扫描件）</w:t>
            </w:r>
          </w:p>
          <w:p w14:paraId="49B0A5FC">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★12.支持音视频业务智能运维，对音视频业务质量类故障进行快速定界；（投标文件中提供官网截图及链接）</w:t>
            </w:r>
          </w:p>
          <w:p w14:paraId="137EAFCA">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13.能够在-5℃至45℃的宽温环境下保持长期稳定运行；</w:t>
            </w:r>
          </w:p>
          <w:p w14:paraId="6E1AF4F8">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14.支持commit命令功能，执行commit命令配置生效；</w:t>
            </w:r>
          </w:p>
          <w:p w14:paraId="0D81A72F">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15.支持sFlow功能；</w:t>
            </w:r>
          </w:p>
          <w:p w14:paraId="5375D882">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16.支持MACsec-256；</w:t>
            </w:r>
          </w:p>
          <w:p w14:paraId="7B013928">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17.支持零配置部署，具备新设备零配置开局、故障设备免配置更换、USB开局、批量配置、批量远程升级等功能；</w:t>
            </w:r>
          </w:p>
          <w:p w14:paraId="2E5DEEBD">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18.支持以太网OAM（IEEE 802.3ah和802.1ag）；</w:t>
            </w:r>
          </w:p>
          <w:p w14:paraId="35559B3D">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19.支持智能升级，从厂商在线升级平台获取最新版本实现一键升级；且具备预加载版本功能；</w:t>
            </w:r>
          </w:p>
          <w:p w14:paraId="4BA7396F">
            <w:pPr>
              <w:widowControl/>
              <w:rPr>
                <w:rFonts w:hint="eastAsia" w:ascii="宋体" w:hAnsi="宋体" w:eastAsia="宋体" w:cs="宋体"/>
                <w:kern w:val="0"/>
                <w:szCs w:val="21"/>
              </w:rPr>
            </w:pPr>
            <w:r>
              <w:rPr>
                <w:rFonts w:hint="eastAsia" w:ascii="宋体" w:hAnsi="宋体" w:eastAsia="宋体" w:cs="宋体"/>
                <w:color w:val="000000"/>
                <w:kern w:val="0"/>
                <w:szCs w:val="21"/>
              </w:rPr>
              <w:t>20.每台配置10个千兆单模光模块及2个万兆单模光模块。</w:t>
            </w:r>
          </w:p>
        </w:tc>
        <w:tc>
          <w:tcPr>
            <w:tcW w:w="549" w:type="pct"/>
            <w:vAlign w:val="center"/>
          </w:tcPr>
          <w:p w14:paraId="57ECED2A">
            <w:pPr>
              <w:jc w:val="center"/>
              <w:rPr>
                <w:rFonts w:hint="eastAsia" w:ascii="宋体" w:hAnsi="宋体" w:eastAsia="宋体" w:cs="宋体"/>
                <w:bCs/>
                <w:szCs w:val="21"/>
              </w:rPr>
            </w:pPr>
            <w:r>
              <w:rPr>
                <w:rFonts w:hint="eastAsia" w:ascii="宋体" w:hAnsi="宋体" w:eastAsia="宋体" w:cs="宋体"/>
                <w:bCs/>
                <w:szCs w:val="21"/>
              </w:rPr>
              <w:t>97台</w:t>
            </w:r>
          </w:p>
        </w:tc>
        <w:tc>
          <w:tcPr>
            <w:tcW w:w="393" w:type="pct"/>
            <w:vAlign w:val="center"/>
          </w:tcPr>
          <w:p w14:paraId="144F2533">
            <w:pPr>
              <w:jc w:val="center"/>
              <w:rPr>
                <w:rFonts w:hint="eastAsia" w:ascii="宋体" w:hAnsi="宋体" w:eastAsia="宋体" w:cs="宋体"/>
                <w:bCs/>
                <w:szCs w:val="21"/>
              </w:rPr>
            </w:pPr>
            <w:r>
              <w:rPr>
                <w:rFonts w:hint="eastAsia" w:ascii="宋体" w:hAnsi="宋体" w:eastAsia="宋体" w:cs="宋体"/>
                <w:bCs/>
                <w:szCs w:val="21"/>
              </w:rPr>
              <w:t>工业</w:t>
            </w:r>
          </w:p>
        </w:tc>
        <w:tc>
          <w:tcPr>
            <w:tcW w:w="294" w:type="pct"/>
            <w:vAlign w:val="center"/>
          </w:tcPr>
          <w:p w14:paraId="34FDBEAF">
            <w:pPr>
              <w:jc w:val="center"/>
              <w:rPr>
                <w:rFonts w:hint="eastAsia" w:ascii="宋体" w:hAnsi="宋体" w:eastAsia="宋体" w:cs="宋体"/>
                <w:bCs/>
                <w:szCs w:val="21"/>
              </w:rPr>
            </w:pPr>
            <w:r>
              <w:rPr>
                <w:rFonts w:hint="eastAsia" w:ascii="宋体" w:hAnsi="宋体" w:eastAsia="宋体" w:cs="宋体"/>
                <w:bCs/>
                <w:szCs w:val="21"/>
              </w:rPr>
              <w:t>/</w:t>
            </w:r>
          </w:p>
        </w:tc>
      </w:tr>
      <w:tr w14:paraId="00189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vAlign w:val="center"/>
          </w:tcPr>
          <w:p w14:paraId="7529C8E6">
            <w:pPr>
              <w:jc w:val="center"/>
              <w:rPr>
                <w:rFonts w:hint="eastAsia" w:ascii="宋体" w:hAnsi="宋体" w:eastAsia="宋体" w:cs="宋体"/>
                <w:szCs w:val="21"/>
              </w:rPr>
            </w:pPr>
            <w:r>
              <w:rPr>
                <w:rFonts w:hint="eastAsia" w:ascii="宋体" w:hAnsi="宋体" w:eastAsia="宋体" w:cs="宋体"/>
                <w:szCs w:val="21"/>
              </w:rPr>
              <w:t>2</w:t>
            </w:r>
          </w:p>
        </w:tc>
        <w:tc>
          <w:tcPr>
            <w:tcW w:w="426" w:type="pct"/>
            <w:vAlign w:val="center"/>
          </w:tcPr>
          <w:p w14:paraId="4FE1A840">
            <w:pPr>
              <w:widowControl/>
              <w:jc w:val="center"/>
              <w:rPr>
                <w:rFonts w:hint="eastAsia" w:ascii="宋体" w:hAnsi="宋体" w:eastAsia="宋体" w:cs="宋体"/>
                <w:bCs/>
                <w:szCs w:val="21"/>
              </w:rPr>
            </w:pPr>
            <w:r>
              <w:rPr>
                <w:rFonts w:hint="eastAsia" w:ascii="宋体" w:hAnsi="宋体" w:eastAsia="宋体" w:cs="宋体"/>
                <w:color w:val="000000"/>
                <w:kern w:val="0"/>
                <w:szCs w:val="21"/>
              </w:rPr>
              <w:t>校区汇聚交换机</w:t>
            </w:r>
          </w:p>
        </w:tc>
        <w:tc>
          <w:tcPr>
            <w:tcW w:w="3034" w:type="pct"/>
            <w:shd w:val="clear" w:color="auto" w:fill="auto"/>
            <w:vAlign w:val="center"/>
          </w:tcPr>
          <w:p w14:paraId="08D62C52">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1.交换容量不低于25T，包转发率不低于1600Mpps；</w:t>
            </w:r>
          </w:p>
          <w:p w14:paraId="0EFC5558">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2.固定端口不少于48个万兆SFP+和6个40GE QSFP+，配置可插拔冗余双电源和不少于4个独立风扇框；</w:t>
            </w:r>
          </w:p>
          <w:p w14:paraId="6A0076B0">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3.支持MAC表项不低于64K，ARP表项不低于64K，支持FIBv4表项不低于64K，FIBv6表项不低于32K；</w:t>
            </w:r>
          </w:p>
          <w:p w14:paraId="2D282BA6">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4.支持路由包括但不限于静态路由、RIP V1/2、RIPng、OSPF、OSPFv3、IS-IS、IS-ISv6、BGP、BGP4+、ECMP、路由策略；</w:t>
            </w:r>
          </w:p>
          <w:p w14:paraId="06B7E53C">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★5.支持SEP协议；（投标文件中提供第三方有权机构出具的含有CMA标识的检测报告扫描件）</w:t>
            </w:r>
          </w:p>
          <w:p w14:paraId="2141CC56">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6.支持VxLAN功能，支持VXLAN二层网关、三层网关和自动化部署，支持BGP EVPN，支持通过Netconf和YANG进行配置；</w:t>
            </w:r>
          </w:p>
          <w:p w14:paraId="679C5D33">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★7.设备CPU芯片和转发芯片采用所投产品厂商自研芯片；（投标文件中提供第三方有权机构出具的含有CMA标识的检测报告扫描件）</w:t>
            </w:r>
          </w:p>
          <w:p w14:paraId="13712623">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8.支持加密通信分析（ECA）功能及安全诱捕（Deception）功能；</w:t>
            </w:r>
          </w:p>
          <w:p w14:paraId="485CCD1B">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★9.支持音视频业务智能运维，对音视频业务质量类故障进行快速定界；（投标文件中提供官网截图及链接）</w:t>
            </w:r>
          </w:p>
          <w:p w14:paraId="0583E2E9">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10.支持TWAMP双向主动测量协议；</w:t>
            </w:r>
          </w:p>
          <w:p w14:paraId="08B1A2A2">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★11.支持CPU过载控制OLC功能；（投标文件中提供第三方有权机构出具的含有CMA标识的检测报告扫描件）</w:t>
            </w:r>
          </w:p>
          <w:p w14:paraId="2E2D2F8F">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★12.支持IPCA2.0技术；（投标文件中提供第三方有权机构出具的含有CMA标识的检测报告扫描件）</w:t>
            </w:r>
          </w:p>
          <w:p w14:paraId="727E4254">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13.支持SVF超级虚拟交换网功能；</w:t>
            </w:r>
          </w:p>
          <w:p w14:paraId="34E6FCBC">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14.支持commit命令功能，执行commit命令配置生效；</w:t>
            </w:r>
          </w:p>
          <w:p w14:paraId="328C39A0">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★15.支持业务随行功能；（投标文件中提供第三方有权机构出具的含有CMA标识的检测报告扫描件）</w:t>
            </w:r>
          </w:p>
          <w:p w14:paraId="0931DB5A">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★16.支持出口ARP检测（EAI）；（投标文件中提供第三方有权机构出具的含有CMA标识的检测报告扫描件）</w:t>
            </w:r>
          </w:p>
          <w:p w14:paraId="607CFAEC">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17.支持IPv4 IPSG功能；</w:t>
            </w:r>
          </w:p>
          <w:p w14:paraId="23673C0A">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18.支持MACSec；</w:t>
            </w:r>
          </w:p>
          <w:p w14:paraId="48659304">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★19.支持基于eMDI实时监控网络质量；（投标文件中提供第三方有权机构出具的含有CMA标识的检测报告扫描件）</w:t>
            </w:r>
          </w:p>
          <w:p w14:paraId="21744824">
            <w:pPr>
              <w:widowControl/>
              <w:rPr>
                <w:rFonts w:hint="eastAsia" w:ascii="宋体" w:hAnsi="宋体" w:eastAsia="宋体" w:cs="宋体"/>
                <w:b/>
                <w:bCs/>
                <w:kern w:val="0"/>
                <w:szCs w:val="21"/>
              </w:rPr>
            </w:pPr>
            <w:r>
              <w:rPr>
                <w:rFonts w:hint="eastAsia" w:ascii="宋体" w:hAnsi="宋体" w:eastAsia="宋体" w:cs="宋体"/>
                <w:color w:val="000000"/>
                <w:kern w:val="0"/>
                <w:szCs w:val="21"/>
              </w:rPr>
              <w:t>20.每台配置2个万兆单模光模块。</w:t>
            </w:r>
          </w:p>
        </w:tc>
        <w:tc>
          <w:tcPr>
            <w:tcW w:w="549" w:type="pct"/>
            <w:vAlign w:val="center"/>
          </w:tcPr>
          <w:p w14:paraId="745BA717">
            <w:pPr>
              <w:jc w:val="center"/>
              <w:rPr>
                <w:rFonts w:hint="eastAsia" w:ascii="宋体" w:hAnsi="宋体" w:eastAsia="宋体" w:cs="宋体"/>
                <w:bCs/>
                <w:szCs w:val="21"/>
              </w:rPr>
            </w:pPr>
            <w:r>
              <w:rPr>
                <w:rFonts w:hint="eastAsia" w:ascii="宋体" w:hAnsi="宋体" w:eastAsia="宋体" w:cs="宋体"/>
                <w:bCs/>
                <w:szCs w:val="21"/>
              </w:rPr>
              <w:t>3台</w:t>
            </w:r>
          </w:p>
        </w:tc>
        <w:tc>
          <w:tcPr>
            <w:tcW w:w="393" w:type="pct"/>
            <w:vAlign w:val="center"/>
          </w:tcPr>
          <w:p w14:paraId="40006B25">
            <w:pPr>
              <w:jc w:val="center"/>
              <w:rPr>
                <w:rFonts w:hint="eastAsia" w:ascii="宋体" w:hAnsi="宋体" w:eastAsia="宋体" w:cs="宋体"/>
                <w:bCs/>
                <w:szCs w:val="21"/>
              </w:rPr>
            </w:pPr>
            <w:r>
              <w:rPr>
                <w:rFonts w:hint="eastAsia" w:ascii="宋体" w:hAnsi="宋体" w:eastAsia="宋体" w:cs="宋体"/>
                <w:bCs/>
                <w:szCs w:val="21"/>
              </w:rPr>
              <w:t>工业</w:t>
            </w:r>
          </w:p>
        </w:tc>
        <w:tc>
          <w:tcPr>
            <w:tcW w:w="294" w:type="pct"/>
            <w:vAlign w:val="center"/>
          </w:tcPr>
          <w:p w14:paraId="40BB6599">
            <w:pPr>
              <w:jc w:val="center"/>
              <w:rPr>
                <w:rFonts w:hint="eastAsia" w:ascii="宋体" w:hAnsi="宋体" w:eastAsia="宋体" w:cs="宋体"/>
                <w:bCs/>
                <w:szCs w:val="21"/>
              </w:rPr>
            </w:pPr>
            <w:r>
              <w:rPr>
                <w:rFonts w:hint="eastAsia" w:ascii="宋体" w:hAnsi="宋体" w:eastAsia="宋体" w:cs="宋体"/>
                <w:bCs/>
                <w:szCs w:val="21"/>
              </w:rPr>
              <w:t>/</w:t>
            </w:r>
          </w:p>
        </w:tc>
      </w:tr>
      <w:tr w14:paraId="578B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vAlign w:val="center"/>
          </w:tcPr>
          <w:p w14:paraId="6069415A">
            <w:pPr>
              <w:jc w:val="center"/>
              <w:rPr>
                <w:rFonts w:hint="eastAsia" w:ascii="宋体" w:hAnsi="宋体" w:eastAsia="宋体" w:cs="宋体"/>
                <w:szCs w:val="21"/>
              </w:rPr>
            </w:pPr>
            <w:r>
              <w:rPr>
                <w:rFonts w:hint="eastAsia" w:ascii="宋体" w:hAnsi="宋体" w:eastAsia="宋体" w:cs="宋体"/>
                <w:szCs w:val="21"/>
              </w:rPr>
              <w:t>3</w:t>
            </w:r>
          </w:p>
        </w:tc>
        <w:tc>
          <w:tcPr>
            <w:tcW w:w="426" w:type="pct"/>
            <w:vAlign w:val="center"/>
          </w:tcPr>
          <w:p w14:paraId="187C78DB">
            <w:pPr>
              <w:widowControl/>
              <w:jc w:val="center"/>
              <w:rPr>
                <w:rFonts w:hint="eastAsia" w:ascii="宋体" w:hAnsi="宋体" w:eastAsia="宋体" w:cs="宋体"/>
                <w:bCs/>
                <w:szCs w:val="21"/>
              </w:rPr>
            </w:pPr>
            <w:r>
              <w:rPr>
                <w:rFonts w:hint="eastAsia" w:ascii="宋体" w:hAnsi="宋体" w:eastAsia="宋体" w:cs="宋体"/>
              </w:rPr>
              <w:t>▲</w:t>
            </w:r>
            <w:r>
              <w:rPr>
                <w:rFonts w:hint="eastAsia" w:ascii="宋体" w:hAnsi="宋体" w:eastAsia="宋体" w:cs="宋体"/>
                <w:color w:val="000000"/>
                <w:kern w:val="0"/>
                <w:szCs w:val="21"/>
              </w:rPr>
              <w:t>智能网关</w:t>
            </w:r>
          </w:p>
        </w:tc>
        <w:tc>
          <w:tcPr>
            <w:tcW w:w="3034" w:type="pct"/>
            <w:shd w:val="clear" w:color="auto" w:fill="auto"/>
            <w:vAlign w:val="center"/>
          </w:tcPr>
          <w:p w14:paraId="60F653D1">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1.最大吞吐量不低于80Gbps，千兆电口不低于2个，万兆光口不低于4个，40G光口不低于2个，不高于2U，冗余双电源；</w:t>
            </w:r>
          </w:p>
          <w:p w14:paraId="449DFE57">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2.支持透明网桥模式、路由模式、NAT模式、旁路分析模式、混合模式。</w:t>
            </w:r>
            <w:r>
              <w:rPr>
                <w:rFonts w:hint="eastAsia" w:ascii="宋体" w:hAnsi="宋体" w:eastAsia="宋体" w:cs="宋体"/>
                <w:b/>
                <w:bCs/>
                <w:color w:val="000000"/>
                <w:kern w:val="0"/>
                <w:szCs w:val="21"/>
              </w:rPr>
              <w:t>投标文件中提供功能界面截图证明；</w:t>
            </w:r>
          </w:p>
          <w:p w14:paraId="401F53AC">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★3.支持IPv6应用可视化，包括但不限于IPV6 TOP用户排名、用户使用协议、IPV6连接信息等；（投标文件中提供功能界面截图证明）</w:t>
            </w:r>
          </w:p>
          <w:p w14:paraId="4A04CD8C">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4.网络接入侧支持路由、NAT，支持虚拟LAN接口和WAN线路不低于2000个，WAN口支持PPPoE协议，具备链路状态自动检测，断线自动拨号功能，支持与Radius认证计费系统对接；</w:t>
            </w:r>
          </w:p>
          <w:p w14:paraId="11C0A76B">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5.支持对会话连接数量的控制；</w:t>
            </w:r>
          </w:p>
          <w:p w14:paraId="3B3FCE34">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★6.支持与深澜、城市热点等主流认证计费系统联动；（投标文件中提供功能界面截图证明）</w:t>
            </w:r>
          </w:p>
          <w:p w14:paraId="52E6083F">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7.支持“内网伪IP”防护功能；检测并控制内网中毒设备伪装大量假IP攻击网络的行为；</w:t>
            </w:r>
          </w:p>
          <w:p w14:paraId="1C947A2D">
            <w:pPr>
              <w:widowControl/>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8.支持实时显示接入流量的应用协议流量占比</w:t>
            </w:r>
            <w:r>
              <w:rPr>
                <w:rFonts w:hint="eastAsia" w:ascii="宋体" w:hAnsi="宋体" w:eastAsia="宋体" w:cs="宋体"/>
                <w:color w:val="000000"/>
                <w:kern w:val="0"/>
                <w:szCs w:val="21"/>
                <w:lang w:eastAsia="zh-CN"/>
              </w:rPr>
              <w:t>；</w:t>
            </w:r>
          </w:p>
          <w:p w14:paraId="7CF91EA4">
            <w:pPr>
              <w:widowControl/>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9.支持设置免认证IP、免认证MAC及免认证应用协议</w:t>
            </w:r>
            <w:r>
              <w:rPr>
                <w:rFonts w:hint="eastAsia" w:ascii="宋体" w:hAnsi="宋体" w:eastAsia="宋体" w:cs="宋体"/>
                <w:color w:val="000000"/>
                <w:kern w:val="0"/>
                <w:szCs w:val="21"/>
                <w:lang w:eastAsia="zh-CN"/>
              </w:rPr>
              <w:t>；</w:t>
            </w:r>
          </w:p>
          <w:p w14:paraId="568429D2">
            <w:pPr>
              <w:widowControl/>
              <w:rPr>
                <w:rFonts w:hint="eastAsia" w:ascii="宋体" w:hAnsi="宋体" w:eastAsia="宋体" w:cs="宋体"/>
                <w:b/>
                <w:bCs/>
                <w:color w:val="000000"/>
                <w:kern w:val="0"/>
                <w:szCs w:val="21"/>
                <w:lang w:eastAsia="zh-CN"/>
              </w:rPr>
            </w:pPr>
            <w:r>
              <w:rPr>
                <w:rFonts w:hint="eastAsia" w:ascii="宋体" w:hAnsi="宋体" w:eastAsia="宋体" w:cs="宋体"/>
                <w:color w:val="000000"/>
                <w:kern w:val="0"/>
                <w:szCs w:val="21"/>
              </w:rPr>
              <w:t>10.支持PPPOE代拨，支持不少于24K外网代拨账号，每个代拨账号可以支持1个或多个内网IP上网</w:t>
            </w:r>
            <w:r>
              <w:rPr>
                <w:rFonts w:hint="eastAsia" w:ascii="宋体" w:hAnsi="宋体" w:eastAsia="宋体" w:cs="宋体"/>
                <w:color w:val="000000"/>
                <w:kern w:val="0"/>
                <w:szCs w:val="21"/>
                <w:lang w:eastAsia="zh-CN"/>
              </w:rPr>
              <w:t>；</w:t>
            </w:r>
          </w:p>
          <w:p w14:paraId="63475B72">
            <w:pPr>
              <w:widowControl/>
              <w:rPr>
                <w:rFonts w:hint="eastAsia" w:ascii="宋体" w:hAnsi="宋体" w:eastAsia="宋体" w:cs="宋体"/>
                <w:b/>
                <w:bCs/>
                <w:color w:val="000000"/>
                <w:kern w:val="0"/>
                <w:szCs w:val="21"/>
                <w:lang w:eastAsia="zh-CN"/>
              </w:rPr>
            </w:pPr>
            <w:r>
              <w:rPr>
                <w:rFonts w:hint="eastAsia" w:ascii="宋体" w:hAnsi="宋体" w:eastAsia="宋体" w:cs="宋体"/>
                <w:color w:val="000000"/>
                <w:kern w:val="0"/>
                <w:szCs w:val="21"/>
              </w:rPr>
              <w:t>11.支持系统自检，包括但不限于检查系统硬件和软件运行情况</w:t>
            </w:r>
            <w:r>
              <w:rPr>
                <w:rFonts w:hint="eastAsia" w:ascii="宋体" w:hAnsi="宋体" w:eastAsia="宋体" w:cs="宋体"/>
                <w:color w:val="000000"/>
                <w:kern w:val="0"/>
                <w:szCs w:val="21"/>
                <w:lang w:eastAsia="zh-CN"/>
              </w:rPr>
              <w:t>；</w:t>
            </w:r>
          </w:p>
          <w:p w14:paraId="53DDEADD">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12.支持在旁路或串接模式下深度分析RADIUS数据包，找到账号与IP地址对应关系；</w:t>
            </w:r>
          </w:p>
          <w:p w14:paraId="23F5289D">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13.支持与第三方威胁情报库联动，支持情报条目不低于300万条；情报库支持在线自动同步和离线上传；支持对威胁情报命中监测，支持查看情报命中趋势、情报类型命中分布及源IP、目的IP、源MAC等信息；支持基于威胁情报的会话自动阻断；（投标文件中提供功能界面截图证明）</w:t>
            </w:r>
          </w:p>
          <w:p w14:paraId="336083DD">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★14.支持双OS备份，主OS故障时自动切换至备份OS；（投标文件中提供第三方有权机构出具的含有CMA标识的检测报告扫描件）</w:t>
            </w:r>
          </w:p>
          <w:p w14:paraId="68ED9224">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15.支持针对内网用户进行基于应用层协议、URL的行为管理；</w:t>
            </w:r>
          </w:p>
          <w:p w14:paraId="1913E48B">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★16.支持将镜像流量指定到SD-WAN线路封装和转发；（投标文件中提供第三方有权机构出具的含有CMA标识的检测报告扫描件）</w:t>
            </w:r>
          </w:p>
          <w:p w14:paraId="5364900F">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★17.支持基于应用的路由，并可以针对应用做链路负载均衡；（投标文件中提供第三方有权机构出具的含有CMA标识的检测报告扫描件）</w:t>
            </w:r>
          </w:p>
          <w:p w14:paraId="2C47BBDA">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★18.支持基于域名的路由，并可以针对域名做链路负载均衡；（投标文件中提供第三方有权机构出具的含有CMA标识的检测报告扫描件）</w:t>
            </w:r>
          </w:p>
          <w:p w14:paraId="3100A5AD">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★19.支持应用级被动测量。针对网络流量中的会话进行基于应用级的质量测量；（投标文件中提供第三方有权机构出具的含有CMA标识的检测报告扫描件）</w:t>
            </w:r>
          </w:p>
          <w:p w14:paraId="502CEFCD">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★20.支持IPv6的路由和IPv6到IPv4的转换；（投标文件中提供第三方有权机构出具的含有CMA标识的检测报告扫描件）</w:t>
            </w:r>
          </w:p>
          <w:p w14:paraId="484F5710">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21.支持DNS控制方式阻断、允许及重定向；</w:t>
            </w:r>
          </w:p>
          <w:p w14:paraId="09CD5544">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22.支持基于域名和URL、应用协议和应用协议群组的流量镜像；</w:t>
            </w:r>
          </w:p>
          <w:p w14:paraId="72AC1AB0">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★23.支持基于对客户端时延、传输时延及应用服务器时延的分段记录与策略配置；（投标文件中提供第三方有权机构出具的含有CMA标识的检测报告扫描件）</w:t>
            </w:r>
          </w:p>
          <w:p w14:paraId="27FCB208">
            <w:pPr>
              <w:widowControl/>
              <w:rPr>
                <w:rFonts w:hint="eastAsia" w:ascii="宋体" w:hAnsi="宋体" w:eastAsia="宋体" w:cs="宋体"/>
                <w:color w:val="000000"/>
                <w:kern w:val="0"/>
                <w:szCs w:val="21"/>
              </w:rPr>
            </w:pPr>
            <w:r>
              <w:rPr>
                <w:rFonts w:hint="eastAsia" w:ascii="宋体" w:hAnsi="宋体" w:eastAsia="宋体" w:cs="宋体"/>
                <w:b/>
                <w:bCs/>
                <w:color w:val="000000"/>
                <w:kern w:val="0"/>
                <w:szCs w:val="21"/>
              </w:rPr>
              <w:t>★24.支持基于IP五元组、VLAN、链路、数据流向、共享用户、移动终端、应用协议/协议组和IP/IP群组的速率和连接数控制，最小颗粒支持Kb；（投标文件中提供第三方有权机构出具的含有CMA标识的检测报告扫描件）</w:t>
            </w:r>
          </w:p>
          <w:p w14:paraId="3CE6EFD2">
            <w:pPr>
              <w:widowControl/>
              <w:rPr>
                <w:rFonts w:hint="eastAsia" w:ascii="宋体" w:hAnsi="宋体" w:eastAsia="宋体" w:cs="宋体"/>
                <w:kern w:val="0"/>
                <w:szCs w:val="21"/>
              </w:rPr>
            </w:pPr>
            <w:r>
              <w:rPr>
                <w:rFonts w:hint="eastAsia" w:ascii="宋体" w:hAnsi="宋体" w:eastAsia="宋体" w:cs="宋体"/>
                <w:bCs/>
                <w:kern w:val="0"/>
                <w:sz w:val="24"/>
                <w:szCs w:val="24"/>
              </w:rPr>
              <w:t>●</w:t>
            </w:r>
            <w:r>
              <w:rPr>
                <w:rFonts w:hint="eastAsia" w:ascii="宋体" w:hAnsi="宋体" w:eastAsia="宋体" w:cs="宋体"/>
                <w:color w:val="000000"/>
                <w:kern w:val="0"/>
                <w:szCs w:val="21"/>
              </w:rPr>
              <w:t>25.所投产品须满足GB42250-2022《信息安全技术网络安全专用产品安全技术要求》和防火墙相关标准规范要求；</w:t>
            </w:r>
          </w:p>
        </w:tc>
        <w:tc>
          <w:tcPr>
            <w:tcW w:w="549" w:type="pct"/>
            <w:vAlign w:val="center"/>
          </w:tcPr>
          <w:p w14:paraId="617DCC7B">
            <w:pPr>
              <w:jc w:val="center"/>
              <w:rPr>
                <w:rFonts w:hint="eastAsia" w:ascii="宋体" w:hAnsi="宋体" w:eastAsia="宋体" w:cs="宋体"/>
                <w:bCs/>
                <w:szCs w:val="21"/>
              </w:rPr>
            </w:pPr>
            <w:r>
              <w:rPr>
                <w:rFonts w:hint="eastAsia" w:ascii="宋体" w:hAnsi="宋体" w:eastAsia="宋体" w:cs="宋体"/>
                <w:bCs/>
                <w:szCs w:val="21"/>
              </w:rPr>
              <w:t>1台</w:t>
            </w:r>
          </w:p>
        </w:tc>
        <w:tc>
          <w:tcPr>
            <w:tcW w:w="393" w:type="pct"/>
            <w:vAlign w:val="center"/>
          </w:tcPr>
          <w:p w14:paraId="5C1906CA">
            <w:pPr>
              <w:jc w:val="center"/>
              <w:rPr>
                <w:rFonts w:hint="eastAsia" w:ascii="宋体" w:hAnsi="宋体" w:eastAsia="宋体" w:cs="宋体"/>
                <w:bCs/>
                <w:szCs w:val="21"/>
              </w:rPr>
            </w:pPr>
            <w:r>
              <w:rPr>
                <w:rFonts w:hint="eastAsia" w:ascii="宋体" w:hAnsi="宋体" w:eastAsia="宋体" w:cs="宋体"/>
                <w:bCs/>
                <w:szCs w:val="21"/>
              </w:rPr>
              <w:t>工业</w:t>
            </w:r>
          </w:p>
        </w:tc>
        <w:tc>
          <w:tcPr>
            <w:tcW w:w="294" w:type="pct"/>
            <w:vAlign w:val="center"/>
          </w:tcPr>
          <w:p w14:paraId="293BF075">
            <w:pPr>
              <w:jc w:val="center"/>
              <w:rPr>
                <w:rFonts w:hint="eastAsia" w:ascii="宋体" w:hAnsi="宋体" w:eastAsia="宋体" w:cs="宋体"/>
                <w:bCs/>
                <w:szCs w:val="21"/>
              </w:rPr>
            </w:pPr>
            <w:r>
              <w:rPr>
                <w:rFonts w:hint="eastAsia" w:ascii="宋体" w:hAnsi="宋体" w:eastAsia="宋体" w:cs="宋体"/>
                <w:bCs/>
                <w:szCs w:val="21"/>
              </w:rPr>
              <w:t>/</w:t>
            </w:r>
          </w:p>
        </w:tc>
      </w:tr>
      <w:tr w14:paraId="517EF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 w:type="pct"/>
            <w:vAlign w:val="center"/>
          </w:tcPr>
          <w:p w14:paraId="24A08111">
            <w:pPr>
              <w:jc w:val="center"/>
              <w:rPr>
                <w:rFonts w:hint="eastAsia" w:ascii="宋体" w:hAnsi="宋体" w:eastAsia="宋体" w:cs="宋体"/>
                <w:szCs w:val="21"/>
              </w:rPr>
            </w:pPr>
            <w:r>
              <w:rPr>
                <w:rFonts w:hint="eastAsia" w:ascii="宋体" w:hAnsi="宋体" w:eastAsia="宋体" w:cs="宋体"/>
                <w:szCs w:val="21"/>
              </w:rPr>
              <w:t>4</w:t>
            </w:r>
          </w:p>
        </w:tc>
        <w:tc>
          <w:tcPr>
            <w:tcW w:w="426" w:type="pct"/>
            <w:vAlign w:val="center"/>
          </w:tcPr>
          <w:p w14:paraId="7ACB036A">
            <w:pPr>
              <w:widowControl/>
              <w:jc w:val="center"/>
              <w:rPr>
                <w:rFonts w:hint="eastAsia" w:ascii="宋体" w:hAnsi="宋体" w:eastAsia="宋体" w:cs="宋体"/>
                <w:bCs/>
                <w:szCs w:val="21"/>
              </w:rPr>
            </w:pPr>
            <w:r>
              <w:rPr>
                <w:rFonts w:hint="eastAsia" w:ascii="宋体" w:hAnsi="宋体" w:eastAsia="宋体" w:cs="宋体"/>
                <w:color w:val="000000"/>
                <w:kern w:val="0"/>
                <w:szCs w:val="21"/>
              </w:rPr>
              <w:t>系统集成</w:t>
            </w:r>
          </w:p>
        </w:tc>
        <w:tc>
          <w:tcPr>
            <w:tcW w:w="3034" w:type="pct"/>
            <w:shd w:val="clear" w:color="auto" w:fill="auto"/>
            <w:vAlign w:val="center"/>
          </w:tcPr>
          <w:p w14:paraId="2292181B">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1.满足以上所有设备安装调试所需材料，包括但不限于：网线、线槽、光纤、光纤跳线、电源、电源线、光模块、实施辅材等。</w:t>
            </w:r>
          </w:p>
          <w:p w14:paraId="75EB5621">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2.中标人要承担新购设备的安装部署、测试调试等全部工作，并完成新老设备的集成。</w:t>
            </w:r>
          </w:p>
          <w:p w14:paraId="09B0E800">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3.为保证整个项目的顺利实施和完成，所有不足部分由中标人自行补齐，采购人不再另行支付费用。</w:t>
            </w:r>
          </w:p>
        </w:tc>
        <w:tc>
          <w:tcPr>
            <w:tcW w:w="549" w:type="pct"/>
            <w:vAlign w:val="center"/>
          </w:tcPr>
          <w:p w14:paraId="5661BC4E">
            <w:pPr>
              <w:jc w:val="center"/>
              <w:rPr>
                <w:rFonts w:hint="eastAsia" w:ascii="宋体" w:hAnsi="宋体" w:eastAsia="宋体" w:cs="宋体"/>
                <w:bCs/>
                <w:szCs w:val="21"/>
              </w:rPr>
            </w:pPr>
            <w:r>
              <w:rPr>
                <w:rFonts w:hint="eastAsia" w:ascii="宋体" w:hAnsi="宋体" w:eastAsia="宋体" w:cs="宋体"/>
                <w:bCs/>
                <w:szCs w:val="21"/>
              </w:rPr>
              <w:t>1项</w:t>
            </w:r>
          </w:p>
        </w:tc>
        <w:tc>
          <w:tcPr>
            <w:tcW w:w="393" w:type="pct"/>
            <w:vAlign w:val="center"/>
          </w:tcPr>
          <w:p w14:paraId="44E16774">
            <w:pPr>
              <w:jc w:val="center"/>
              <w:rPr>
                <w:rFonts w:hint="eastAsia" w:ascii="宋体" w:hAnsi="宋体" w:eastAsia="宋体" w:cs="宋体"/>
                <w:bCs/>
                <w:szCs w:val="21"/>
              </w:rPr>
            </w:pPr>
            <w:r>
              <w:rPr>
                <w:rFonts w:hint="eastAsia" w:ascii="宋体" w:hAnsi="宋体" w:eastAsia="宋体" w:cs="宋体"/>
                <w:bCs/>
                <w:szCs w:val="21"/>
              </w:rPr>
              <w:t>工业</w:t>
            </w:r>
          </w:p>
        </w:tc>
        <w:tc>
          <w:tcPr>
            <w:tcW w:w="294" w:type="pct"/>
            <w:vAlign w:val="center"/>
          </w:tcPr>
          <w:p w14:paraId="3FE8225E">
            <w:pPr>
              <w:jc w:val="center"/>
              <w:rPr>
                <w:rFonts w:hint="eastAsia" w:ascii="宋体" w:hAnsi="宋体" w:eastAsia="宋体" w:cs="宋体"/>
                <w:bCs/>
                <w:szCs w:val="21"/>
              </w:rPr>
            </w:pPr>
            <w:r>
              <w:rPr>
                <w:rFonts w:hint="eastAsia" w:ascii="宋体" w:hAnsi="宋体" w:eastAsia="宋体" w:cs="宋体"/>
                <w:bCs/>
                <w:szCs w:val="21"/>
              </w:rPr>
              <w:t>/</w:t>
            </w:r>
          </w:p>
        </w:tc>
      </w:tr>
    </w:tbl>
    <w:p w14:paraId="311CF1DD">
      <w:pPr>
        <w:rPr>
          <w:rFonts w:hint="eastAsia" w:ascii="宋体" w:hAnsi="宋体" w:eastAsia="宋体" w:cs="宋体"/>
        </w:rPr>
      </w:pPr>
    </w:p>
    <w:p w14:paraId="70C54D1C">
      <w:pPr>
        <w:spacing w:line="360" w:lineRule="auto"/>
        <w:ind w:firstLine="437"/>
        <w:outlineLvl w:val="1"/>
        <w:rPr>
          <w:rFonts w:hint="eastAsia" w:ascii="宋体" w:hAnsi="宋体" w:eastAsia="宋体" w:cs="宋体"/>
          <w:b/>
          <w:bCs/>
          <w:sz w:val="24"/>
          <w:szCs w:val="18"/>
        </w:rPr>
      </w:pPr>
      <w:r>
        <w:rPr>
          <w:rFonts w:hint="eastAsia" w:ascii="宋体" w:hAnsi="宋体" w:eastAsia="宋体" w:cs="宋体"/>
          <w:b/>
          <w:bCs/>
          <w:sz w:val="24"/>
          <w:szCs w:val="18"/>
        </w:rPr>
        <w:t>三、报价要求</w:t>
      </w:r>
    </w:p>
    <w:p w14:paraId="62752AC9">
      <w:pPr>
        <w:spacing w:line="360" w:lineRule="auto"/>
        <w:ind w:firstLine="437"/>
        <w:rPr>
          <w:rFonts w:hint="eastAsia" w:ascii="宋体" w:hAnsi="宋体" w:eastAsia="宋体" w:cs="宋体"/>
          <w:bCs/>
          <w:sz w:val="24"/>
          <w:szCs w:val="18"/>
        </w:rPr>
      </w:pPr>
      <w:r>
        <w:rPr>
          <w:rFonts w:hint="eastAsia" w:ascii="宋体" w:hAnsi="宋体" w:eastAsia="宋体" w:cs="宋体"/>
          <w:bCs/>
          <w:sz w:val="24"/>
          <w:szCs w:val="18"/>
        </w:rPr>
        <w:t>本项目报投标总价，投标人的报价包含但不限于拆除、清运、材料、安装、运输劳务、利润、税金、政策性文件规定及合同包含的所有风险、责任、义务等，即为完成招标文件要求的供货内容所包含的一切应有费用，采购人后期不再追加费用，投标人自行考虑投标风险。</w:t>
      </w:r>
    </w:p>
    <w:p w14:paraId="4245CE5B">
      <w:pPr>
        <w:rPr>
          <w:rFonts w:hint="eastAsia" w:ascii="宋体" w:hAnsi="宋体" w:eastAsia="宋体" w:cs="Times New Roman"/>
          <w:b/>
          <w:sz w:val="24"/>
          <w:szCs w:val="28"/>
          <w:lang w:val="en-US" w:eastAsia="zh-CN"/>
        </w:rPr>
      </w:pPr>
      <w:r>
        <w:rPr>
          <w:rFonts w:hint="eastAsia" w:ascii="宋体" w:hAnsi="宋体" w:eastAsia="宋体" w:cs="Times New Roman"/>
          <w:b/>
          <w:sz w:val="24"/>
          <w:szCs w:val="28"/>
          <w:lang w:val="en-US" w:eastAsia="zh-CN"/>
        </w:rPr>
        <w:br w:type="page"/>
      </w:r>
    </w:p>
    <w:p w14:paraId="57BC7AF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Times New Roman"/>
          <w:b/>
          <w:sz w:val="24"/>
          <w:szCs w:val="28"/>
        </w:rPr>
      </w:pPr>
      <w:r>
        <w:rPr>
          <w:rFonts w:hint="eastAsia" w:ascii="宋体" w:hAnsi="宋体" w:eastAsia="宋体" w:cs="Times New Roman"/>
          <w:b/>
          <w:sz w:val="24"/>
          <w:szCs w:val="28"/>
          <w:lang w:val="en-US" w:eastAsia="zh-CN"/>
        </w:rPr>
        <w:t>三</w:t>
      </w:r>
      <w:r>
        <w:rPr>
          <w:rFonts w:hint="eastAsia" w:ascii="宋体" w:hAnsi="宋体" w:eastAsia="宋体" w:cs="Times New Roman"/>
          <w:b/>
          <w:sz w:val="24"/>
          <w:szCs w:val="28"/>
        </w:rPr>
        <w:t>、综合评分表（综合评分项目适用）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343"/>
        <w:gridCol w:w="4774"/>
        <w:gridCol w:w="1272"/>
      </w:tblGrid>
      <w:tr w14:paraId="03926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65" w:type="pct"/>
            <w:tcBorders>
              <w:top w:val="single" w:color="auto" w:sz="4" w:space="0"/>
              <w:left w:val="single" w:color="auto" w:sz="4" w:space="0"/>
              <w:bottom w:val="single" w:color="auto" w:sz="4" w:space="0"/>
              <w:right w:val="single" w:color="auto" w:sz="4" w:space="0"/>
            </w:tcBorders>
            <w:vAlign w:val="center"/>
          </w:tcPr>
          <w:p w14:paraId="29B1EF4B">
            <w:pPr>
              <w:spacing w:line="440" w:lineRule="exact"/>
              <w:jc w:val="center"/>
              <w:rPr>
                <w:rFonts w:hint="eastAsia" w:ascii="宋体" w:hAnsi="宋体" w:eastAsia="宋体" w:cs="宋体"/>
                <w:b/>
                <w:bCs/>
                <w:sz w:val="24"/>
                <w:szCs w:val="24"/>
              </w:rPr>
            </w:pPr>
            <w:bookmarkStart w:id="0" w:name="_GoBack"/>
            <w:r>
              <w:rPr>
                <w:rFonts w:hint="eastAsia" w:ascii="宋体" w:hAnsi="宋体" w:eastAsia="宋体" w:cs="宋体"/>
                <w:b/>
                <w:bCs/>
                <w:sz w:val="24"/>
                <w:szCs w:val="24"/>
              </w:rPr>
              <w:t>类别</w:t>
            </w:r>
          </w:p>
        </w:tc>
        <w:tc>
          <w:tcPr>
            <w:tcW w:w="788" w:type="pct"/>
            <w:tcBorders>
              <w:top w:val="single" w:color="auto" w:sz="4" w:space="0"/>
              <w:left w:val="single" w:color="auto" w:sz="4" w:space="0"/>
              <w:bottom w:val="single" w:color="auto" w:sz="4" w:space="0"/>
              <w:right w:val="single" w:color="auto" w:sz="4" w:space="0"/>
            </w:tcBorders>
            <w:vAlign w:val="center"/>
          </w:tcPr>
          <w:p w14:paraId="4CB77B4B">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2800" w:type="pct"/>
            <w:tcBorders>
              <w:top w:val="single" w:color="auto" w:sz="4" w:space="0"/>
              <w:left w:val="single" w:color="auto" w:sz="4" w:space="0"/>
              <w:bottom w:val="single" w:color="auto" w:sz="4" w:space="0"/>
              <w:right w:val="single" w:color="auto" w:sz="4" w:space="0"/>
            </w:tcBorders>
            <w:vAlign w:val="center"/>
          </w:tcPr>
          <w:p w14:paraId="2C0AE294">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745" w:type="pct"/>
            <w:tcBorders>
              <w:top w:val="single" w:color="auto" w:sz="4" w:space="0"/>
              <w:left w:val="single" w:color="auto" w:sz="4" w:space="0"/>
              <w:bottom w:val="single" w:color="auto" w:sz="4" w:space="0"/>
              <w:right w:val="single" w:color="auto" w:sz="4" w:space="0"/>
            </w:tcBorders>
            <w:vAlign w:val="center"/>
          </w:tcPr>
          <w:p w14:paraId="1056D526">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3206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restart"/>
            <w:tcBorders>
              <w:top w:val="single" w:color="auto" w:sz="4" w:space="0"/>
              <w:left w:val="single" w:color="auto" w:sz="4" w:space="0"/>
              <w:right w:val="single" w:color="auto" w:sz="4" w:space="0"/>
            </w:tcBorders>
            <w:vAlign w:val="center"/>
          </w:tcPr>
          <w:p w14:paraId="07071676">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技术资信分</w:t>
            </w:r>
          </w:p>
          <w:p w14:paraId="0D9563DF">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rPr>
              <w:t>70</w:t>
            </w:r>
            <w:r>
              <w:rPr>
                <w:rFonts w:hint="eastAsia" w:ascii="宋体" w:hAnsi="宋体" w:eastAsia="宋体" w:cs="宋体"/>
                <w:sz w:val="24"/>
                <w:szCs w:val="24"/>
              </w:rPr>
              <w:t>分）</w:t>
            </w:r>
          </w:p>
        </w:tc>
        <w:tc>
          <w:tcPr>
            <w:tcW w:w="788" w:type="pct"/>
            <w:tcBorders>
              <w:top w:val="single" w:color="auto" w:sz="4" w:space="0"/>
              <w:left w:val="single" w:color="auto" w:sz="4" w:space="0"/>
              <w:bottom w:val="single" w:color="auto" w:sz="4" w:space="0"/>
              <w:right w:val="single" w:color="auto" w:sz="4" w:space="0"/>
            </w:tcBorders>
            <w:vAlign w:val="center"/>
          </w:tcPr>
          <w:p w14:paraId="44BEAAD6">
            <w:pPr>
              <w:widowControl/>
              <w:spacing w:line="440" w:lineRule="exact"/>
              <w:jc w:val="center"/>
              <w:rPr>
                <w:rFonts w:hint="eastAsia" w:ascii="宋体" w:hAnsi="宋体" w:eastAsia="宋体" w:cs="宋体"/>
                <w:bCs/>
                <w:sz w:val="24"/>
                <w:szCs w:val="24"/>
              </w:rPr>
            </w:pPr>
            <w:r>
              <w:rPr>
                <w:rFonts w:hint="eastAsia" w:ascii="宋体" w:hAnsi="宋体" w:eastAsia="宋体" w:cs="宋体"/>
                <w:color w:val="000000"/>
                <w:kern w:val="0"/>
                <w:sz w:val="24"/>
                <w:szCs w:val="24"/>
                <w:lang w:bidi="ar"/>
              </w:rPr>
              <w:t>所投产品技术参数及要求响应情况</w:t>
            </w:r>
          </w:p>
        </w:tc>
        <w:tc>
          <w:tcPr>
            <w:tcW w:w="2800" w:type="pct"/>
            <w:tcBorders>
              <w:top w:val="single" w:color="auto" w:sz="4" w:space="0"/>
              <w:left w:val="single" w:color="auto" w:sz="4" w:space="0"/>
              <w:bottom w:val="single" w:color="auto" w:sz="4" w:space="0"/>
              <w:right w:val="single" w:color="auto" w:sz="4" w:space="0"/>
            </w:tcBorders>
            <w:shd w:val="clear" w:color="auto" w:fill="auto"/>
            <w:vAlign w:val="center"/>
          </w:tcPr>
          <w:p w14:paraId="0C879DFA">
            <w:pPr>
              <w:widowControl/>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根据投标文件对采购需求技术参数要求的响应情况进行评分：采购需求“技术参数及要求”中标记“</w:t>
            </w:r>
          </w:p>
          <w:p w14:paraId="0107D36A">
            <w:pPr>
              <w:widowControl/>
              <w:spacing w:line="4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”参数代表重要指标项，每满足一项得1.8分，共25项，共计45分；</w:t>
            </w:r>
          </w:p>
          <w:p w14:paraId="2C80C5B5">
            <w:pPr>
              <w:widowControl/>
              <w:spacing w:line="440" w:lineRule="exact"/>
              <w:jc w:val="both"/>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lang w:bidi="ar"/>
              </w:rPr>
              <w:t>注：以投标文件格式6.2技术响应表和“技术参数及要求”中证明材料要求作为评审依据</w:t>
            </w:r>
            <w:r>
              <w:rPr>
                <w:rFonts w:hint="eastAsia" w:ascii="宋体" w:hAnsi="宋体" w:eastAsia="宋体" w:cs="宋体"/>
                <w:color w:val="000000"/>
                <w:kern w:val="0"/>
                <w:sz w:val="24"/>
                <w:szCs w:val="24"/>
                <w:lang w:bidi="ar"/>
              </w:rPr>
              <w:t>。</w:t>
            </w:r>
          </w:p>
        </w:tc>
        <w:tc>
          <w:tcPr>
            <w:tcW w:w="745" w:type="pct"/>
            <w:tcBorders>
              <w:top w:val="single" w:color="auto" w:sz="4" w:space="0"/>
              <w:left w:val="single" w:color="auto" w:sz="4" w:space="0"/>
              <w:bottom w:val="single" w:color="auto" w:sz="4" w:space="0"/>
              <w:right w:val="single" w:color="auto" w:sz="4" w:space="0"/>
            </w:tcBorders>
            <w:vAlign w:val="center"/>
          </w:tcPr>
          <w:p w14:paraId="65D6568A">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0-45分</w:t>
            </w:r>
          </w:p>
        </w:tc>
      </w:tr>
      <w:tr w14:paraId="048DD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021F9435">
            <w:pPr>
              <w:spacing w:line="440" w:lineRule="exact"/>
              <w:ind w:firstLine="435"/>
              <w:jc w:val="center"/>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45B79F6A">
            <w:pPr>
              <w:spacing w:line="440" w:lineRule="exact"/>
              <w:jc w:val="center"/>
              <w:rPr>
                <w:rFonts w:hint="eastAsia" w:ascii="宋体" w:hAnsi="宋体" w:eastAsia="宋体" w:cs="宋体"/>
                <w:sz w:val="24"/>
                <w:szCs w:val="24"/>
              </w:rPr>
            </w:pPr>
            <w:r>
              <w:rPr>
                <w:rFonts w:hint="eastAsia" w:ascii="宋体" w:hAnsi="宋体" w:eastAsia="宋体" w:cs="宋体"/>
                <w:bCs/>
                <w:sz w:val="24"/>
                <w:szCs w:val="24"/>
              </w:rPr>
              <w:t>人员配备</w:t>
            </w:r>
          </w:p>
        </w:tc>
        <w:tc>
          <w:tcPr>
            <w:tcW w:w="2800" w:type="pct"/>
            <w:tcBorders>
              <w:top w:val="single" w:color="auto" w:sz="4" w:space="0"/>
              <w:left w:val="single" w:color="auto" w:sz="4" w:space="0"/>
              <w:bottom w:val="single" w:color="auto" w:sz="4" w:space="0"/>
              <w:right w:val="single" w:color="auto" w:sz="4" w:space="0"/>
            </w:tcBorders>
            <w:shd w:val="clear" w:color="auto" w:fill="auto"/>
            <w:vAlign w:val="center"/>
          </w:tcPr>
          <w:p w14:paraId="4C9489B3">
            <w:pPr>
              <w:widowControl/>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1.设置项目经理1人，具有计算机技术与软件专业技术资格的的信息系统项目管理师（高级）人员证书，提供证书得2分；</w:t>
            </w:r>
          </w:p>
          <w:p w14:paraId="0C2732CD">
            <w:pPr>
              <w:widowControl/>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2.设置技术负责人1人，具有以下任意一种证书得1分，具有以下任意两种证书得2分，具有以下三种证书得3分：</w:t>
            </w:r>
          </w:p>
          <w:p w14:paraId="4D852283">
            <w:pPr>
              <w:widowControl/>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（1）计算机技术与软件专业技术资格的系统集成项目管理工程师（中级</w:t>
            </w:r>
            <w:r>
              <w:rPr>
                <w:rFonts w:hint="eastAsia" w:ascii="宋体" w:hAnsi="宋体" w:eastAsia="宋体" w:cs="宋体"/>
                <w:kern w:val="0"/>
                <w:sz w:val="24"/>
                <w:szCs w:val="24"/>
                <w:lang w:val="en-US" w:eastAsia="zh-CN"/>
              </w:rPr>
              <w:t>及以上</w:t>
            </w:r>
            <w:r>
              <w:rPr>
                <w:rFonts w:hint="eastAsia" w:ascii="宋体" w:hAnsi="宋体" w:eastAsia="宋体" w:cs="宋体"/>
                <w:kern w:val="0"/>
                <w:sz w:val="24"/>
                <w:szCs w:val="24"/>
              </w:rPr>
              <w:t>）；</w:t>
            </w:r>
          </w:p>
          <w:p w14:paraId="5141FE83">
            <w:pPr>
              <w:widowControl/>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（2）计算机技术与软件专业技术资格的网络工程师（中级</w:t>
            </w:r>
            <w:r>
              <w:rPr>
                <w:rFonts w:hint="eastAsia" w:ascii="宋体" w:hAnsi="宋体" w:eastAsia="宋体" w:cs="宋体"/>
                <w:kern w:val="0"/>
                <w:sz w:val="24"/>
                <w:szCs w:val="24"/>
                <w:lang w:val="en-US" w:eastAsia="zh-CN"/>
              </w:rPr>
              <w:t>及以上</w:t>
            </w:r>
            <w:r>
              <w:rPr>
                <w:rFonts w:hint="eastAsia" w:ascii="宋体" w:hAnsi="宋体" w:eastAsia="宋体" w:cs="宋体"/>
                <w:kern w:val="0"/>
                <w:sz w:val="24"/>
                <w:szCs w:val="24"/>
              </w:rPr>
              <w:t>）；</w:t>
            </w:r>
          </w:p>
          <w:p w14:paraId="4A170679">
            <w:pPr>
              <w:widowControl/>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（3）中国网络安全审查技术与认证中心颁发，认证方向为安全集成 (专业级及以上)的信息安全保障人员认证证书。</w:t>
            </w:r>
          </w:p>
          <w:p w14:paraId="425A33EE">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注：</w:t>
            </w:r>
          </w:p>
          <w:p w14:paraId="034764C8">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（1）投标文件中需提供证书扫描件；</w:t>
            </w:r>
          </w:p>
          <w:p w14:paraId="0202FD3F">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（2）投标文件中需提供供应商为上述人员缴纳的近3个月内（任意1个月即可）的社保证明材料扫描件（提供任意五险之一的社保缴纳证明即可）。</w:t>
            </w:r>
          </w:p>
          <w:p w14:paraId="62584DBD">
            <w:pPr>
              <w:widowControl/>
              <w:spacing w:line="4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3.项目技术人员（不含项目经理和技术负责人）具有以下证书的：</w:t>
            </w:r>
          </w:p>
          <w:p w14:paraId="6D351E67">
            <w:pPr>
              <w:widowControl/>
              <w:spacing w:line="4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（1）计算机技术与软件专业技术资格的网络工程师（中级），每提供一个证书得1分，本项满分2分；</w:t>
            </w:r>
          </w:p>
          <w:p w14:paraId="7AE7AAB1">
            <w:pPr>
              <w:widowControl/>
              <w:spacing w:line="440" w:lineRule="exac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（2）中国网络安全审查技术与认证中心颁发，认证方向为安全运维 (专业级)的信息安全保障人员认证证书，每提供一个证书得1分，本项满分2分；</w:t>
            </w:r>
          </w:p>
          <w:p w14:paraId="4919B019">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注：</w:t>
            </w:r>
          </w:p>
          <w:p w14:paraId="2C048BB0">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（1）同一人员具有多项证书，不得重复计分；</w:t>
            </w:r>
          </w:p>
          <w:p w14:paraId="29308366">
            <w:pPr>
              <w:widowControl/>
              <w:spacing w:line="440" w:lineRule="exact"/>
              <w:rPr>
                <w:rFonts w:hint="eastAsia" w:ascii="宋体" w:hAnsi="宋体" w:eastAsia="宋体" w:cs="宋体"/>
                <w:b/>
                <w:kern w:val="0"/>
                <w:sz w:val="24"/>
                <w:szCs w:val="24"/>
              </w:rPr>
            </w:pPr>
            <w:r>
              <w:rPr>
                <w:rFonts w:hint="eastAsia" w:ascii="宋体" w:hAnsi="宋体" w:eastAsia="宋体" w:cs="宋体"/>
                <w:b/>
                <w:kern w:val="0"/>
                <w:sz w:val="24"/>
                <w:szCs w:val="24"/>
              </w:rPr>
              <w:t>（2）投标文件中需提供证书扫描件；</w:t>
            </w:r>
          </w:p>
          <w:p w14:paraId="4410AE25">
            <w:pPr>
              <w:widowControl/>
              <w:spacing w:line="440" w:lineRule="exact"/>
              <w:rPr>
                <w:rFonts w:hint="eastAsia" w:ascii="宋体" w:hAnsi="宋体" w:eastAsia="宋体" w:cs="宋体"/>
                <w:sz w:val="24"/>
                <w:szCs w:val="24"/>
              </w:rPr>
            </w:pPr>
            <w:r>
              <w:rPr>
                <w:rFonts w:hint="eastAsia" w:ascii="宋体" w:hAnsi="宋体" w:eastAsia="宋体" w:cs="宋体"/>
                <w:b/>
                <w:kern w:val="0"/>
                <w:sz w:val="24"/>
                <w:szCs w:val="24"/>
              </w:rPr>
              <w:t>（3）投标文件中需提供供应商为上述人员缴纳的近3个月内（任意1个月即可）的社保证明材料扫描件（提供任意五险之一的社保缴纳证明即可）。</w:t>
            </w:r>
          </w:p>
        </w:tc>
        <w:tc>
          <w:tcPr>
            <w:tcW w:w="745" w:type="pct"/>
            <w:tcBorders>
              <w:top w:val="single" w:color="auto" w:sz="4" w:space="0"/>
              <w:left w:val="single" w:color="auto" w:sz="4" w:space="0"/>
              <w:bottom w:val="single" w:color="auto" w:sz="4" w:space="0"/>
              <w:right w:val="single" w:color="auto" w:sz="4" w:space="0"/>
            </w:tcBorders>
            <w:vAlign w:val="center"/>
          </w:tcPr>
          <w:p w14:paraId="2C406052">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0-9分</w:t>
            </w:r>
          </w:p>
        </w:tc>
      </w:tr>
      <w:tr w14:paraId="7EFCE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54B86CB0">
            <w:pPr>
              <w:spacing w:line="440" w:lineRule="exact"/>
              <w:ind w:firstLine="435"/>
              <w:jc w:val="center"/>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5194513B">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投标人认证证书</w:t>
            </w:r>
          </w:p>
        </w:tc>
        <w:tc>
          <w:tcPr>
            <w:tcW w:w="2800" w:type="pct"/>
            <w:tcBorders>
              <w:top w:val="single" w:color="auto" w:sz="4" w:space="0"/>
              <w:left w:val="single" w:color="auto" w:sz="4" w:space="0"/>
              <w:bottom w:val="single" w:color="auto" w:sz="4" w:space="0"/>
              <w:right w:val="single" w:color="auto" w:sz="4" w:space="0"/>
            </w:tcBorders>
            <w:shd w:val="clear" w:color="auto" w:fill="auto"/>
            <w:vAlign w:val="center"/>
          </w:tcPr>
          <w:p w14:paraId="7ADAB086">
            <w:pPr>
              <w:spacing w:line="440" w:lineRule="exact"/>
              <w:jc w:val="both"/>
              <w:rPr>
                <w:rFonts w:hint="eastAsia" w:ascii="宋体" w:hAnsi="宋体" w:eastAsia="宋体" w:cs="宋体"/>
                <w:sz w:val="24"/>
                <w:szCs w:val="24"/>
              </w:rPr>
            </w:pPr>
            <w:r>
              <w:rPr>
                <w:rFonts w:hint="eastAsia" w:ascii="宋体" w:hAnsi="宋体" w:eastAsia="宋体" w:cs="宋体"/>
                <w:sz w:val="24"/>
                <w:szCs w:val="24"/>
              </w:rPr>
              <w:t>1.投标人具有经中国国家认证认可监督管理委员会认证机构颁发的有效的：信息安全管理体系认证、信息技术服务管理体系认证的，每提供一个得1分，本小项满分2分。</w:t>
            </w:r>
          </w:p>
          <w:p w14:paraId="767B1825">
            <w:pPr>
              <w:spacing w:line="440" w:lineRule="exact"/>
              <w:jc w:val="both"/>
              <w:rPr>
                <w:rFonts w:hint="eastAsia" w:ascii="宋体" w:hAnsi="宋体" w:eastAsia="宋体" w:cs="宋体"/>
                <w:sz w:val="24"/>
                <w:szCs w:val="24"/>
              </w:rPr>
            </w:pPr>
            <w:r>
              <w:rPr>
                <w:rFonts w:hint="eastAsia" w:ascii="宋体" w:hAnsi="宋体" w:eastAsia="宋体" w:cs="宋体"/>
                <w:b/>
                <w:bCs/>
                <w:sz w:val="24"/>
                <w:szCs w:val="24"/>
              </w:rPr>
              <w:t>注：响应文件中同时提供证书扫描件及全国认证认可信息公共服务平台官网证书信息查询截图。</w:t>
            </w:r>
          </w:p>
          <w:p w14:paraId="61F82CBA">
            <w:pPr>
              <w:spacing w:line="440" w:lineRule="exact"/>
              <w:jc w:val="both"/>
              <w:rPr>
                <w:rFonts w:hint="eastAsia" w:ascii="宋体" w:hAnsi="宋体" w:eastAsia="宋体" w:cs="宋体"/>
                <w:sz w:val="24"/>
                <w:szCs w:val="24"/>
              </w:rPr>
            </w:pPr>
            <w:r>
              <w:rPr>
                <w:rFonts w:hint="eastAsia" w:ascii="宋体" w:hAnsi="宋体" w:eastAsia="宋体" w:cs="宋体"/>
                <w:sz w:val="24"/>
                <w:szCs w:val="24"/>
              </w:rPr>
              <w:t>2.投标人具有中国网络安全审查技术与认证中心颁发的信息系统安全集成（二级及以上）、信息系统安全运维（三级及以上）认证证书，每提供一个得1.5分，本小项满分3分。</w:t>
            </w:r>
          </w:p>
          <w:p w14:paraId="1088F733">
            <w:pPr>
              <w:spacing w:line="440" w:lineRule="exact"/>
              <w:jc w:val="both"/>
              <w:rPr>
                <w:rFonts w:hint="eastAsia" w:ascii="宋体" w:hAnsi="宋体" w:eastAsia="宋体" w:cs="宋体"/>
                <w:sz w:val="24"/>
                <w:szCs w:val="24"/>
              </w:rPr>
            </w:pPr>
            <w:r>
              <w:rPr>
                <w:rFonts w:hint="eastAsia" w:ascii="宋体" w:hAnsi="宋体" w:eastAsia="宋体" w:cs="宋体"/>
                <w:sz w:val="24"/>
                <w:szCs w:val="24"/>
              </w:rPr>
              <w:t>3.投标人具有省级经济和信息化委员会及以上登记备案的信息安全服务机构的，提供备案证明的得2分。</w:t>
            </w:r>
          </w:p>
          <w:p w14:paraId="1FE36160">
            <w:pPr>
              <w:spacing w:line="440" w:lineRule="exact"/>
              <w:jc w:val="both"/>
              <w:rPr>
                <w:rFonts w:hint="eastAsia" w:ascii="宋体" w:hAnsi="宋体" w:eastAsia="宋体" w:cs="宋体"/>
                <w:sz w:val="24"/>
                <w:szCs w:val="24"/>
              </w:rPr>
            </w:pPr>
            <w:r>
              <w:rPr>
                <w:rFonts w:hint="eastAsia" w:ascii="宋体" w:hAnsi="宋体" w:eastAsia="宋体" w:cs="宋体"/>
                <w:b/>
                <w:bCs/>
                <w:sz w:val="24"/>
                <w:szCs w:val="24"/>
              </w:rPr>
              <w:t>注：第2项提供证书扫描件，第3项提供登记备案证明材料（如行业主管部门网站备案信息公示截图、登记备案材料扫描件等），须经评标委员会认可，否则不予计分。</w:t>
            </w:r>
          </w:p>
        </w:tc>
        <w:tc>
          <w:tcPr>
            <w:tcW w:w="745" w:type="pct"/>
            <w:tcBorders>
              <w:top w:val="single" w:color="auto" w:sz="4" w:space="0"/>
              <w:left w:val="single" w:color="auto" w:sz="4" w:space="0"/>
              <w:bottom w:val="single" w:color="auto" w:sz="4" w:space="0"/>
              <w:right w:val="single" w:color="auto" w:sz="4" w:space="0"/>
            </w:tcBorders>
            <w:vAlign w:val="center"/>
          </w:tcPr>
          <w:p w14:paraId="5AAD2A8F">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0-7分</w:t>
            </w:r>
          </w:p>
        </w:tc>
      </w:tr>
      <w:tr w14:paraId="4B01D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4B9A3BA2">
            <w:pPr>
              <w:spacing w:line="440" w:lineRule="exact"/>
              <w:ind w:firstLine="435"/>
              <w:jc w:val="center"/>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15AA94A3">
            <w:pPr>
              <w:spacing w:line="440" w:lineRule="exact"/>
              <w:jc w:val="center"/>
              <w:rPr>
                <w:rFonts w:hint="eastAsia" w:ascii="宋体" w:hAnsi="宋体" w:eastAsia="宋体" w:cs="宋体"/>
                <w:sz w:val="24"/>
                <w:szCs w:val="24"/>
              </w:rPr>
            </w:pPr>
            <w:r>
              <w:rPr>
                <w:rFonts w:hint="eastAsia" w:ascii="宋体" w:hAnsi="宋体" w:eastAsia="宋体" w:cs="宋体"/>
                <w:bCs/>
                <w:sz w:val="24"/>
                <w:szCs w:val="24"/>
              </w:rPr>
              <w:t>投标人业绩</w:t>
            </w:r>
          </w:p>
        </w:tc>
        <w:tc>
          <w:tcPr>
            <w:tcW w:w="2800" w:type="pct"/>
            <w:tcBorders>
              <w:top w:val="single" w:color="auto" w:sz="4" w:space="0"/>
              <w:left w:val="single" w:color="auto" w:sz="4" w:space="0"/>
              <w:bottom w:val="single" w:color="auto" w:sz="4" w:space="0"/>
              <w:right w:val="single" w:color="auto" w:sz="4" w:space="0"/>
            </w:tcBorders>
            <w:shd w:val="clear" w:color="auto" w:fill="auto"/>
            <w:vAlign w:val="center"/>
          </w:tcPr>
          <w:p w14:paraId="07A49A2D">
            <w:pPr>
              <w:spacing w:line="440" w:lineRule="exact"/>
              <w:jc w:val="both"/>
              <w:rPr>
                <w:rFonts w:hint="eastAsia" w:ascii="宋体" w:hAnsi="宋体" w:eastAsia="宋体" w:cs="宋体"/>
                <w:sz w:val="24"/>
                <w:szCs w:val="24"/>
              </w:rPr>
            </w:pPr>
            <w:r>
              <w:rPr>
                <w:rFonts w:hint="eastAsia" w:ascii="宋体" w:hAnsi="宋体" w:eastAsia="宋体" w:cs="宋体"/>
                <w:sz w:val="24"/>
                <w:szCs w:val="24"/>
              </w:rPr>
              <w:t>自2021年1月1日以来（以合同签订时间为准）：投标人具有网络设备采购类业绩，每提供一个业绩，得1分，本小项满分为3分；</w:t>
            </w:r>
          </w:p>
          <w:p w14:paraId="4F7A5CF7">
            <w:pPr>
              <w:spacing w:line="440" w:lineRule="exact"/>
              <w:jc w:val="both"/>
              <w:rPr>
                <w:rFonts w:hint="eastAsia" w:ascii="宋体" w:hAnsi="宋体" w:eastAsia="宋体" w:cs="宋体"/>
                <w:sz w:val="24"/>
                <w:szCs w:val="24"/>
              </w:rPr>
            </w:pPr>
            <w:r>
              <w:rPr>
                <w:rFonts w:hint="eastAsia" w:ascii="宋体" w:hAnsi="宋体" w:eastAsia="宋体" w:cs="宋体"/>
                <w:b/>
                <w:bCs/>
                <w:sz w:val="24"/>
                <w:szCs w:val="24"/>
              </w:rPr>
              <w:t>注：投标文件中同时提供业绩合同复印件及项目验收证明材料，如业绩合同中无法体现合同签订时间、项目内容等主要评审要素的，须另附业主单位的证明材料扫描件。</w:t>
            </w:r>
          </w:p>
        </w:tc>
        <w:tc>
          <w:tcPr>
            <w:tcW w:w="745" w:type="pct"/>
            <w:tcBorders>
              <w:top w:val="single" w:color="auto" w:sz="4" w:space="0"/>
              <w:left w:val="single" w:color="auto" w:sz="4" w:space="0"/>
              <w:bottom w:val="single" w:color="auto" w:sz="4" w:space="0"/>
              <w:right w:val="single" w:color="auto" w:sz="4" w:space="0"/>
            </w:tcBorders>
            <w:vAlign w:val="center"/>
          </w:tcPr>
          <w:p w14:paraId="51B02324">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0-3分</w:t>
            </w:r>
          </w:p>
        </w:tc>
      </w:tr>
      <w:tr w14:paraId="039AD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2CFA3438">
            <w:pPr>
              <w:spacing w:line="440" w:lineRule="exact"/>
              <w:ind w:firstLine="435"/>
              <w:jc w:val="center"/>
              <w:rPr>
                <w:rFonts w:hint="eastAsia" w:ascii="宋体" w:hAnsi="宋体" w:eastAsia="宋体" w:cs="宋体"/>
                <w:b/>
                <w:bCs/>
                <w:sz w:val="24"/>
                <w:szCs w:val="24"/>
              </w:rPr>
            </w:pPr>
          </w:p>
        </w:tc>
        <w:tc>
          <w:tcPr>
            <w:tcW w:w="1436" w:type="dxa"/>
            <w:tcBorders>
              <w:top w:val="single" w:color="auto" w:sz="4" w:space="0"/>
              <w:left w:val="single" w:color="auto" w:sz="4" w:space="0"/>
              <w:bottom w:val="single" w:color="auto" w:sz="4" w:space="0"/>
              <w:right w:val="single" w:color="auto" w:sz="4" w:space="0"/>
            </w:tcBorders>
            <w:vAlign w:val="center"/>
          </w:tcPr>
          <w:p w14:paraId="03C2A601">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售后服务方案</w:t>
            </w:r>
          </w:p>
        </w:tc>
        <w:tc>
          <w:tcPr>
            <w:tcW w:w="5100" w:type="dxa"/>
            <w:tcBorders>
              <w:top w:val="single" w:color="auto" w:sz="4" w:space="0"/>
              <w:left w:val="single" w:color="auto" w:sz="4" w:space="0"/>
              <w:bottom w:val="single" w:color="auto" w:sz="4" w:space="0"/>
              <w:right w:val="single" w:color="auto" w:sz="4" w:space="0"/>
            </w:tcBorders>
            <w:shd w:val="clear" w:color="auto" w:fill="auto"/>
            <w:vAlign w:val="center"/>
          </w:tcPr>
          <w:p w14:paraId="36D5BDF8">
            <w:pPr>
              <w:spacing w:line="440" w:lineRule="exact"/>
              <w:jc w:val="both"/>
              <w:rPr>
                <w:rFonts w:hint="eastAsia" w:ascii="宋体" w:hAnsi="宋体" w:eastAsia="宋体" w:cs="宋体"/>
                <w:sz w:val="24"/>
                <w:szCs w:val="24"/>
              </w:rPr>
            </w:pPr>
            <w:r>
              <w:rPr>
                <w:rFonts w:hint="eastAsia" w:ascii="宋体" w:hAnsi="宋体" w:eastAsia="宋体" w:cs="宋体"/>
                <w:sz w:val="24"/>
                <w:szCs w:val="24"/>
              </w:rPr>
              <w:t>评标委员会根据投标人针对本次项目提供的售后服务及维保体系、售后技术服务承诺、售后响应时间、保修期、保修内容进行综合评分：</w:t>
            </w:r>
          </w:p>
          <w:p w14:paraId="1813C640">
            <w:pPr>
              <w:spacing w:line="440" w:lineRule="exact"/>
              <w:jc w:val="both"/>
              <w:rPr>
                <w:rFonts w:hint="eastAsia" w:ascii="宋体" w:hAnsi="宋体" w:eastAsia="宋体" w:cs="宋体"/>
                <w:sz w:val="24"/>
                <w:szCs w:val="24"/>
              </w:rPr>
            </w:pPr>
            <w:r>
              <w:rPr>
                <w:rFonts w:hint="eastAsia" w:ascii="宋体" w:hAnsi="宋体" w:eastAsia="宋体" w:cs="宋体"/>
                <w:sz w:val="24"/>
                <w:szCs w:val="24"/>
              </w:rPr>
              <w:t>1.售后服务及维保体系、售后技术服务承诺、售后响应时间、保修期、保修内容等内容全面，详细具体，可行性强，得3分；</w:t>
            </w:r>
          </w:p>
          <w:p w14:paraId="6084C678">
            <w:pPr>
              <w:spacing w:line="440" w:lineRule="exact"/>
              <w:jc w:val="both"/>
              <w:rPr>
                <w:rFonts w:hint="eastAsia" w:ascii="宋体" w:hAnsi="宋体" w:eastAsia="宋体" w:cs="宋体"/>
                <w:sz w:val="24"/>
                <w:szCs w:val="24"/>
              </w:rPr>
            </w:pPr>
            <w:r>
              <w:rPr>
                <w:rFonts w:hint="eastAsia" w:ascii="宋体" w:hAnsi="宋体" w:eastAsia="宋体" w:cs="宋体"/>
                <w:sz w:val="24"/>
                <w:szCs w:val="24"/>
              </w:rPr>
              <w:t>2. 售后服务及维保体系、售后技术服务承诺、售后响应时间、保修期、保修内容等内容较完整，比较具体，可行性较强的，得2分；</w:t>
            </w:r>
          </w:p>
          <w:p w14:paraId="1DD0CC44">
            <w:pPr>
              <w:spacing w:line="440" w:lineRule="exact"/>
              <w:jc w:val="both"/>
              <w:rPr>
                <w:rFonts w:hint="eastAsia" w:ascii="宋体" w:hAnsi="宋体" w:eastAsia="宋体" w:cs="宋体"/>
                <w:sz w:val="24"/>
                <w:szCs w:val="24"/>
              </w:rPr>
            </w:pPr>
            <w:r>
              <w:rPr>
                <w:rFonts w:hint="eastAsia" w:ascii="宋体" w:hAnsi="宋体" w:eastAsia="宋体" w:cs="宋体"/>
                <w:sz w:val="24"/>
                <w:szCs w:val="24"/>
              </w:rPr>
              <w:t>3. 售后服务及维保体系、售后技术服务承诺、售后响应时间、保修期、保修内容等内容基本完整，具有一定的可行性的，得1分；</w:t>
            </w:r>
          </w:p>
          <w:p w14:paraId="54E23F8E">
            <w:pPr>
              <w:spacing w:line="440" w:lineRule="exact"/>
              <w:jc w:val="both"/>
              <w:rPr>
                <w:rFonts w:hint="eastAsia" w:ascii="宋体" w:hAnsi="宋体" w:eastAsia="宋体" w:cs="宋体"/>
                <w:sz w:val="24"/>
                <w:szCs w:val="24"/>
              </w:rPr>
            </w:pPr>
            <w:r>
              <w:rPr>
                <w:rFonts w:hint="eastAsia" w:ascii="宋体" w:hAnsi="宋体" w:eastAsia="宋体" w:cs="宋体"/>
                <w:sz w:val="24"/>
                <w:szCs w:val="24"/>
              </w:rPr>
              <w:t>4.未提供方案的不得分。</w:t>
            </w:r>
          </w:p>
        </w:tc>
        <w:tc>
          <w:tcPr>
            <w:tcW w:w="745" w:type="pct"/>
            <w:tcBorders>
              <w:top w:val="single" w:color="auto" w:sz="4" w:space="0"/>
              <w:left w:val="single" w:color="auto" w:sz="4" w:space="0"/>
              <w:bottom w:val="single" w:color="auto" w:sz="4" w:space="0"/>
              <w:right w:val="single" w:color="auto" w:sz="4" w:space="0"/>
            </w:tcBorders>
            <w:vAlign w:val="center"/>
          </w:tcPr>
          <w:p w14:paraId="386D4C31">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0-3分</w:t>
            </w:r>
          </w:p>
        </w:tc>
      </w:tr>
      <w:tr w14:paraId="31B0F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5BC0924A">
            <w:pPr>
              <w:spacing w:line="440" w:lineRule="exact"/>
              <w:ind w:firstLine="435"/>
              <w:jc w:val="center"/>
              <w:rPr>
                <w:rFonts w:hint="eastAsia" w:ascii="宋体" w:hAnsi="宋体" w:eastAsia="宋体" w:cs="宋体"/>
                <w:b/>
                <w:bCs/>
                <w:sz w:val="24"/>
                <w:szCs w:val="24"/>
              </w:rPr>
            </w:pPr>
          </w:p>
        </w:tc>
        <w:tc>
          <w:tcPr>
            <w:tcW w:w="1436" w:type="dxa"/>
            <w:tcBorders>
              <w:top w:val="single" w:color="auto" w:sz="4" w:space="0"/>
              <w:left w:val="single" w:color="auto" w:sz="4" w:space="0"/>
              <w:bottom w:val="single" w:color="auto" w:sz="4" w:space="0"/>
              <w:right w:val="single" w:color="auto" w:sz="4" w:space="0"/>
            </w:tcBorders>
            <w:vAlign w:val="center"/>
          </w:tcPr>
          <w:p w14:paraId="1DDEF94D">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供货安装调试方案</w:t>
            </w:r>
          </w:p>
        </w:tc>
        <w:tc>
          <w:tcPr>
            <w:tcW w:w="5100" w:type="dxa"/>
            <w:tcBorders>
              <w:top w:val="single" w:color="auto" w:sz="4" w:space="0"/>
              <w:left w:val="single" w:color="auto" w:sz="4" w:space="0"/>
              <w:bottom w:val="single" w:color="auto" w:sz="4" w:space="0"/>
              <w:right w:val="single" w:color="auto" w:sz="4" w:space="0"/>
            </w:tcBorders>
            <w:shd w:val="clear" w:color="auto" w:fill="auto"/>
            <w:vAlign w:val="center"/>
          </w:tcPr>
          <w:p w14:paraId="04F63397">
            <w:pPr>
              <w:spacing w:line="440" w:lineRule="exact"/>
              <w:jc w:val="both"/>
              <w:rPr>
                <w:rFonts w:hint="eastAsia" w:ascii="宋体" w:hAnsi="宋体" w:eastAsia="宋体" w:cs="宋体"/>
                <w:sz w:val="24"/>
                <w:szCs w:val="24"/>
              </w:rPr>
            </w:pPr>
            <w:r>
              <w:rPr>
                <w:rFonts w:hint="eastAsia" w:ascii="宋体" w:hAnsi="宋体" w:eastAsia="宋体" w:cs="宋体"/>
                <w:sz w:val="24"/>
                <w:szCs w:val="24"/>
              </w:rPr>
              <w:t>根据投标人提供的供货及安装方案的合理性、完整性由评标委员会进行综合评审:</w:t>
            </w:r>
          </w:p>
          <w:p w14:paraId="6C619E59">
            <w:pPr>
              <w:spacing w:line="440" w:lineRule="exact"/>
              <w:jc w:val="both"/>
              <w:rPr>
                <w:rFonts w:hint="eastAsia" w:ascii="宋体" w:hAnsi="宋体" w:eastAsia="宋体" w:cs="宋体"/>
                <w:sz w:val="24"/>
                <w:szCs w:val="24"/>
              </w:rPr>
            </w:pPr>
            <w:r>
              <w:rPr>
                <w:rFonts w:hint="eastAsia" w:ascii="宋体" w:hAnsi="宋体" w:eastAsia="宋体" w:cs="宋体"/>
                <w:sz w:val="24"/>
                <w:szCs w:val="24"/>
              </w:rPr>
              <w:t>1.方案覆盖全面、要点突出、针对性强，内容完整详实，与本项目实际需求适应度高，利于项目实施的，得3分；</w:t>
            </w:r>
          </w:p>
          <w:p w14:paraId="5DA9A9BE">
            <w:pPr>
              <w:spacing w:line="440" w:lineRule="exact"/>
              <w:jc w:val="both"/>
              <w:rPr>
                <w:rFonts w:hint="eastAsia" w:ascii="宋体" w:hAnsi="宋体" w:eastAsia="宋体" w:cs="宋体"/>
                <w:sz w:val="24"/>
                <w:szCs w:val="24"/>
              </w:rPr>
            </w:pPr>
            <w:r>
              <w:rPr>
                <w:rFonts w:hint="eastAsia" w:ascii="宋体" w:hAnsi="宋体" w:eastAsia="宋体" w:cs="宋体"/>
                <w:sz w:val="24"/>
                <w:szCs w:val="24"/>
              </w:rPr>
              <w:t>2.方案覆盖全面、要点突出、有一定针对性，内容详实，与本项目实际需求相适应的，得2分；</w:t>
            </w:r>
          </w:p>
          <w:p w14:paraId="783DA453">
            <w:pPr>
              <w:spacing w:line="440" w:lineRule="exact"/>
              <w:jc w:val="both"/>
              <w:rPr>
                <w:rFonts w:hint="eastAsia" w:ascii="宋体" w:hAnsi="宋体" w:eastAsia="宋体" w:cs="宋体"/>
                <w:sz w:val="24"/>
                <w:szCs w:val="24"/>
              </w:rPr>
            </w:pPr>
            <w:r>
              <w:rPr>
                <w:rFonts w:hint="eastAsia" w:ascii="宋体" w:hAnsi="宋体" w:eastAsia="宋体" w:cs="宋体"/>
                <w:sz w:val="24"/>
                <w:szCs w:val="24"/>
              </w:rPr>
              <w:t>3.方案覆盖全面，要点突出明显，针对性比较强，具体细节有待完善的，得1分；</w:t>
            </w:r>
          </w:p>
          <w:p w14:paraId="39100D9D">
            <w:pPr>
              <w:spacing w:line="440" w:lineRule="exact"/>
              <w:jc w:val="both"/>
              <w:rPr>
                <w:rFonts w:hint="eastAsia" w:ascii="宋体" w:hAnsi="宋体" w:eastAsia="宋体" w:cs="宋体"/>
                <w:sz w:val="24"/>
                <w:szCs w:val="24"/>
              </w:rPr>
            </w:pPr>
            <w:r>
              <w:rPr>
                <w:rFonts w:hint="eastAsia" w:ascii="宋体" w:hAnsi="宋体" w:eastAsia="宋体" w:cs="宋体"/>
                <w:sz w:val="24"/>
                <w:szCs w:val="24"/>
              </w:rPr>
              <w:t>4.方案未提供的不得分。</w:t>
            </w:r>
          </w:p>
        </w:tc>
        <w:tc>
          <w:tcPr>
            <w:tcW w:w="745" w:type="pct"/>
            <w:tcBorders>
              <w:top w:val="single" w:color="auto" w:sz="4" w:space="0"/>
              <w:left w:val="single" w:color="auto" w:sz="4" w:space="0"/>
              <w:bottom w:val="single" w:color="auto" w:sz="4" w:space="0"/>
              <w:right w:val="single" w:color="auto" w:sz="4" w:space="0"/>
            </w:tcBorders>
            <w:vAlign w:val="center"/>
          </w:tcPr>
          <w:p w14:paraId="430BFC0C">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0-3分</w:t>
            </w:r>
          </w:p>
        </w:tc>
      </w:tr>
      <w:tr w14:paraId="38E1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tcBorders>
              <w:left w:val="single" w:color="auto" w:sz="4" w:space="0"/>
              <w:right w:val="single" w:color="auto" w:sz="4" w:space="0"/>
            </w:tcBorders>
            <w:vAlign w:val="center"/>
          </w:tcPr>
          <w:p w14:paraId="2BCA9D0C">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价格分</w:t>
            </w:r>
          </w:p>
          <w:p w14:paraId="2EA35ABD">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rPr>
              <w:t>30</w:t>
            </w:r>
            <w:r>
              <w:rPr>
                <w:rFonts w:hint="eastAsia" w:ascii="宋体" w:hAnsi="宋体" w:eastAsia="宋体" w:cs="宋体"/>
                <w:sz w:val="24"/>
                <w:szCs w:val="24"/>
              </w:rPr>
              <w:t>分）</w:t>
            </w:r>
          </w:p>
        </w:tc>
        <w:tc>
          <w:tcPr>
            <w:tcW w:w="4334" w:type="pct"/>
            <w:gridSpan w:val="3"/>
            <w:tcBorders>
              <w:top w:val="single" w:color="auto" w:sz="4" w:space="0"/>
              <w:left w:val="single" w:color="auto" w:sz="4" w:space="0"/>
              <w:bottom w:val="single" w:color="auto" w:sz="4" w:space="0"/>
              <w:right w:val="single" w:color="auto" w:sz="4" w:space="0"/>
            </w:tcBorders>
            <w:vAlign w:val="center"/>
          </w:tcPr>
          <w:p w14:paraId="2E8E0D24">
            <w:pPr>
              <w:spacing w:line="440" w:lineRule="exact"/>
              <w:rPr>
                <w:rFonts w:hint="eastAsia" w:ascii="宋体" w:hAnsi="宋体" w:eastAsia="宋体" w:cs="宋体"/>
                <w:sz w:val="24"/>
                <w:szCs w:val="24"/>
              </w:rPr>
            </w:pPr>
            <w:r>
              <w:rPr>
                <w:rFonts w:hint="eastAsia" w:ascii="宋体" w:hAnsi="宋体" w:eastAsia="宋体" w:cs="宋体"/>
                <w:sz w:val="24"/>
                <w:szCs w:val="24"/>
              </w:rPr>
              <w:t>价格分统一采用低价优先法，即满足招标文件要求且投标价格最低的投标报价为评标基准价，其价格分为满分</w:t>
            </w:r>
            <w:r>
              <w:rPr>
                <w:rFonts w:hint="eastAsia" w:ascii="宋体" w:hAnsi="宋体" w:eastAsia="宋体" w:cs="宋体"/>
                <w:sz w:val="24"/>
                <w:szCs w:val="24"/>
                <w:u w:val="single"/>
              </w:rPr>
              <w:t>30</w:t>
            </w:r>
            <w:r>
              <w:rPr>
                <w:rFonts w:hint="eastAsia" w:ascii="宋体" w:hAnsi="宋体" w:eastAsia="宋体" w:cs="宋体"/>
                <w:sz w:val="24"/>
                <w:szCs w:val="24"/>
              </w:rPr>
              <w:t>分。其他投标人的价格分统一按照下列公式计算：</w:t>
            </w:r>
          </w:p>
          <w:p w14:paraId="222DDD2C">
            <w:pPr>
              <w:spacing w:line="440" w:lineRule="exact"/>
              <w:rPr>
                <w:rFonts w:hint="eastAsia" w:ascii="宋体" w:hAnsi="宋体" w:eastAsia="宋体" w:cs="宋体"/>
                <w:b/>
                <w:bCs/>
                <w:sz w:val="24"/>
                <w:szCs w:val="24"/>
              </w:rPr>
            </w:pPr>
            <w:r>
              <w:rPr>
                <w:rFonts w:hint="eastAsia" w:ascii="宋体" w:hAnsi="宋体" w:eastAsia="宋体" w:cs="宋体"/>
                <w:sz w:val="24"/>
                <w:szCs w:val="24"/>
              </w:rPr>
              <w:t>投标报价得分＝（评标基准价/投标报价）×</w:t>
            </w:r>
            <w:r>
              <w:rPr>
                <w:rFonts w:hint="eastAsia" w:ascii="宋体" w:hAnsi="宋体" w:eastAsia="宋体" w:cs="宋体"/>
                <w:sz w:val="24"/>
                <w:szCs w:val="24"/>
                <w:u w:val="single"/>
              </w:rPr>
              <w:t>30</w:t>
            </w:r>
            <w:r>
              <w:rPr>
                <w:rFonts w:hint="eastAsia" w:ascii="宋体" w:hAnsi="宋体" w:eastAsia="宋体" w:cs="宋体"/>
                <w:sz w:val="24"/>
                <w:szCs w:val="24"/>
              </w:rPr>
              <w:t>％×100</w:t>
            </w:r>
          </w:p>
        </w:tc>
      </w:tr>
      <w:bookmarkEnd w:id="0"/>
    </w:tbl>
    <w:p w14:paraId="2AAC8E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微软简标宋">
    <w:altName w:val="宋体"/>
    <w:panose1 w:val="00000000000000000000"/>
    <w:charset w:val="00"/>
    <w:family w:val="auto"/>
    <w:pitch w:val="default"/>
    <w:sig w:usb0="00000000" w:usb1="00000000" w:usb2="0000001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PingFang SC">
    <w:altName w:val="宋体"/>
    <w:panose1 w:val="020B0400000000000000"/>
    <w:charset w:val="86"/>
    <w:family w:val="auto"/>
    <w:pitch w:val="default"/>
    <w:sig w:usb0="00000000" w:usb1="00000000"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138C7281"/>
    <w:rsid w:val="13F81C8D"/>
    <w:rsid w:val="28F27A2C"/>
    <w:rsid w:val="2D1BE600"/>
    <w:rsid w:val="2DEF56A0"/>
    <w:rsid w:val="31BE6E53"/>
    <w:rsid w:val="329B0E37"/>
    <w:rsid w:val="34CC79A3"/>
    <w:rsid w:val="3739BB4E"/>
    <w:rsid w:val="4537637C"/>
    <w:rsid w:val="4FBE4CF7"/>
    <w:rsid w:val="500A5A3E"/>
    <w:rsid w:val="5B7B6323"/>
    <w:rsid w:val="5DDEE415"/>
    <w:rsid w:val="5EDD7F5D"/>
    <w:rsid w:val="61C202FC"/>
    <w:rsid w:val="65A02B06"/>
    <w:rsid w:val="65FEB8EF"/>
    <w:rsid w:val="754B3A1B"/>
    <w:rsid w:val="755212F7"/>
    <w:rsid w:val="7BBDF06E"/>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spacing w:after="120"/>
    </w:pPr>
    <w:rPr>
      <w:rFonts w:ascii="@微软简标宋" w:hAnsi="@微软简标宋" w:eastAsia="@微软简标宋" w:cs="@微软简标宋"/>
      <w:szCs w:val="24"/>
      <w:lang w:val="zh-CN"/>
    </w:rPr>
  </w:style>
  <w:style w:type="paragraph" w:styleId="6">
    <w:name w:val="Body Text Indent"/>
    <w:basedOn w:val="1"/>
    <w:next w:val="7"/>
    <w:unhideWhenUsed/>
    <w:qFormat/>
    <w:uiPriority w:val="99"/>
    <w:pPr>
      <w:ind w:firstLine="645"/>
    </w:pPr>
    <w:rPr>
      <w:rFonts w:ascii="楷体_GB2312" w:eastAsia="楷体_GB2312"/>
      <w:sz w:val="32"/>
      <w:szCs w:val="20"/>
    </w:rPr>
  </w:style>
  <w:style w:type="paragraph" w:styleId="7">
    <w:name w:val="envelope return"/>
    <w:basedOn w:val="1"/>
    <w:qFormat/>
    <w:uiPriority w:val="99"/>
    <w:pPr>
      <w:snapToGrid w:val="0"/>
    </w:pPr>
    <w:rPr>
      <w:rFonts w:ascii="Arial" w:hAnsi="Arial" w:cs="Arial"/>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tabs>
        <w:tab w:val="center" w:pos="4153"/>
        <w:tab w:val="right" w:pos="8306"/>
      </w:tabs>
      <w:snapToGrid w:val="0"/>
      <w:jc w:val="center"/>
    </w:pPr>
    <w:rPr>
      <w:sz w:val="18"/>
      <w:szCs w:val="18"/>
    </w:rPr>
  </w:style>
  <w:style w:type="paragraph" w:styleId="10">
    <w:name w:val="Body Text First Indent"/>
    <w:basedOn w:val="5"/>
    <w:unhideWhenUsed/>
    <w:qFormat/>
    <w:uiPriority w:val="99"/>
    <w:pPr>
      <w:ind w:firstLine="420" w:firstLineChars="100"/>
    </w:pPr>
  </w:style>
  <w:style w:type="paragraph" w:styleId="11">
    <w:name w:val="Body Text First Indent 2"/>
    <w:basedOn w:val="6"/>
    <w:unhideWhenUsed/>
    <w:qFormat/>
    <w:uiPriority w:val="99"/>
    <w:pPr>
      <w:ind w:left="420" w:firstLine="420" w:firstLineChars="200"/>
    </w:pPr>
    <w:rPr>
      <w:rFonts w:ascii="Times New Roman" w:cs="Times New Roman"/>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character" w:customStyle="1" w:styleId="16">
    <w:name w:val="页眉 字符"/>
    <w:basedOn w:val="14"/>
    <w:link w:val="9"/>
    <w:qFormat/>
    <w:uiPriority w:val="99"/>
    <w:rPr>
      <w:sz w:val="18"/>
      <w:szCs w:val="18"/>
    </w:rPr>
  </w:style>
  <w:style w:type="character" w:customStyle="1" w:styleId="17">
    <w:name w:val="页脚 字符"/>
    <w:basedOn w:val="14"/>
    <w:link w:val="8"/>
    <w:qFormat/>
    <w:uiPriority w:val="99"/>
    <w:rPr>
      <w:sz w:val="18"/>
      <w:szCs w:val="18"/>
    </w:rPr>
  </w:style>
  <w:style w:type="paragraph" w:customStyle="1" w:styleId="18">
    <w:name w:val="D&amp;L"/>
    <w:basedOn w:val="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2428</Words>
  <Characters>2597</Characters>
  <Lines>102</Lines>
  <Paragraphs>28</Paragraphs>
  <TotalTime>8</TotalTime>
  <ScaleCrop>false</ScaleCrop>
  <LinksUpToDate>false</LinksUpToDate>
  <CharactersWithSpaces>2601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郑靖</cp:lastModifiedBy>
  <cp:lastPrinted>2024-04-10T07:17:00Z</cp:lastPrinted>
  <dcterms:modified xsi:type="dcterms:W3CDTF">2025-07-17T04:47:54Z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eyJoZGlkIjoiYzg5NmQxNjBmMjk4NjZkYTRiYWU0ODkwOTEyYzFmYTciLCJ1c2VySWQiOiIxMTM3NTQ0NTA2In0=</vt:lpwstr>
  </property>
</Properties>
</file>