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68CDF3E">
      <w:pPr>
        <w:spacing w:line="360" w:lineRule="auto"/>
        <w:jc w:val="center"/>
        <w:outlineLvl w:val="1"/>
        <w:rPr>
          <w:rFonts w:hint="eastAsia" w:ascii="宋体" w:hAnsi="宋体" w:cs="宋体"/>
          <w:b/>
          <w:sz w:val="28"/>
        </w:rPr>
      </w:pPr>
      <w:bookmarkStart w:id="0" w:name="_Toc18464"/>
      <w:r>
        <w:rPr>
          <w:rFonts w:hint="eastAsia" w:ascii="宋体" w:hAnsi="宋体" w:cs="宋体"/>
          <w:b/>
          <w:sz w:val="28"/>
        </w:rPr>
        <w:t>第三章  采购需求</w:t>
      </w:r>
      <w:bookmarkEnd w:id="0"/>
    </w:p>
    <w:p w14:paraId="1A07B109">
      <w:pPr>
        <w:spacing w:line="360" w:lineRule="auto"/>
        <w:jc w:val="left"/>
        <w:rPr>
          <w:rFonts w:hint="eastAsia" w:ascii="宋体" w:hAnsi="宋体" w:cs="宋体"/>
          <w:b/>
          <w:sz w:val="24"/>
          <w:szCs w:val="24"/>
        </w:rPr>
      </w:pPr>
      <w:r>
        <w:rPr>
          <w:rFonts w:hint="eastAsia" w:ascii="宋体" w:hAnsi="宋体" w:cs="宋体"/>
          <w:b/>
          <w:sz w:val="24"/>
          <w:szCs w:val="24"/>
        </w:rPr>
        <w:t>前注：</w:t>
      </w:r>
    </w:p>
    <w:p w14:paraId="39AC44D5">
      <w:pPr>
        <w:spacing w:line="360" w:lineRule="auto"/>
        <w:ind w:firstLine="437"/>
        <w:jc w:val="left"/>
        <w:rPr>
          <w:rFonts w:hint="eastAsia" w:ascii="宋体" w:hAnsi="宋体" w:cs="宋体"/>
          <w:sz w:val="24"/>
          <w:szCs w:val="24"/>
        </w:rPr>
      </w:pPr>
      <w:r>
        <w:rPr>
          <w:rFonts w:hint="eastAsia" w:ascii="宋体" w:hAnsi="宋体" w:cs="宋体"/>
          <w:sz w:val="24"/>
          <w:szCs w:val="24"/>
        </w:rPr>
        <w:t>1.本说明中提出的技术方案仅为参考，如无明确限制，参选人可以进行优化，提供满足用户实际需要的更优（或者性能实质上不低于的）技术方案，且此方案须经评审小组评审认可；</w:t>
      </w:r>
    </w:p>
    <w:p w14:paraId="113A2B85">
      <w:pPr>
        <w:spacing w:line="360" w:lineRule="auto"/>
        <w:ind w:firstLine="437"/>
        <w:jc w:val="left"/>
        <w:rPr>
          <w:rFonts w:hint="eastAsia" w:ascii="宋体" w:hAnsi="宋体" w:cs="宋体"/>
          <w:sz w:val="24"/>
          <w:szCs w:val="24"/>
        </w:rPr>
      </w:pPr>
      <w:r>
        <w:rPr>
          <w:rFonts w:hint="eastAsia" w:ascii="宋体" w:hAnsi="宋体" w:cs="宋体"/>
          <w:sz w:val="24"/>
          <w:szCs w:val="24"/>
        </w:rPr>
        <w:t>2.为鼓励不同品牌的充分竞争，如某设备的某技术参数或要求属于个别品牌专有，则该技术参数及要求不具有限制性，参选人可对该参数或要求进行适当调整，并应当说明调整的理由，且此调整须经评审小组评审认可；</w:t>
      </w:r>
    </w:p>
    <w:p w14:paraId="0A8CCE49">
      <w:pPr>
        <w:spacing w:line="360" w:lineRule="auto"/>
        <w:ind w:firstLine="437"/>
        <w:jc w:val="left"/>
        <w:rPr>
          <w:rFonts w:hint="eastAsia" w:ascii="宋体" w:hAnsi="宋体" w:cs="宋体"/>
          <w:sz w:val="24"/>
          <w:szCs w:val="24"/>
        </w:rPr>
      </w:pPr>
      <w:r>
        <w:rPr>
          <w:rFonts w:hint="eastAsia" w:ascii="宋体" w:hAnsi="宋体" w:cs="宋体"/>
          <w:sz w:val="24"/>
          <w:szCs w:val="24"/>
        </w:rPr>
        <w:t>3.为有助于参选人选择参选产品，项目说明中可能提供了推荐品牌（或型号）、参考品牌（或型号）等，这些品牌（或型号）仅供参考，并无限制性。参选人可以选择性能不低于推荐（或参考）的品牌（或型号）的其他品牌产品，但比选时应当提供有关技术证明资料，未提供的可能导致响应无效；</w:t>
      </w:r>
    </w:p>
    <w:p w14:paraId="31A86FD2">
      <w:pPr>
        <w:spacing w:line="360" w:lineRule="auto"/>
        <w:ind w:firstLine="437"/>
        <w:jc w:val="left"/>
        <w:rPr>
          <w:rFonts w:hint="eastAsia" w:ascii="宋体" w:hAnsi="宋体" w:cs="宋体"/>
          <w:b/>
          <w:sz w:val="24"/>
          <w:szCs w:val="24"/>
        </w:rPr>
      </w:pPr>
      <w:r>
        <w:rPr>
          <w:rFonts w:hint="eastAsia" w:ascii="宋体" w:hAnsi="宋体" w:cs="宋体"/>
          <w:sz w:val="24"/>
          <w:szCs w:val="24"/>
        </w:rPr>
        <w:t>4.下列采购需求中标注进口产品的货物均已履行相关论证手续，经核准采购进口产品，但不限制满足参选文件要求的国内产品参与竞争。未标注进口产品的货物均为拒绝采购进口产品。</w:t>
      </w:r>
      <w:r>
        <w:rPr>
          <w:rFonts w:hint="eastAsia" w:ascii="宋体" w:hAnsi="宋体" w:cs="宋体"/>
          <w:b/>
          <w:sz w:val="24"/>
          <w:szCs w:val="24"/>
        </w:rPr>
        <w:br w:type="page"/>
      </w:r>
      <w:r>
        <w:rPr>
          <w:rFonts w:hint="eastAsia" w:ascii="宋体" w:hAnsi="宋体" w:cs="宋体"/>
          <w:b/>
          <w:sz w:val="24"/>
          <w:szCs w:val="24"/>
        </w:rPr>
        <w:t xml:space="preserve">    一、采购需求前附表</w:t>
      </w:r>
    </w:p>
    <w:tbl>
      <w:tblPr>
        <w:tblStyle w:val="2"/>
        <w:tblW w:w="868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3"/>
        <w:gridCol w:w="2034"/>
        <w:gridCol w:w="5776"/>
      </w:tblGrid>
      <w:tr w14:paraId="2F0396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873" w:type="dxa"/>
            <w:noWrap w:val="0"/>
            <w:vAlign w:val="center"/>
          </w:tcPr>
          <w:p w14:paraId="7A0217DF">
            <w:pPr>
              <w:jc w:val="center"/>
              <w:rPr>
                <w:rFonts w:hint="eastAsia" w:ascii="宋体" w:hAnsi="宋体" w:cs="宋体"/>
                <w:b/>
                <w:sz w:val="24"/>
              </w:rPr>
            </w:pPr>
            <w:r>
              <w:rPr>
                <w:rFonts w:hint="eastAsia" w:ascii="宋体" w:hAnsi="宋体" w:cs="宋体"/>
                <w:b/>
                <w:sz w:val="24"/>
              </w:rPr>
              <w:t>序号</w:t>
            </w:r>
          </w:p>
        </w:tc>
        <w:tc>
          <w:tcPr>
            <w:tcW w:w="2034" w:type="dxa"/>
            <w:noWrap w:val="0"/>
            <w:vAlign w:val="center"/>
          </w:tcPr>
          <w:p w14:paraId="4C2EE25F">
            <w:pPr>
              <w:spacing w:line="360" w:lineRule="auto"/>
              <w:jc w:val="center"/>
              <w:rPr>
                <w:rFonts w:hint="eastAsia" w:ascii="宋体" w:hAnsi="宋体" w:cs="宋体"/>
                <w:b/>
                <w:kern w:val="0"/>
                <w:sz w:val="24"/>
                <w:szCs w:val="28"/>
              </w:rPr>
            </w:pPr>
            <w:r>
              <w:rPr>
                <w:rFonts w:hint="eastAsia" w:ascii="宋体" w:hAnsi="宋体" w:cs="宋体"/>
                <w:b/>
                <w:kern w:val="0"/>
                <w:sz w:val="24"/>
                <w:szCs w:val="28"/>
              </w:rPr>
              <w:t>条款名称</w:t>
            </w:r>
          </w:p>
        </w:tc>
        <w:tc>
          <w:tcPr>
            <w:tcW w:w="5776" w:type="dxa"/>
            <w:noWrap w:val="0"/>
            <w:vAlign w:val="center"/>
          </w:tcPr>
          <w:p w14:paraId="574F1B97">
            <w:pPr>
              <w:spacing w:line="360" w:lineRule="auto"/>
              <w:jc w:val="center"/>
              <w:rPr>
                <w:rFonts w:hint="eastAsia" w:ascii="宋体" w:hAnsi="宋体" w:cs="宋体"/>
                <w:b/>
                <w:kern w:val="0"/>
                <w:sz w:val="24"/>
                <w:szCs w:val="28"/>
              </w:rPr>
            </w:pPr>
            <w:r>
              <w:rPr>
                <w:rFonts w:hint="eastAsia" w:ascii="宋体" w:hAnsi="宋体" w:cs="宋体"/>
                <w:b/>
                <w:kern w:val="0"/>
                <w:sz w:val="24"/>
                <w:szCs w:val="28"/>
              </w:rPr>
              <w:t>内容、说明与要求</w:t>
            </w:r>
          </w:p>
        </w:tc>
      </w:tr>
      <w:tr w14:paraId="10A44F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873" w:type="dxa"/>
            <w:noWrap w:val="0"/>
            <w:vAlign w:val="center"/>
          </w:tcPr>
          <w:p w14:paraId="00B2C8EA">
            <w:pPr>
              <w:jc w:val="center"/>
              <w:rPr>
                <w:rFonts w:hint="eastAsia" w:ascii="宋体" w:hAnsi="宋体" w:cs="宋体"/>
                <w:bCs/>
                <w:sz w:val="24"/>
              </w:rPr>
            </w:pPr>
            <w:r>
              <w:rPr>
                <w:rFonts w:hint="eastAsia" w:ascii="宋体" w:hAnsi="宋体" w:cs="宋体"/>
                <w:bCs/>
                <w:sz w:val="24"/>
              </w:rPr>
              <w:t>1</w:t>
            </w:r>
          </w:p>
        </w:tc>
        <w:tc>
          <w:tcPr>
            <w:tcW w:w="2034" w:type="dxa"/>
            <w:noWrap w:val="0"/>
            <w:vAlign w:val="center"/>
          </w:tcPr>
          <w:p w14:paraId="42F0E292">
            <w:pPr>
              <w:spacing w:line="360" w:lineRule="auto"/>
              <w:jc w:val="center"/>
              <w:rPr>
                <w:rFonts w:hint="eastAsia" w:ascii="宋体" w:hAnsi="宋体" w:cs="宋体"/>
                <w:bCs/>
                <w:kern w:val="0"/>
                <w:sz w:val="24"/>
                <w:szCs w:val="28"/>
              </w:rPr>
            </w:pPr>
            <w:r>
              <w:rPr>
                <w:rFonts w:hint="eastAsia" w:ascii="宋体" w:hAnsi="宋体"/>
                <w:bCs/>
                <w:kern w:val="0"/>
                <w:sz w:val="24"/>
                <w:szCs w:val="28"/>
              </w:rPr>
              <w:t>付款方式</w:t>
            </w:r>
          </w:p>
        </w:tc>
        <w:tc>
          <w:tcPr>
            <w:tcW w:w="5776" w:type="dxa"/>
            <w:noWrap w:val="0"/>
            <w:vAlign w:val="center"/>
          </w:tcPr>
          <w:p w14:paraId="002E1B2D">
            <w:pPr>
              <w:spacing w:line="360" w:lineRule="auto"/>
              <w:jc w:val="left"/>
              <w:rPr>
                <w:rFonts w:hint="eastAsia" w:ascii="宋体" w:hAnsi="宋体" w:cs="宋体"/>
                <w:sz w:val="24"/>
              </w:rPr>
            </w:pPr>
            <w:r>
              <w:rPr>
                <w:rFonts w:hint="eastAsia" w:ascii="宋体" w:hAnsi="宋体" w:cs="宋体"/>
                <w:sz w:val="24"/>
              </w:rPr>
              <w:t>验收合格后支付合同价款</w:t>
            </w:r>
          </w:p>
        </w:tc>
      </w:tr>
      <w:tr w14:paraId="220627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873" w:type="dxa"/>
            <w:noWrap w:val="0"/>
            <w:vAlign w:val="center"/>
          </w:tcPr>
          <w:p w14:paraId="68392BB1">
            <w:pPr>
              <w:jc w:val="center"/>
              <w:rPr>
                <w:rFonts w:hint="eastAsia" w:ascii="宋体" w:hAnsi="宋体" w:cs="宋体"/>
                <w:bCs/>
                <w:sz w:val="24"/>
              </w:rPr>
            </w:pPr>
            <w:r>
              <w:rPr>
                <w:rFonts w:hint="eastAsia" w:ascii="宋体" w:hAnsi="宋体" w:cs="宋体"/>
                <w:bCs/>
                <w:sz w:val="24"/>
              </w:rPr>
              <w:t>2</w:t>
            </w:r>
          </w:p>
        </w:tc>
        <w:tc>
          <w:tcPr>
            <w:tcW w:w="2034" w:type="dxa"/>
            <w:noWrap w:val="0"/>
            <w:vAlign w:val="center"/>
          </w:tcPr>
          <w:p w14:paraId="65878C6D">
            <w:pPr>
              <w:spacing w:line="360" w:lineRule="auto"/>
              <w:jc w:val="center"/>
              <w:rPr>
                <w:rFonts w:hint="eastAsia" w:ascii="宋体" w:hAnsi="宋体" w:cs="宋体"/>
                <w:bCs/>
                <w:kern w:val="0"/>
                <w:sz w:val="24"/>
                <w:szCs w:val="28"/>
              </w:rPr>
            </w:pPr>
            <w:r>
              <w:rPr>
                <w:rFonts w:hint="eastAsia" w:ascii="宋体" w:hAnsi="宋体"/>
                <w:bCs/>
                <w:kern w:val="0"/>
                <w:sz w:val="24"/>
                <w:szCs w:val="28"/>
              </w:rPr>
              <w:t>供货及安装地点</w:t>
            </w:r>
          </w:p>
        </w:tc>
        <w:tc>
          <w:tcPr>
            <w:tcW w:w="5776" w:type="dxa"/>
            <w:noWrap w:val="0"/>
            <w:vAlign w:val="center"/>
          </w:tcPr>
          <w:p w14:paraId="262298F4">
            <w:pPr>
              <w:spacing w:line="360" w:lineRule="auto"/>
              <w:jc w:val="left"/>
              <w:rPr>
                <w:rFonts w:hint="eastAsia" w:ascii="宋体" w:hAnsi="宋体" w:cs="宋体"/>
                <w:sz w:val="24"/>
              </w:rPr>
            </w:pPr>
            <w:r>
              <w:rPr>
                <w:rFonts w:hint="eastAsia" w:ascii="宋体" w:hAnsi="宋体"/>
                <w:sz w:val="24"/>
              </w:rPr>
              <w:t>安徽医科大学新医科中心或采购人指定地点</w:t>
            </w:r>
            <w:r>
              <w:rPr>
                <w:rFonts w:hint="eastAsia" w:ascii="宋体" w:hAnsi="宋体" w:cs="宋体"/>
                <w:bCs/>
                <w:kern w:val="0"/>
                <w:sz w:val="24"/>
                <w:szCs w:val="28"/>
              </w:rPr>
              <w:t>。</w:t>
            </w:r>
          </w:p>
        </w:tc>
      </w:tr>
      <w:tr w14:paraId="0F37FE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873" w:type="dxa"/>
            <w:noWrap w:val="0"/>
            <w:vAlign w:val="center"/>
          </w:tcPr>
          <w:p w14:paraId="1328383F">
            <w:pPr>
              <w:jc w:val="center"/>
              <w:rPr>
                <w:rFonts w:hint="eastAsia" w:ascii="宋体" w:hAnsi="宋体" w:cs="宋体"/>
                <w:bCs/>
                <w:sz w:val="24"/>
              </w:rPr>
            </w:pPr>
            <w:r>
              <w:rPr>
                <w:rFonts w:hint="eastAsia" w:ascii="宋体" w:hAnsi="宋体" w:cs="宋体"/>
                <w:bCs/>
                <w:sz w:val="24"/>
              </w:rPr>
              <w:t>3</w:t>
            </w:r>
          </w:p>
        </w:tc>
        <w:tc>
          <w:tcPr>
            <w:tcW w:w="2034" w:type="dxa"/>
            <w:noWrap w:val="0"/>
            <w:vAlign w:val="center"/>
          </w:tcPr>
          <w:p w14:paraId="45D860BA">
            <w:pPr>
              <w:spacing w:line="360" w:lineRule="auto"/>
              <w:jc w:val="center"/>
              <w:rPr>
                <w:rFonts w:hint="eastAsia" w:ascii="宋体" w:hAnsi="宋体" w:cs="宋体"/>
                <w:bCs/>
                <w:kern w:val="0"/>
                <w:sz w:val="24"/>
                <w:szCs w:val="28"/>
              </w:rPr>
            </w:pPr>
            <w:r>
              <w:rPr>
                <w:rFonts w:hint="eastAsia" w:ascii="宋体" w:hAnsi="宋体"/>
                <w:bCs/>
                <w:kern w:val="0"/>
                <w:sz w:val="24"/>
                <w:szCs w:val="28"/>
              </w:rPr>
              <w:t>供货及安装期限</w:t>
            </w:r>
          </w:p>
        </w:tc>
        <w:tc>
          <w:tcPr>
            <w:tcW w:w="5776" w:type="dxa"/>
            <w:noWrap w:val="0"/>
            <w:vAlign w:val="center"/>
          </w:tcPr>
          <w:p w14:paraId="1563A279">
            <w:pPr>
              <w:spacing w:line="360" w:lineRule="auto"/>
              <w:jc w:val="left"/>
              <w:rPr>
                <w:rFonts w:hint="eastAsia" w:ascii="宋体" w:hAnsi="宋体" w:cs="宋体"/>
                <w:sz w:val="24"/>
              </w:rPr>
            </w:pPr>
            <w:r>
              <w:rPr>
                <w:rFonts w:hint="eastAsia" w:ascii="宋体" w:hAnsi="宋体" w:cs="宋体"/>
                <w:sz w:val="24"/>
                <w:szCs w:val="24"/>
              </w:rPr>
              <w:t>自合同签订之日起25个</w:t>
            </w:r>
            <w:r>
              <w:rPr>
                <w:rFonts w:hint="eastAsia" w:ascii="宋体" w:hAnsi="宋体" w:cs="宋体"/>
                <w:sz w:val="24"/>
              </w:rPr>
              <w:t>工作日</w:t>
            </w:r>
            <w:r>
              <w:rPr>
                <w:rFonts w:hint="eastAsia" w:ascii="宋体" w:hAnsi="宋体" w:cs="宋体"/>
                <w:sz w:val="24"/>
                <w:szCs w:val="24"/>
              </w:rPr>
              <w:t>内完成供货、安装及调试</w:t>
            </w:r>
            <w:r>
              <w:rPr>
                <w:rFonts w:hint="eastAsia" w:ascii="宋体" w:hAnsi="宋体" w:cs="宋体"/>
                <w:bCs/>
                <w:kern w:val="0"/>
                <w:sz w:val="24"/>
                <w:szCs w:val="28"/>
              </w:rPr>
              <w:t>。</w:t>
            </w:r>
          </w:p>
        </w:tc>
      </w:tr>
      <w:tr w14:paraId="30B893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873" w:type="dxa"/>
            <w:noWrap w:val="0"/>
            <w:vAlign w:val="center"/>
          </w:tcPr>
          <w:p w14:paraId="2A3C1B8D">
            <w:pPr>
              <w:jc w:val="center"/>
              <w:rPr>
                <w:rFonts w:hint="eastAsia" w:ascii="宋体" w:hAnsi="宋体" w:cs="宋体"/>
                <w:bCs/>
                <w:sz w:val="24"/>
              </w:rPr>
            </w:pPr>
            <w:r>
              <w:rPr>
                <w:rFonts w:hint="eastAsia" w:ascii="宋体" w:hAnsi="宋体" w:cs="宋体"/>
                <w:bCs/>
                <w:sz w:val="24"/>
              </w:rPr>
              <w:t>4</w:t>
            </w:r>
          </w:p>
        </w:tc>
        <w:tc>
          <w:tcPr>
            <w:tcW w:w="2034" w:type="dxa"/>
            <w:noWrap w:val="0"/>
            <w:vAlign w:val="center"/>
          </w:tcPr>
          <w:p w14:paraId="0E6332F3">
            <w:pPr>
              <w:spacing w:line="360" w:lineRule="auto"/>
              <w:jc w:val="center"/>
              <w:rPr>
                <w:rFonts w:hint="eastAsia" w:ascii="宋体" w:hAnsi="宋体" w:cs="宋体"/>
                <w:bCs/>
                <w:kern w:val="0"/>
                <w:sz w:val="24"/>
                <w:szCs w:val="28"/>
              </w:rPr>
            </w:pPr>
            <w:r>
              <w:rPr>
                <w:rFonts w:hint="eastAsia" w:ascii="宋体" w:hAnsi="宋体"/>
                <w:bCs/>
                <w:kern w:val="0"/>
                <w:sz w:val="24"/>
                <w:szCs w:val="28"/>
              </w:rPr>
              <w:t>免费质保期</w:t>
            </w:r>
          </w:p>
        </w:tc>
        <w:tc>
          <w:tcPr>
            <w:tcW w:w="5776" w:type="dxa"/>
            <w:noWrap w:val="0"/>
            <w:vAlign w:val="center"/>
          </w:tcPr>
          <w:p w14:paraId="2B03B4BC">
            <w:pPr>
              <w:spacing w:line="360" w:lineRule="auto"/>
              <w:jc w:val="left"/>
              <w:rPr>
                <w:rFonts w:ascii="宋体" w:hAnsi="宋体" w:cs="宋体"/>
                <w:sz w:val="24"/>
              </w:rPr>
            </w:pPr>
            <w:r>
              <w:rPr>
                <w:rFonts w:hint="eastAsia" w:ascii="宋体" w:hAnsi="宋体"/>
                <w:sz w:val="24"/>
                <w:szCs w:val="24"/>
              </w:rPr>
              <w:t>自验收合格之日起</w:t>
            </w:r>
            <w:r>
              <w:rPr>
                <w:rFonts w:hint="eastAsia" w:ascii="宋体" w:hAnsi="宋体" w:cs="宋体"/>
                <w:sz w:val="24"/>
              </w:rPr>
              <w:t>3年。</w:t>
            </w:r>
            <w:r>
              <w:rPr>
                <w:rFonts w:hint="eastAsia" w:ascii="宋体" w:hAnsi="宋体" w:cs="宋体"/>
                <w:b/>
                <w:kern w:val="0"/>
                <w:sz w:val="24"/>
                <w:szCs w:val="28"/>
              </w:rPr>
              <w:t>货物需求中另有要求的，以采购需求为准。</w:t>
            </w:r>
          </w:p>
        </w:tc>
      </w:tr>
    </w:tbl>
    <w:p w14:paraId="1FAAE292">
      <w:pPr>
        <w:numPr>
          <w:ilvl w:val="0"/>
          <w:numId w:val="1"/>
        </w:numPr>
        <w:spacing w:line="360" w:lineRule="auto"/>
        <w:ind w:firstLine="437"/>
        <w:jc w:val="left"/>
        <w:rPr>
          <w:rFonts w:hint="eastAsia" w:ascii="宋体" w:hAnsi="宋体" w:cs="宋体"/>
          <w:b/>
          <w:sz w:val="24"/>
          <w:szCs w:val="24"/>
        </w:rPr>
      </w:pPr>
      <w:r>
        <w:rPr>
          <w:rFonts w:hint="eastAsia" w:ascii="宋体" w:hAnsi="宋体" w:cs="宋体"/>
          <w:b/>
          <w:sz w:val="24"/>
          <w:szCs w:val="24"/>
        </w:rPr>
        <w:t>项目概况</w:t>
      </w:r>
    </w:p>
    <w:p w14:paraId="12DE4079">
      <w:pPr>
        <w:spacing w:line="360" w:lineRule="auto"/>
        <w:ind w:firstLine="480" w:firstLineChars="200"/>
        <w:jc w:val="left"/>
        <w:rPr>
          <w:rFonts w:ascii="宋体" w:hAnsi="宋体" w:cs="宋体"/>
          <w:bCs/>
          <w:sz w:val="24"/>
          <w:szCs w:val="24"/>
        </w:rPr>
      </w:pPr>
      <w:r>
        <w:rPr>
          <w:rFonts w:ascii="宋体" w:hAnsi="宋体" w:cs="宋体"/>
          <w:bCs/>
          <w:sz w:val="24"/>
          <w:szCs w:val="24"/>
        </w:rPr>
        <w:t>本项目为安徽医科大学新医科中心公共学习中心人脸识别及磁力锁等设备采购项目。公共学习中心为开放式结构，师生可以在大楼任意位置借阅图书，但由于大楼具有大量自由进出口、楼梯等，与多个其他部门相互联通，且有多处楼梯可自由进入顶楼平台（机组位于顶楼平台），造成楼内图书、机组以及其他资产管理工作压力巨大。</w:t>
      </w:r>
    </w:p>
    <w:p w14:paraId="747D6110">
      <w:pPr>
        <w:spacing w:line="360" w:lineRule="auto"/>
        <w:ind w:firstLine="480" w:firstLineChars="200"/>
        <w:jc w:val="left"/>
        <w:rPr>
          <w:rFonts w:ascii="宋体" w:hAnsi="宋体" w:cs="宋体"/>
          <w:bCs/>
          <w:sz w:val="24"/>
          <w:szCs w:val="24"/>
        </w:rPr>
      </w:pPr>
      <w:r>
        <w:rPr>
          <w:rFonts w:ascii="宋体" w:hAnsi="宋体" w:cs="宋体"/>
          <w:bCs/>
          <w:sz w:val="24"/>
          <w:szCs w:val="24"/>
        </w:rPr>
        <w:t>为了减轻公共学习中心内图书、机组以及其他物资管理工作压力，减少图书等其他资产丢失、破坏风险，本项目拟将公共学习中心大楼内部分门、楼梯进出门等进行改造：</w:t>
      </w:r>
    </w:p>
    <w:p w14:paraId="57D942F7">
      <w:pPr>
        <w:spacing w:line="360" w:lineRule="auto"/>
        <w:ind w:firstLine="480" w:firstLineChars="200"/>
        <w:jc w:val="left"/>
        <w:rPr>
          <w:rFonts w:ascii="宋体" w:hAnsi="宋体" w:cs="宋体"/>
          <w:bCs/>
          <w:sz w:val="24"/>
          <w:szCs w:val="24"/>
        </w:rPr>
      </w:pPr>
      <w:r>
        <w:rPr>
          <w:rFonts w:ascii="宋体" w:hAnsi="宋体" w:cs="宋体"/>
          <w:bCs/>
          <w:sz w:val="24"/>
          <w:szCs w:val="24"/>
        </w:rPr>
        <w:t>1、将部分自由开关的门安装磁力锁，搭配人脸门禁机，实现刷脸进出；</w:t>
      </w:r>
    </w:p>
    <w:p w14:paraId="10C7E520">
      <w:pPr>
        <w:spacing w:line="360" w:lineRule="auto"/>
        <w:ind w:firstLine="480" w:firstLineChars="200"/>
        <w:jc w:val="left"/>
        <w:rPr>
          <w:rFonts w:ascii="宋体" w:hAnsi="宋体" w:cs="宋体"/>
          <w:bCs/>
          <w:sz w:val="24"/>
          <w:szCs w:val="24"/>
        </w:rPr>
      </w:pPr>
      <w:r>
        <w:rPr>
          <w:rFonts w:ascii="宋体" w:hAnsi="宋体" w:cs="宋体"/>
          <w:bCs/>
          <w:sz w:val="24"/>
          <w:szCs w:val="24"/>
        </w:rPr>
        <w:t>2、将部分平时使用频率很低的门安装磁力锁，搭配门禁控制器，实现常闭状态；</w:t>
      </w:r>
    </w:p>
    <w:p w14:paraId="056B0971">
      <w:pPr>
        <w:spacing w:line="360" w:lineRule="auto"/>
        <w:ind w:firstLine="480" w:firstLineChars="200"/>
        <w:jc w:val="left"/>
        <w:rPr>
          <w:rFonts w:ascii="宋体" w:hAnsi="宋体" w:cs="宋体"/>
          <w:bCs/>
          <w:sz w:val="24"/>
          <w:szCs w:val="24"/>
        </w:rPr>
      </w:pPr>
      <w:r>
        <w:rPr>
          <w:rFonts w:ascii="宋体" w:hAnsi="宋体" w:cs="宋体"/>
          <w:bCs/>
          <w:sz w:val="24"/>
          <w:szCs w:val="24"/>
        </w:rPr>
        <w:t>3、将部分去往5楼机组平台的室外楼梯加装铁门，搭配门禁控制器，实现常闭状态。</w:t>
      </w:r>
    </w:p>
    <w:p w14:paraId="4ED6D5A1">
      <w:pPr>
        <w:spacing w:line="360" w:lineRule="auto"/>
        <w:ind w:firstLine="480" w:firstLineChars="200"/>
        <w:jc w:val="left"/>
        <w:rPr>
          <w:rFonts w:ascii="宋体" w:hAnsi="宋体" w:cs="宋体"/>
          <w:bCs/>
          <w:sz w:val="24"/>
          <w:szCs w:val="24"/>
        </w:rPr>
      </w:pPr>
      <w:r>
        <w:rPr>
          <w:rFonts w:ascii="宋体" w:hAnsi="宋体" w:cs="宋体"/>
          <w:bCs/>
          <w:sz w:val="24"/>
          <w:szCs w:val="24"/>
        </w:rPr>
        <w:t>该方案需从以下方面着手保障安全：</w:t>
      </w:r>
    </w:p>
    <w:p w14:paraId="59952F11">
      <w:pPr>
        <w:spacing w:line="360" w:lineRule="auto"/>
        <w:ind w:firstLine="480" w:firstLineChars="200"/>
        <w:jc w:val="left"/>
        <w:rPr>
          <w:rFonts w:ascii="宋体" w:hAnsi="宋体" w:cs="宋体"/>
          <w:bCs/>
          <w:sz w:val="24"/>
          <w:szCs w:val="24"/>
        </w:rPr>
      </w:pPr>
      <w:r>
        <w:rPr>
          <w:rFonts w:ascii="宋体" w:hAnsi="宋体" w:cs="宋体"/>
          <w:bCs/>
          <w:sz w:val="24"/>
          <w:szCs w:val="24"/>
        </w:rPr>
        <w:t>1、所有门禁物理逻辑为：断电开启，通电才能闭合；</w:t>
      </w:r>
    </w:p>
    <w:p w14:paraId="393AFDDE">
      <w:pPr>
        <w:spacing w:line="360" w:lineRule="auto"/>
        <w:ind w:firstLine="480" w:firstLineChars="200"/>
        <w:jc w:val="left"/>
        <w:rPr>
          <w:rFonts w:ascii="宋体" w:hAnsi="宋体" w:cs="宋体"/>
          <w:bCs/>
          <w:sz w:val="24"/>
          <w:szCs w:val="24"/>
        </w:rPr>
      </w:pPr>
      <w:r>
        <w:rPr>
          <w:rFonts w:ascii="宋体" w:hAnsi="宋体" w:cs="宋体"/>
          <w:bCs/>
          <w:sz w:val="24"/>
          <w:szCs w:val="24"/>
        </w:rPr>
        <w:t>2、所有门禁均配置紧急开关，紧急情况下强制破碎按钮，可打开门禁；</w:t>
      </w:r>
    </w:p>
    <w:p w14:paraId="02390EFC">
      <w:pPr>
        <w:spacing w:line="360" w:lineRule="auto"/>
        <w:ind w:firstLine="480" w:firstLineChars="200"/>
        <w:jc w:val="left"/>
        <w:rPr>
          <w:rFonts w:ascii="宋体" w:hAnsi="宋体" w:cs="宋体"/>
          <w:bCs/>
          <w:sz w:val="24"/>
          <w:szCs w:val="24"/>
        </w:rPr>
      </w:pPr>
      <w:r>
        <w:rPr>
          <w:rFonts w:ascii="宋体" w:hAnsi="宋体" w:cs="宋体"/>
          <w:bCs/>
          <w:sz w:val="24"/>
          <w:szCs w:val="24"/>
        </w:rPr>
        <w:t>3、所有门禁均可在后台手动操作开关；</w:t>
      </w:r>
    </w:p>
    <w:p w14:paraId="5800F312">
      <w:pPr>
        <w:spacing w:line="360" w:lineRule="auto"/>
        <w:ind w:firstLine="480" w:firstLineChars="200"/>
        <w:jc w:val="left"/>
        <w:rPr>
          <w:rFonts w:ascii="宋体" w:hAnsi="宋体" w:cs="宋体"/>
          <w:bCs/>
          <w:sz w:val="24"/>
          <w:szCs w:val="24"/>
        </w:rPr>
      </w:pPr>
      <w:r>
        <w:rPr>
          <w:rFonts w:ascii="宋体" w:hAnsi="宋体" w:cs="宋体"/>
          <w:bCs/>
          <w:sz w:val="24"/>
          <w:szCs w:val="24"/>
        </w:rPr>
        <w:t>4、所有门禁与所在楼栋消防系统，支持消防联动，触发消防事件后自动开启。</w:t>
      </w:r>
    </w:p>
    <w:p w14:paraId="34CE54F5">
      <w:pPr>
        <w:spacing w:line="360" w:lineRule="auto"/>
        <w:ind w:firstLine="480" w:firstLineChars="200"/>
        <w:jc w:val="left"/>
        <w:rPr>
          <w:rFonts w:ascii="宋体" w:hAnsi="宋体" w:cs="宋体"/>
          <w:bCs/>
          <w:sz w:val="24"/>
          <w:szCs w:val="24"/>
        </w:rPr>
      </w:pPr>
      <w:r>
        <w:rPr>
          <w:rFonts w:ascii="宋体" w:hAnsi="宋体" w:cs="宋体"/>
          <w:bCs/>
          <w:sz w:val="24"/>
          <w:szCs w:val="24"/>
        </w:rPr>
        <w:t>5、值班室增加一键开门，紧急情况下一键开启所有门禁</w:t>
      </w:r>
    </w:p>
    <w:p w14:paraId="750AA200">
      <w:pPr>
        <w:spacing w:line="360" w:lineRule="auto"/>
        <w:ind w:firstLine="437"/>
        <w:jc w:val="left"/>
        <w:rPr>
          <w:rFonts w:hint="eastAsia" w:ascii="宋体" w:hAnsi="宋体" w:cs="宋体"/>
          <w:b/>
          <w:sz w:val="24"/>
          <w:szCs w:val="24"/>
        </w:rPr>
      </w:pPr>
      <w:r>
        <w:rPr>
          <w:rFonts w:hint="eastAsia" w:ascii="宋体" w:hAnsi="宋体" w:cs="宋体"/>
          <w:b/>
          <w:sz w:val="24"/>
          <w:szCs w:val="24"/>
        </w:rPr>
        <w:t>三、货物需求</w:t>
      </w:r>
    </w:p>
    <w:p w14:paraId="23DB4E02">
      <w:pPr>
        <w:spacing w:line="360" w:lineRule="auto"/>
        <w:ind w:firstLine="437"/>
        <w:rPr>
          <w:rFonts w:hint="eastAsia" w:ascii="宋体" w:hAnsi="宋体" w:cs="宋体"/>
          <w:b/>
          <w:bCs/>
          <w:color w:val="000000"/>
          <w:sz w:val="24"/>
          <w:szCs w:val="24"/>
        </w:rPr>
      </w:pPr>
      <w:r>
        <w:rPr>
          <w:rFonts w:hint="eastAsia" w:ascii="宋体" w:hAnsi="宋体" w:cs="宋体"/>
          <w:b/>
          <w:bCs/>
          <w:color w:val="000000"/>
          <w:sz w:val="24"/>
          <w:szCs w:val="24"/>
        </w:rPr>
        <w:t>（一）货物需求说明</w:t>
      </w:r>
    </w:p>
    <w:tbl>
      <w:tblPr>
        <w:tblStyle w:val="2"/>
        <w:tblW w:w="870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49"/>
        <w:gridCol w:w="1365"/>
        <w:gridCol w:w="5692"/>
      </w:tblGrid>
      <w:tr w14:paraId="02C73F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49" w:type="dxa"/>
            <w:noWrap w:val="0"/>
            <w:vAlign w:val="center"/>
          </w:tcPr>
          <w:p w14:paraId="158588EF">
            <w:pPr>
              <w:spacing w:line="360" w:lineRule="auto"/>
              <w:jc w:val="center"/>
              <w:rPr>
                <w:rFonts w:ascii="宋体" w:hAnsi="宋体" w:cs="宋体"/>
                <w:b/>
                <w:sz w:val="24"/>
                <w:szCs w:val="18"/>
              </w:rPr>
            </w:pPr>
            <w:r>
              <w:rPr>
                <w:rFonts w:hint="eastAsia" w:ascii="宋体" w:hAnsi="宋体" w:cs="宋体"/>
                <w:b/>
                <w:sz w:val="24"/>
                <w:szCs w:val="18"/>
              </w:rPr>
              <w:t>标识重要性</w:t>
            </w:r>
          </w:p>
        </w:tc>
        <w:tc>
          <w:tcPr>
            <w:tcW w:w="1365" w:type="dxa"/>
            <w:noWrap w:val="0"/>
            <w:vAlign w:val="center"/>
          </w:tcPr>
          <w:p w14:paraId="186A9210">
            <w:pPr>
              <w:spacing w:line="360" w:lineRule="auto"/>
              <w:jc w:val="center"/>
              <w:rPr>
                <w:rFonts w:ascii="宋体" w:hAnsi="宋体" w:cs="宋体"/>
                <w:b/>
                <w:sz w:val="24"/>
                <w:szCs w:val="18"/>
              </w:rPr>
            </w:pPr>
            <w:r>
              <w:rPr>
                <w:rFonts w:hint="eastAsia" w:ascii="宋体" w:hAnsi="宋体" w:cs="宋体"/>
                <w:b/>
                <w:sz w:val="24"/>
                <w:szCs w:val="18"/>
              </w:rPr>
              <w:t>标识符号</w:t>
            </w:r>
          </w:p>
        </w:tc>
        <w:tc>
          <w:tcPr>
            <w:tcW w:w="5692" w:type="dxa"/>
            <w:noWrap w:val="0"/>
            <w:vAlign w:val="center"/>
          </w:tcPr>
          <w:p w14:paraId="10C38F1F">
            <w:pPr>
              <w:spacing w:line="360" w:lineRule="auto"/>
              <w:jc w:val="center"/>
              <w:rPr>
                <w:rFonts w:ascii="宋体" w:hAnsi="宋体" w:cs="宋体"/>
                <w:b/>
                <w:sz w:val="24"/>
                <w:szCs w:val="18"/>
              </w:rPr>
            </w:pPr>
            <w:r>
              <w:rPr>
                <w:rFonts w:hint="eastAsia" w:ascii="宋体" w:hAnsi="宋体" w:cs="宋体"/>
                <w:b/>
                <w:sz w:val="24"/>
                <w:szCs w:val="18"/>
              </w:rPr>
              <w:t>代表意思</w:t>
            </w:r>
          </w:p>
        </w:tc>
      </w:tr>
      <w:tr w14:paraId="1A4781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 w:hRule="atLeast"/>
          <w:jc w:val="center"/>
        </w:trPr>
        <w:tc>
          <w:tcPr>
            <w:tcW w:w="1649" w:type="dxa"/>
            <w:noWrap w:val="0"/>
            <w:vAlign w:val="center"/>
          </w:tcPr>
          <w:p w14:paraId="251FA461">
            <w:pPr>
              <w:spacing w:line="360" w:lineRule="auto"/>
              <w:jc w:val="center"/>
              <w:rPr>
                <w:rFonts w:ascii="宋体" w:hAnsi="宋体" w:cs="宋体"/>
                <w:b/>
                <w:bCs/>
                <w:sz w:val="24"/>
                <w:szCs w:val="18"/>
              </w:rPr>
            </w:pPr>
            <w:r>
              <w:rPr>
                <w:rFonts w:hint="eastAsia" w:ascii="宋体" w:hAnsi="宋体" w:cs="宋体"/>
                <w:b/>
                <w:bCs/>
                <w:sz w:val="24"/>
                <w:szCs w:val="18"/>
              </w:rPr>
              <w:t>重点指标</w:t>
            </w:r>
          </w:p>
        </w:tc>
        <w:tc>
          <w:tcPr>
            <w:tcW w:w="1365" w:type="dxa"/>
            <w:noWrap w:val="0"/>
            <w:vAlign w:val="center"/>
          </w:tcPr>
          <w:p w14:paraId="64FA8F29">
            <w:pPr>
              <w:spacing w:line="360" w:lineRule="auto"/>
              <w:jc w:val="center"/>
              <w:rPr>
                <w:rFonts w:ascii="宋体" w:hAnsi="宋体" w:cs="宋体"/>
                <w:b/>
                <w:bCs/>
                <w:sz w:val="24"/>
                <w:szCs w:val="18"/>
              </w:rPr>
            </w:pPr>
            <w:r>
              <w:rPr>
                <w:rFonts w:hint="eastAsia" w:ascii="仿宋" w:hAnsi="仿宋" w:eastAsia="仿宋" w:cs="仿宋"/>
                <w:color w:val="000000"/>
                <w:szCs w:val="24"/>
              </w:rPr>
              <w:t>●</w:t>
            </w:r>
          </w:p>
        </w:tc>
        <w:tc>
          <w:tcPr>
            <w:tcW w:w="5692" w:type="dxa"/>
            <w:noWrap w:val="0"/>
            <w:vAlign w:val="center"/>
          </w:tcPr>
          <w:p w14:paraId="56D0228D">
            <w:pPr>
              <w:spacing w:line="360" w:lineRule="auto"/>
              <w:jc w:val="left"/>
              <w:rPr>
                <w:rFonts w:ascii="宋体" w:hAnsi="宋体" w:cs="宋体"/>
                <w:b/>
                <w:bCs/>
                <w:sz w:val="24"/>
              </w:rPr>
            </w:pPr>
            <w:r>
              <w:rPr>
                <w:rFonts w:ascii="Arial" w:hAnsi="Arial" w:cs="Arial"/>
                <w:b/>
                <w:bCs/>
                <w:sz w:val="24"/>
                <w:szCs w:val="24"/>
              </w:rPr>
              <w:t>作为</w:t>
            </w:r>
            <w:r>
              <w:rPr>
                <w:rFonts w:hint="eastAsia" w:ascii="Arial" w:hAnsi="Arial" w:cs="Arial"/>
                <w:b/>
                <w:bCs/>
                <w:sz w:val="24"/>
                <w:szCs w:val="24"/>
              </w:rPr>
              <w:t>实质性要求</w:t>
            </w:r>
            <w:r>
              <w:rPr>
                <w:rFonts w:ascii="Arial" w:hAnsi="Arial" w:cs="Arial"/>
                <w:b/>
                <w:bCs/>
                <w:sz w:val="24"/>
                <w:szCs w:val="24"/>
              </w:rPr>
              <w:t>，负偏离或未响应，将导致</w:t>
            </w:r>
            <w:r>
              <w:rPr>
                <w:rFonts w:hint="eastAsia" w:ascii="Arial" w:hAnsi="Arial" w:cs="Arial"/>
                <w:b/>
                <w:bCs/>
                <w:sz w:val="24"/>
                <w:szCs w:val="24"/>
              </w:rPr>
              <w:t>参选</w:t>
            </w:r>
            <w:r>
              <w:rPr>
                <w:rFonts w:ascii="Arial" w:hAnsi="Arial" w:cs="Arial"/>
                <w:b/>
                <w:bCs/>
                <w:sz w:val="24"/>
                <w:szCs w:val="24"/>
              </w:rPr>
              <w:t>无效</w:t>
            </w:r>
            <w:r>
              <w:rPr>
                <w:rFonts w:hint="eastAsia" w:ascii="Arial" w:hAnsi="Arial" w:cs="Arial"/>
                <w:b/>
                <w:bCs/>
                <w:sz w:val="24"/>
                <w:szCs w:val="24"/>
              </w:rPr>
              <w:t>。</w:t>
            </w:r>
          </w:p>
        </w:tc>
      </w:tr>
      <w:tr w14:paraId="5D58F3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 w:hRule="atLeast"/>
          <w:jc w:val="center"/>
        </w:trPr>
        <w:tc>
          <w:tcPr>
            <w:tcW w:w="1649" w:type="dxa"/>
            <w:noWrap w:val="0"/>
            <w:vAlign w:val="center"/>
          </w:tcPr>
          <w:p w14:paraId="3363E0FC">
            <w:pPr>
              <w:spacing w:line="360" w:lineRule="auto"/>
              <w:jc w:val="center"/>
              <w:rPr>
                <w:rFonts w:hint="eastAsia" w:ascii="宋体" w:hAnsi="宋体" w:cs="宋体"/>
                <w:b/>
                <w:bCs/>
                <w:sz w:val="24"/>
                <w:szCs w:val="18"/>
              </w:rPr>
            </w:pPr>
            <w:r>
              <w:rPr>
                <w:rFonts w:hint="eastAsia" w:ascii="宋体" w:hAnsi="宋体" w:cs="宋体"/>
                <w:b/>
                <w:bCs/>
                <w:sz w:val="24"/>
                <w:szCs w:val="18"/>
              </w:rPr>
              <w:t>核心指标项</w:t>
            </w:r>
          </w:p>
        </w:tc>
        <w:tc>
          <w:tcPr>
            <w:tcW w:w="1365" w:type="dxa"/>
            <w:noWrap w:val="0"/>
            <w:vAlign w:val="center"/>
          </w:tcPr>
          <w:p w14:paraId="2E3F431F">
            <w:pPr>
              <w:spacing w:line="360" w:lineRule="auto"/>
              <w:jc w:val="center"/>
              <w:rPr>
                <w:rFonts w:hint="eastAsia" w:ascii="宋体" w:hAnsi="宋体"/>
                <w:bCs/>
                <w:sz w:val="24"/>
                <w:szCs w:val="18"/>
              </w:rPr>
            </w:pPr>
            <w:r>
              <w:rPr>
                <w:rFonts w:hint="eastAsia" w:ascii="宋体" w:hAnsi="宋体"/>
                <w:bCs/>
                <w:sz w:val="24"/>
                <w:szCs w:val="18"/>
              </w:rPr>
              <w:t>★</w:t>
            </w:r>
          </w:p>
        </w:tc>
        <w:tc>
          <w:tcPr>
            <w:tcW w:w="5692" w:type="dxa"/>
            <w:noWrap w:val="0"/>
            <w:vAlign w:val="center"/>
          </w:tcPr>
          <w:p w14:paraId="0CC4C5EE">
            <w:pPr>
              <w:spacing w:line="360" w:lineRule="auto"/>
              <w:jc w:val="left"/>
              <w:rPr>
                <w:rFonts w:hint="eastAsia" w:ascii="宋体" w:hAnsi="宋体" w:cs="宋体"/>
                <w:b/>
                <w:bCs/>
                <w:sz w:val="24"/>
                <w:szCs w:val="24"/>
              </w:rPr>
            </w:pPr>
            <w:r>
              <w:rPr>
                <w:rFonts w:hint="eastAsia" w:ascii="宋体" w:hAnsi="宋体" w:cs="宋体"/>
                <w:b/>
                <w:bCs/>
                <w:sz w:val="24"/>
                <w:szCs w:val="24"/>
              </w:rPr>
              <w:t>作为评分项，详见“第四章 评标方法和标准”中评分细则。</w:t>
            </w:r>
          </w:p>
        </w:tc>
      </w:tr>
      <w:tr w14:paraId="55F1D1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 w:hRule="atLeast"/>
          <w:jc w:val="center"/>
        </w:trPr>
        <w:tc>
          <w:tcPr>
            <w:tcW w:w="1649" w:type="dxa"/>
            <w:noWrap w:val="0"/>
            <w:vAlign w:val="center"/>
          </w:tcPr>
          <w:p w14:paraId="4ADFB234">
            <w:pPr>
              <w:spacing w:line="360" w:lineRule="auto"/>
              <w:jc w:val="center"/>
              <w:rPr>
                <w:rFonts w:hint="eastAsia" w:ascii="宋体" w:hAnsi="宋体" w:cs="宋体"/>
                <w:b/>
                <w:bCs/>
                <w:sz w:val="24"/>
                <w:szCs w:val="18"/>
              </w:rPr>
            </w:pPr>
            <w:r>
              <w:rPr>
                <w:rFonts w:hint="eastAsia" w:ascii="宋体" w:hAnsi="宋体" w:cs="宋体"/>
                <w:b/>
                <w:bCs/>
                <w:sz w:val="24"/>
                <w:szCs w:val="18"/>
              </w:rPr>
              <w:t>无标识项</w:t>
            </w:r>
          </w:p>
        </w:tc>
        <w:tc>
          <w:tcPr>
            <w:tcW w:w="1365" w:type="dxa"/>
            <w:noWrap w:val="0"/>
            <w:vAlign w:val="center"/>
          </w:tcPr>
          <w:p w14:paraId="24D0CEAC">
            <w:pPr>
              <w:spacing w:line="360" w:lineRule="auto"/>
              <w:jc w:val="center"/>
              <w:rPr>
                <w:rFonts w:hint="eastAsia" w:ascii="宋体" w:hAnsi="宋体"/>
                <w:bCs/>
                <w:sz w:val="24"/>
                <w:szCs w:val="18"/>
              </w:rPr>
            </w:pPr>
          </w:p>
        </w:tc>
        <w:tc>
          <w:tcPr>
            <w:tcW w:w="5692" w:type="dxa"/>
            <w:noWrap w:val="0"/>
            <w:vAlign w:val="center"/>
          </w:tcPr>
          <w:p w14:paraId="1C6202C0">
            <w:pPr>
              <w:spacing w:line="360" w:lineRule="auto"/>
              <w:jc w:val="left"/>
              <w:rPr>
                <w:rFonts w:hint="eastAsia" w:ascii="宋体" w:hAnsi="宋体" w:cs="宋体"/>
                <w:b/>
                <w:bCs/>
                <w:sz w:val="24"/>
                <w:szCs w:val="24"/>
              </w:rPr>
            </w:pPr>
            <w:r>
              <w:rPr>
                <w:rFonts w:ascii="Arial" w:hAnsi="Arial" w:cs="Arial"/>
                <w:b/>
                <w:bCs/>
                <w:sz w:val="24"/>
                <w:szCs w:val="24"/>
              </w:rPr>
              <w:t>作为基础指标，</w:t>
            </w:r>
            <w:r>
              <w:rPr>
                <w:rFonts w:hint="eastAsia" w:ascii="宋体" w:hAnsi="宋体" w:cs="宋体"/>
                <w:b/>
                <w:bCs/>
                <w:color w:val="000000"/>
                <w:sz w:val="24"/>
                <w:szCs w:val="24"/>
              </w:rPr>
              <w:t>超过</w:t>
            </w:r>
            <w:r>
              <w:rPr>
                <w:rFonts w:ascii="宋体" w:hAnsi="宋体" w:cs="宋体"/>
                <w:b/>
                <w:bCs/>
                <w:color w:val="000000"/>
                <w:sz w:val="24"/>
                <w:szCs w:val="24"/>
              </w:rPr>
              <w:t>3</w:t>
            </w:r>
            <w:r>
              <w:rPr>
                <w:rFonts w:hint="eastAsia" w:ascii="宋体" w:hAnsi="宋体" w:cs="宋体"/>
                <w:b/>
                <w:bCs/>
                <w:color w:val="000000"/>
                <w:sz w:val="24"/>
                <w:szCs w:val="24"/>
              </w:rPr>
              <w:t>（含</w:t>
            </w:r>
            <w:r>
              <w:rPr>
                <w:rFonts w:ascii="宋体" w:hAnsi="宋体" w:cs="宋体"/>
                <w:b/>
                <w:bCs/>
                <w:color w:val="000000"/>
                <w:sz w:val="24"/>
                <w:szCs w:val="24"/>
              </w:rPr>
              <w:t>3</w:t>
            </w:r>
            <w:r>
              <w:rPr>
                <w:rFonts w:hint="eastAsia" w:ascii="宋体" w:hAnsi="宋体" w:cs="宋体"/>
                <w:b/>
                <w:bCs/>
                <w:color w:val="000000"/>
                <w:sz w:val="24"/>
                <w:szCs w:val="24"/>
              </w:rPr>
              <w:t>）条及以上负</w:t>
            </w:r>
            <w:r>
              <w:rPr>
                <w:rFonts w:hint="eastAsia" w:ascii="宋体" w:hAnsi="宋体" w:cs="宋体"/>
                <w:b/>
                <w:bCs/>
                <w:sz w:val="24"/>
                <w:szCs w:val="24"/>
              </w:rPr>
              <w:t>偏离或未响应，将导致参选无效。</w:t>
            </w:r>
          </w:p>
        </w:tc>
      </w:tr>
      <w:tr w14:paraId="248D4C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06" w:type="dxa"/>
            <w:gridSpan w:val="3"/>
            <w:noWrap w:val="0"/>
            <w:vAlign w:val="center"/>
          </w:tcPr>
          <w:p w14:paraId="1B9A0837">
            <w:pPr>
              <w:spacing w:line="360" w:lineRule="auto"/>
              <w:rPr>
                <w:rFonts w:hint="eastAsia" w:ascii="宋体" w:hAnsi="宋体" w:cs="宋体"/>
                <w:b/>
                <w:color w:val="000000"/>
                <w:sz w:val="24"/>
              </w:rPr>
            </w:pPr>
            <w:r>
              <w:rPr>
                <w:rFonts w:hint="eastAsia" w:ascii="宋体" w:hAnsi="宋体" w:cs="宋体"/>
                <w:b/>
                <w:sz w:val="24"/>
              </w:rPr>
              <w:t>注</w:t>
            </w:r>
            <w:r>
              <w:rPr>
                <w:rFonts w:hint="eastAsia" w:ascii="宋体" w:hAnsi="宋体" w:cs="宋体"/>
                <w:b/>
                <w:color w:val="000000"/>
                <w:sz w:val="24"/>
              </w:rPr>
              <w:t>：</w:t>
            </w:r>
          </w:p>
          <w:p w14:paraId="37E41CB9">
            <w:pPr>
              <w:spacing w:line="360" w:lineRule="auto"/>
              <w:jc w:val="left"/>
              <w:rPr>
                <w:rFonts w:hint="eastAsia" w:ascii="宋体" w:hAnsi="宋体" w:cs="宋体"/>
                <w:b/>
                <w:bCs/>
                <w:color w:val="000000"/>
                <w:sz w:val="24"/>
                <w:szCs w:val="24"/>
              </w:rPr>
            </w:pPr>
            <w:r>
              <w:rPr>
                <w:rFonts w:hint="eastAsia" w:ascii="宋体" w:hAnsi="宋体" w:cs="宋体"/>
                <w:b/>
                <w:bCs/>
                <w:color w:val="000000"/>
                <w:sz w:val="24"/>
                <w:szCs w:val="24"/>
              </w:rPr>
              <w:t>（1）针对下表中标注★的指标项须在参选文件中提供证明材料予以佐证。</w:t>
            </w:r>
          </w:p>
          <w:p w14:paraId="41031B2E">
            <w:pPr>
              <w:spacing w:line="360" w:lineRule="auto"/>
              <w:jc w:val="left"/>
              <w:rPr>
                <w:rFonts w:hint="eastAsia" w:ascii="宋体" w:hAnsi="宋体" w:cs="宋体"/>
                <w:b/>
                <w:color w:val="000000"/>
                <w:sz w:val="24"/>
                <w:szCs w:val="24"/>
                <w:lang w:val="zh-CN"/>
              </w:rPr>
            </w:pPr>
            <w:r>
              <w:rPr>
                <w:rFonts w:hint="eastAsia" w:ascii="宋体" w:hAnsi="宋体" w:cs="宋体"/>
                <w:b/>
                <w:color w:val="000000"/>
                <w:sz w:val="24"/>
                <w:szCs w:val="24"/>
              </w:rPr>
              <w:t>1.采购需求中</w:t>
            </w:r>
            <w:r>
              <w:rPr>
                <w:rFonts w:hint="eastAsia" w:ascii="宋体" w:hAnsi="宋体" w:cs="宋体"/>
                <w:b/>
                <w:color w:val="000000"/>
                <w:sz w:val="24"/>
                <w:szCs w:val="24"/>
                <w:lang w:val="zh-CN"/>
              </w:rPr>
              <w:t>明确要求提供</w:t>
            </w:r>
            <w:r>
              <w:rPr>
                <w:rFonts w:hint="eastAsia" w:ascii="宋体" w:hAnsi="宋体" w:cs="宋体"/>
                <w:b/>
                <w:color w:val="000000"/>
                <w:sz w:val="24"/>
                <w:szCs w:val="24"/>
              </w:rPr>
              <w:t>相关</w:t>
            </w:r>
            <w:r>
              <w:rPr>
                <w:rFonts w:hint="eastAsia" w:ascii="宋体" w:hAnsi="宋体" w:cs="宋体"/>
                <w:b/>
                <w:color w:val="000000"/>
                <w:sz w:val="24"/>
                <w:szCs w:val="24"/>
                <w:lang w:val="zh-CN"/>
              </w:rPr>
              <w:t>材料</w:t>
            </w:r>
            <w:r>
              <w:rPr>
                <w:rFonts w:hint="eastAsia" w:ascii="宋体" w:hAnsi="宋体" w:cs="宋体"/>
                <w:b/>
                <w:color w:val="000000"/>
                <w:sz w:val="24"/>
                <w:szCs w:val="24"/>
              </w:rPr>
              <w:t>的</w:t>
            </w:r>
            <w:r>
              <w:rPr>
                <w:rFonts w:hint="eastAsia" w:ascii="宋体" w:hAnsi="宋体" w:cs="宋体"/>
                <w:b/>
                <w:color w:val="000000"/>
                <w:sz w:val="24"/>
                <w:szCs w:val="24"/>
                <w:lang w:val="zh-CN"/>
              </w:rPr>
              <w:t>按采购需求要求提供</w:t>
            </w:r>
            <w:r>
              <w:rPr>
                <w:rFonts w:hint="eastAsia" w:ascii="宋体" w:hAnsi="宋体" w:cs="宋体"/>
                <w:b/>
                <w:color w:val="000000"/>
                <w:sz w:val="24"/>
                <w:szCs w:val="24"/>
              </w:rPr>
              <w:t>对应证明材料</w:t>
            </w:r>
            <w:r>
              <w:rPr>
                <w:rFonts w:hint="eastAsia" w:ascii="宋体" w:hAnsi="宋体" w:cs="宋体"/>
                <w:b/>
                <w:color w:val="000000"/>
                <w:sz w:val="24"/>
                <w:szCs w:val="24"/>
                <w:lang w:val="zh-CN"/>
              </w:rPr>
              <w:t>；</w:t>
            </w:r>
          </w:p>
          <w:p w14:paraId="42709A27">
            <w:pPr>
              <w:spacing w:line="360" w:lineRule="auto"/>
              <w:rPr>
                <w:rFonts w:hint="eastAsia" w:ascii="宋体" w:hAnsi="宋体" w:cs="宋体"/>
                <w:b/>
                <w:bCs/>
                <w:color w:val="000000"/>
                <w:sz w:val="24"/>
                <w:szCs w:val="24"/>
              </w:rPr>
            </w:pPr>
            <w:r>
              <w:rPr>
                <w:rFonts w:hint="eastAsia" w:ascii="宋体" w:hAnsi="宋体" w:cs="宋体"/>
                <w:b/>
                <w:color w:val="000000"/>
                <w:sz w:val="24"/>
                <w:szCs w:val="24"/>
              </w:rPr>
              <w:t>2.采购需求中未明确要求提供证明料的，参选人须自行提供</w:t>
            </w:r>
            <w:r>
              <w:rPr>
                <w:rFonts w:hint="eastAsia" w:ascii="宋体" w:hAnsi="宋体" w:cs="宋体"/>
                <w:b/>
                <w:bCs/>
                <w:color w:val="000000"/>
                <w:sz w:val="24"/>
                <w:szCs w:val="24"/>
              </w:rPr>
              <w:t>证明材料，包括产品技术白皮书、产品技术说明书、产品彩页（产品功能截图）、厂家（制造商）官网截图、第三方机构出具的带有CMA或</w:t>
            </w:r>
            <w:r>
              <w:rPr>
                <w:rFonts w:hint="eastAsia" w:ascii="宋体" w:hAnsi="宋体" w:cs="宋体"/>
                <w:b/>
                <w:bCs/>
                <w:color w:val="000000"/>
                <w:kern w:val="0"/>
                <w:sz w:val="24"/>
                <w:szCs w:val="24"/>
                <w:lang w:bidi="ar"/>
              </w:rPr>
              <w:t>CNAS</w:t>
            </w:r>
            <w:r>
              <w:rPr>
                <w:rFonts w:hint="eastAsia" w:ascii="宋体" w:hAnsi="宋体" w:cs="宋体"/>
                <w:b/>
                <w:bCs/>
                <w:color w:val="000000"/>
                <w:sz w:val="24"/>
                <w:szCs w:val="24"/>
              </w:rPr>
              <w:t>标识的检测报告，提供其中之一即可。未按以上要求提供证明材料的视为负偏离或未响应（为便于评审，建议参选人对证明材料中的关键参数进行标注）。</w:t>
            </w:r>
          </w:p>
          <w:p w14:paraId="22E3F561">
            <w:pPr>
              <w:spacing w:line="360" w:lineRule="auto"/>
              <w:rPr>
                <w:rFonts w:ascii="宋体" w:hAnsi="宋体" w:cs="宋体"/>
                <w:bCs/>
                <w:sz w:val="24"/>
              </w:rPr>
            </w:pPr>
            <w:r>
              <w:rPr>
                <w:rFonts w:hint="eastAsia" w:ascii="宋体" w:hAnsi="宋体" w:cs="宋体"/>
                <w:b/>
                <w:sz w:val="24"/>
              </w:rPr>
              <w:t>（2）如某项标识中包含多条技术参数或要求，则该项标识所含内容均需满足或优于比选文件要求，否则不予认可。</w:t>
            </w:r>
          </w:p>
        </w:tc>
      </w:tr>
    </w:tbl>
    <w:p w14:paraId="1F0DE5CD">
      <w:pPr>
        <w:spacing w:line="360" w:lineRule="auto"/>
        <w:ind w:firstLine="437"/>
        <w:rPr>
          <w:rFonts w:hint="eastAsia" w:ascii="宋体" w:hAnsi="宋体" w:cs="宋体"/>
          <w:b/>
          <w:bCs/>
          <w:color w:val="000000"/>
          <w:sz w:val="24"/>
          <w:szCs w:val="24"/>
        </w:rPr>
      </w:pPr>
      <w:r>
        <w:rPr>
          <w:rFonts w:hint="eastAsia" w:ascii="宋体" w:hAnsi="宋体" w:cs="宋体"/>
          <w:b/>
          <w:bCs/>
          <w:color w:val="000000"/>
          <w:sz w:val="24"/>
          <w:szCs w:val="24"/>
        </w:rPr>
        <w:t>（二）货物需求表</w:t>
      </w:r>
    </w:p>
    <w:tbl>
      <w:tblPr>
        <w:tblStyle w:val="2"/>
        <w:tblW w:w="5052" w:type="pct"/>
        <w:jc w:val="center"/>
        <w:tblLayout w:type="fixed"/>
        <w:tblCellMar>
          <w:top w:w="0" w:type="dxa"/>
          <w:left w:w="108" w:type="dxa"/>
          <w:bottom w:w="0" w:type="dxa"/>
          <w:right w:w="108" w:type="dxa"/>
        </w:tblCellMar>
      </w:tblPr>
      <w:tblGrid>
        <w:gridCol w:w="492"/>
        <w:gridCol w:w="994"/>
        <w:gridCol w:w="5669"/>
        <w:gridCol w:w="727"/>
        <w:gridCol w:w="729"/>
      </w:tblGrid>
      <w:tr w14:paraId="295C0B31">
        <w:tblPrEx>
          <w:tblCellMar>
            <w:top w:w="0" w:type="dxa"/>
            <w:left w:w="108" w:type="dxa"/>
            <w:bottom w:w="0" w:type="dxa"/>
            <w:right w:w="108" w:type="dxa"/>
          </w:tblCellMar>
        </w:tblPrEx>
        <w:trPr>
          <w:trHeight w:val="439" w:hRule="atLeast"/>
          <w:jc w:val="center"/>
        </w:trPr>
        <w:tc>
          <w:tcPr>
            <w:tcW w:w="285" w:type="pct"/>
            <w:tcBorders>
              <w:top w:val="single" w:color="000000" w:sz="4" w:space="0"/>
              <w:left w:val="single" w:color="000000" w:sz="4" w:space="0"/>
              <w:bottom w:val="single" w:color="000000" w:sz="4" w:space="0"/>
              <w:right w:val="single" w:color="000000" w:sz="4" w:space="0"/>
            </w:tcBorders>
            <w:noWrap w:val="0"/>
            <w:vAlign w:val="center"/>
          </w:tcPr>
          <w:p w14:paraId="0CAC442B">
            <w:pPr>
              <w:widowControl/>
              <w:snapToGrid w:val="0"/>
              <w:jc w:val="center"/>
              <w:textAlignment w:val="center"/>
              <w:rPr>
                <w:rFonts w:hint="eastAsia" w:ascii="宋体" w:hAnsi="宋体" w:cs="宋体"/>
                <w:b/>
                <w:bCs/>
                <w:color w:val="000000"/>
                <w:sz w:val="24"/>
                <w:szCs w:val="24"/>
              </w:rPr>
            </w:pPr>
            <w:r>
              <w:rPr>
                <w:rFonts w:hint="eastAsia" w:ascii="宋体" w:hAnsi="宋体" w:cs="宋体"/>
                <w:b/>
                <w:bCs/>
                <w:color w:val="000000"/>
                <w:kern w:val="0"/>
                <w:sz w:val="24"/>
                <w:szCs w:val="24"/>
                <w:lang w:bidi="ar"/>
              </w:rPr>
              <w:t>序号</w:t>
            </w:r>
          </w:p>
        </w:tc>
        <w:tc>
          <w:tcPr>
            <w:tcW w:w="577" w:type="pct"/>
            <w:tcBorders>
              <w:top w:val="single" w:color="000000" w:sz="4" w:space="0"/>
              <w:left w:val="single" w:color="000000" w:sz="4" w:space="0"/>
              <w:bottom w:val="single" w:color="000000" w:sz="4" w:space="0"/>
              <w:right w:val="single" w:color="000000" w:sz="4" w:space="0"/>
            </w:tcBorders>
            <w:noWrap w:val="0"/>
            <w:vAlign w:val="center"/>
          </w:tcPr>
          <w:p w14:paraId="440B29E2">
            <w:pPr>
              <w:widowControl/>
              <w:snapToGrid w:val="0"/>
              <w:jc w:val="center"/>
              <w:textAlignment w:val="center"/>
              <w:rPr>
                <w:rFonts w:hint="eastAsia" w:ascii="宋体" w:hAnsi="宋体" w:cs="宋体"/>
                <w:b/>
                <w:bCs/>
                <w:color w:val="000000"/>
                <w:sz w:val="24"/>
                <w:szCs w:val="24"/>
              </w:rPr>
            </w:pPr>
            <w:r>
              <w:rPr>
                <w:rFonts w:hint="eastAsia" w:ascii="宋体" w:hAnsi="宋体" w:cs="宋体"/>
                <w:b/>
                <w:bCs/>
                <w:color w:val="000000"/>
                <w:kern w:val="0"/>
                <w:sz w:val="24"/>
                <w:szCs w:val="24"/>
                <w:lang w:bidi="ar"/>
              </w:rPr>
              <w:t>名称</w:t>
            </w:r>
          </w:p>
        </w:tc>
        <w:tc>
          <w:tcPr>
            <w:tcW w:w="3290" w:type="pct"/>
            <w:tcBorders>
              <w:top w:val="single" w:color="000000" w:sz="4" w:space="0"/>
              <w:left w:val="single" w:color="000000" w:sz="4" w:space="0"/>
              <w:bottom w:val="single" w:color="000000" w:sz="4" w:space="0"/>
              <w:right w:val="single" w:color="000000" w:sz="4" w:space="0"/>
            </w:tcBorders>
            <w:noWrap w:val="0"/>
            <w:vAlign w:val="center"/>
          </w:tcPr>
          <w:p w14:paraId="4AD90351">
            <w:pPr>
              <w:widowControl/>
              <w:snapToGrid w:val="0"/>
              <w:jc w:val="center"/>
              <w:textAlignment w:val="center"/>
              <w:rPr>
                <w:rFonts w:hint="eastAsia" w:ascii="宋体" w:hAnsi="宋体" w:cs="宋体"/>
                <w:b/>
                <w:bCs/>
                <w:color w:val="000000"/>
                <w:sz w:val="24"/>
                <w:szCs w:val="24"/>
              </w:rPr>
            </w:pPr>
            <w:r>
              <w:rPr>
                <w:rFonts w:hint="eastAsia" w:ascii="宋体" w:hAnsi="宋体" w:cs="宋体"/>
                <w:b/>
                <w:bCs/>
                <w:color w:val="000000"/>
                <w:kern w:val="0"/>
                <w:sz w:val="24"/>
                <w:szCs w:val="24"/>
                <w:lang w:bidi="ar"/>
              </w:rPr>
              <w:t>参数</w:t>
            </w:r>
          </w:p>
        </w:tc>
        <w:tc>
          <w:tcPr>
            <w:tcW w:w="422" w:type="pct"/>
            <w:tcBorders>
              <w:top w:val="single" w:color="000000" w:sz="4" w:space="0"/>
              <w:left w:val="single" w:color="000000" w:sz="4" w:space="0"/>
              <w:bottom w:val="single" w:color="000000" w:sz="4" w:space="0"/>
              <w:right w:val="single" w:color="000000" w:sz="4" w:space="0"/>
            </w:tcBorders>
            <w:noWrap w:val="0"/>
            <w:vAlign w:val="center"/>
          </w:tcPr>
          <w:p w14:paraId="6E205D6C">
            <w:pPr>
              <w:widowControl/>
              <w:snapToGrid w:val="0"/>
              <w:jc w:val="center"/>
              <w:textAlignment w:val="center"/>
              <w:rPr>
                <w:rFonts w:hint="eastAsia" w:ascii="宋体" w:hAnsi="宋体" w:cs="宋体"/>
                <w:b/>
                <w:bCs/>
                <w:color w:val="000000"/>
                <w:sz w:val="24"/>
                <w:szCs w:val="24"/>
              </w:rPr>
            </w:pPr>
            <w:r>
              <w:rPr>
                <w:rFonts w:hint="eastAsia" w:ascii="宋体" w:hAnsi="宋体" w:cs="宋体"/>
                <w:b/>
                <w:bCs/>
                <w:color w:val="000000"/>
                <w:kern w:val="0"/>
                <w:sz w:val="24"/>
                <w:szCs w:val="24"/>
                <w:lang w:bidi="ar"/>
              </w:rPr>
              <w:t>数量</w:t>
            </w:r>
          </w:p>
        </w:tc>
        <w:tc>
          <w:tcPr>
            <w:tcW w:w="423" w:type="pct"/>
            <w:tcBorders>
              <w:top w:val="single" w:color="000000" w:sz="4" w:space="0"/>
              <w:left w:val="single" w:color="000000" w:sz="4" w:space="0"/>
              <w:bottom w:val="single" w:color="000000" w:sz="4" w:space="0"/>
              <w:right w:val="single" w:color="000000" w:sz="4" w:space="0"/>
            </w:tcBorders>
            <w:noWrap w:val="0"/>
            <w:vAlign w:val="center"/>
          </w:tcPr>
          <w:p w14:paraId="76F95E4A">
            <w:pPr>
              <w:widowControl/>
              <w:snapToGrid w:val="0"/>
              <w:jc w:val="center"/>
              <w:textAlignment w:val="center"/>
              <w:rPr>
                <w:rFonts w:hint="eastAsia" w:ascii="宋体" w:hAnsi="宋体" w:cs="宋体"/>
                <w:b/>
                <w:bCs/>
                <w:color w:val="000000"/>
                <w:sz w:val="24"/>
                <w:szCs w:val="24"/>
              </w:rPr>
            </w:pPr>
            <w:r>
              <w:rPr>
                <w:rFonts w:hint="eastAsia" w:ascii="宋体" w:hAnsi="宋体" w:cs="宋体"/>
                <w:b/>
                <w:bCs/>
                <w:color w:val="000000"/>
                <w:kern w:val="0"/>
                <w:sz w:val="24"/>
                <w:szCs w:val="24"/>
                <w:lang w:bidi="ar"/>
              </w:rPr>
              <w:t>单位</w:t>
            </w:r>
          </w:p>
        </w:tc>
      </w:tr>
      <w:tr w14:paraId="79DAEFCF">
        <w:tblPrEx>
          <w:tblCellMar>
            <w:top w:w="0" w:type="dxa"/>
            <w:left w:w="108" w:type="dxa"/>
            <w:bottom w:w="0" w:type="dxa"/>
            <w:right w:w="108" w:type="dxa"/>
          </w:tblCellMar>
        </w:tblPrEx>
        <w:trPr>
          <w:trHeight w:val="570" w:hRule="atLeast"/>
          <w:jc w:val="center"/>
        </w:trPr>
        <w:tc>
          <w:tcPr>
            <w:tcW w:w="285" w:type="pct"/>
            <w:tcBorders>
              <w:top w:val="single" w:color="000000" w:sz="4" w:space="0"/>
              <w:left w:val="single" w:color="000000" w:sz="4" w:space="0"/>
              <w:bottom w:val="single" w:color="000000" w:sz="4" w:space="0"/>
              <w:right w:val="single" w:color="000000" w:sz="4" w:space="0"/>
            </w:tcBorders>
            <w:noWrap w:val="0"/>
            <w:vAlign w:val="center"/>
          </w:tcPr>
          <w:p w14:paraId="7757BAA9">
            <w:pPr>
              <w:widowControl/>
              <w:snapToGrid w:val="0"/>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1</w:t>
            </w:r>
          </w:p>
        </w:tc>
        <w:tc>
          <w:tcPr>
            <w:tcW w:w="577" w:type="pct"/>
            <w:tcBorders>
              <w:top w:val="single" w:color="000000" w:sz="4" w:space="0"/>
              <w:left w:val="single" w:color="000000" w:sz="4" w:space="0"/>
              <w:bottom w:val="single" w:color="000000" w:sz="4" w:space="0"/>
              <w:right w:val="single" w:color="000000" w:sz="4" w:space="0"/>
            </w:tcBorders>
            <w:noWrap w:val="0"/>
            <w:vAlign w:val="center"/>
          </w:tcPr>
          <w:p w14:paraId="1AAC446A">
            <w:pPr>
              <w:widowControl/>
              <w:snapToGrid w:val="0"/>
              <w:jc w:val="center"/>
              <w:textAlignment w:val="center"/>
              <w:rPr>
                <w:rFonts w:hint="eastAsia" w:ascii="宋体" w:hAnsi="宋体" w:cs="宋体"/>
                <w:color w:val="auto"/>
                <w:sz w:val="24"/>
                <w:szCs w:val="24"/>
              </w:rPr>
            </w:pPr>
            <w:r>
              <w:rPr>
                <w:rFonts w:hint="eastAsia" w:ascii="宋体" w:hAnsi="宋体" w:cs="宋体"/>
                <w:color w:val="auto"/>
                <w:sz w:val="24"/>
                <w:szCs w:val="24"/>
              </w:rPr>
              <w:t>门禁管控平台</w:t>
            </w:r>
          </w:p>
        </w:tc>
        <w:tc>
          <w:tcPr>
            <w:tcW w:w="3290" w:type="pct"/>
            <w:tcBorders>
              <w:top w:val="single" w:color="000000" w:sz="4" w:space="0"/>
              <w:left w:val="single" w:color="000000" w:sz="4" w:space="0"/>
              <w:bottom w:val="single" w:color="000000" w:sz="4" w:space="0"/>
              <w:right w:val="single" w:color="000000" w:sz="4" w:space="0"/>
            </w:tcBorders>
            <w:noWrap w:val="0"/>
            <w:vAlign w:val="center"/>
          </w:tcPr>
          <w:p w14:paraId="5AD70E08">
            <w:pPr>
              <w:widowControl/>
              <w:snapToGrid w:val="0"/>
              <w:textAlignment w:val="center"/>
              <w:rPr>
                <w:rFonts w:hint="eastAsia" w:ascii="宋体" w:hAnsi="宋体" w:cs="宋体"/>
                <w:color w:val="auto"/>
                <w:kern w:val="0"/>
                <w:sz w:val="24"/>
                <w:szCs w:val="24"/>
                <w:lang w:bidi="ar"/>
              </w:rPr>
            </w:pPr>
            <w:r>
              <w:rPr>
                <w:rFonts w:hint="eastAsia" w:ascii="宋体" w:hAnsi="宋体" w:cs="宋体"/>
                <w:color w:val="auto"/>
                <w:kern w:val="0"/>
                <w:sz w:val="24"/>
                <w:szCs w:val="24"/>
                <w:lang w:bidi="ar"/>
              </w:rPr>
              <w:t>1.需接入本项目所有人脸门禁一体机、门禁控制器。</w:t>
            </w:r>
          </w:p>
          <w:p w14:paraId="2CB69CBB">
            <w:pPr>
              <w:widowControl/>
              <w:snapToGrid w:val="0"/>
              <w:textAlignment w:val="center"/>
              <w:rPr>
                <w:rFonts w:hint="eastAsia" w:ascii="宋体" w:hAnsi="宋体" w:cs="宋体"/>
                <w:b/>
                <w:color w:val="auto"/>
                <w:kern w:val="0"/>
                <w:sz w:val="24"/>
                <w:szCs w:val="24"/>
                <w:lang w:bidi="ar"/>
              </w:rPr>
            </w:pPr>
            <w:r>
              <w:rPr>
                <w:rFonts w:hint="eastAsia" w:ascii="宋体" w:hAnsi="宋体" w:cs="宋体"/>
                <w:color w:val="auto"/>
                <w:kern w:val="0"/>
                <w:sz w:val="24"/>
                <w:szCs w:val="24"/>
                <w:lang w:bidi="ar"/>
              </w:rPr>
              <w:t>2.支持AD域，支持部署组件（服务）到服务器集群，并进行集群管理</w:t>
            </w:r>
            <w:r>
              <w:rPr>
                <w:rFonts w:hint="eastAsia" w:ascii="宋体" w:hAnsi="宋体" w:cs="宋体"/>
                <w:b/>
                <w:color w:val="auto"/>
                <w:kern w:val="0"/>
                <w:sz w:val="24"/>
                <w:szCs w:val="24"/>
                <w:lang w:bidi="ar"/>
              </w:rPr>
              <w:t>。</w:t>
            </w:r>
          </w:p>
          <w:p w14:paraId="6FDF4E87">
            <w:pPr>
              <w:widowControl/>
              <w:snapToGrid w:val="0"/>
              <w:textAlignment w:val="center"/>
              <w:rPr>
                <w:rFonts w:hint="eastAsia" w:ascii="宋体" w:hAnsi="宋体" w:cs="宋体"/>
                <w:color w:val="auto"/>
                <w:kern w:val="0"/>
                <w:sz w:val="24"/>
                <w:szCs w:val="24"/>
                <w:lang w:bidi="ar"/>
              </w:rPr>
            </w:pPr>
            <w:r>
              <w:rPr>
                <w:rFonts w:hint="eastAsia" w:ascii="宋体" w:hAnsi="宋体" w:cs="宋体"/>
                <w:color w:val="auto"/>
                <w:kern w:val="0"/>
                <w:sz w:val="24"/>
                <w:szCs w:val="24"/>
                <w:lang w:bidi="ar"/>
              </w:rPr>
              <w:t>3.支持根据用户使用习惯自定义配置快捷功能入口，支持首页投放大屏展示，支持最近7天每日的用户活跃数统计；支持多色彩（红、橙、黄）展示运行告警状态，支持告警统计、概览、处理，支持告警记录查看、查询，支持告警单条、批量处理；支持系统最近7天每日告警数统计，支持评分量化系统监控指数，显示系统运行状态。</w:t>
            </w:r>
          </w:p>
          <w:p w14:paraId="337F5439">
            <w:pPr>
              <w:widowControl/>
              <w:snapToGrid w:val="0"/>
              <w:textAlignment w:val="center"/>
              <w:rPr>
                <w:rFonts w:hint="eastAsia" w:ascii="宋体" w:hAnsi="宋体" w:cs="宋体"/>
                <w:color w:val="auto"/>
                <w:kern w:val="0"/>
                <w:sz w:val="24"/>
                <w:szCs w:val="24"/>
                <w:lang w:bidi="ar"/>
              </w:rPr>
            </w:pPr>
            <w:r>
              <w:rPr>
                <w:rFonts w:hint="eastAsia" w:ascii="宋体" w:hAnsi="宋体" w:cs="宋体"/>
                <w:color w:val="auto"/>
                <w:kern w:val="0"/>
                <w:sz w:val="24"/>
                <w:szCs w:val="24"/>
                <w:lang w:bidi="ar"/>
              </w:rPr>
              <w:t>4.支持视频画面叠加水印，包括视频预览、录像回放、即时回放、录像剪辑、手动录像和录像下载时叠加；支持设备录像回传至中心存储，可以支持计划回传和手动回传两种模式。</w:t>
            </w:r>
          </w:p>
          <w:p w14:paraId="1C2F6E39">
            <w:pPr>
              <w:widowControl/>
              <w:snapToGrid w:val="0"/>
              <w:textAlignment w:val="center"/>
              <w:rPr>
                <w:rFonts w:hint="eastAsia" w:ascii="宋体" w:hAnsi="宋体" w:cs="宋体"/>
                <w:color w:val="auto"/>
                <w:kern w:val="0"/>
                <w:sz w:val="24"/>
                <w:szCs w:val="24"/>
                <w:lang w:bidi="ar"/>
              </w:rPr>
            </w:pPr>
            <w:r>
              <w:rPr>
                <w:rFonts w:hint="eastAsia" w:ascii="宋体" w:hAnsi="宋体" w:cs="宋体"/>
                <w:color w:val="auto"/>
                <w:kern w:val="0"/>
                <w:sz w:val="24"/>
                <w:szCs w:val="24"/>
                <w:lang w:bidi="ar"/>
              </w:rPr>
              <w:t>★5.支持可设置门禁权限为长期有效；权限时间支持精确到秒；门禁权限手动冻结、解冻；支持开启自动清理一定时间范围未使用的门禁权限。</w:t>
            </w:r>
          </w:p>
          <w:p w14:paraId="16CD3A4F">
            <w:pPr>
              <w:widowControl/>
              <w:snapToGrid w:val="0"/>
              <w:textAlignment w:val="center"/>
              <w:rPr>
                <w:rFonts w:hint="eastAsia" w:ascii="宋体" w:hAnsi="宋体" w:cs="宋体"/>
                <w:color w:val="auto"/>
                <w:kern w:val="0"/>
                <w:sz w:val="24"/>
                <w:szCs w:val="24"/>
                <w:lang w:bidi="ar"/>
              </w:rPr>
            </w:pPr>
            <w:r>
              <w:rPr>
                <w:rFonts w:hint="eastAsia" w:ascii="宋体" w:hAnsi="宋体" w:cs="宋体"/>
                <w:color w:val="auto"/>
                <w:kern w:val="0"/>
                <w:sz w:val="24"/>
                <w:szCs w:val="24"/>
                <w:lang w:bidi="ar"/>
              </w:rPr>
              <w:t>6.支持通过APP端输入人员姓名、身份证号查询人员姓名、部门、照片、身份证号。</w:t>
            </w:r>
          </w:p>
          <w:p w14:paraId="580245E3">
            <w:pPr>
              <w:widowControl/>
              <w:snapToGrid w:val="0"/>
              <w:textAlignment w:val="center"/>
              <w:rPr>
                <w:rFonts w:hint="eastAsia" w:ascii="宋体" w:hAnsi="宋体" w:cs="宋体"/>
                <w:color w:val="auto"/>
                <w:kern w:val="0"/>
                <w:sz w:val="24"/>
                <w:szCs w:val="24"/>
                <w:lang w:bidi="ar"/>
              </w:rPr>
            </w:pPr>
            <w:r>
              <w:rPr>
                <w:rFonts w:hint="eastAsia" w:ascii="宋体" w:hAnsi="宋体" w:cs="宋体"/>
                <w:color w:val="auto"/>
                <w:kern w:val="0"/>
                <w:sz w:val="24"/>
                <w:szCs w:val="24"/>
                <w:lang w:bidi="ar"/>
              </w:rPr>
              <w:t>7.支持大屏控制，可对大屏进行1/4/9/16/25分屏、拼接、开窗、窗口漫游的操作，通过客户端支持电视墙开窗后支持分割，并可将大屏分屏配置另保存为场景。</w:t>
            </w:r>
          </w:p>
          <w:p w14:paraId="06E013B9">
            <w:pPr>
              <w:widowControl/>
              <w:snapToGrid w:val="0"/>
              <w:textAlignment w:val="center"/>
              <w:rPr>
                <w:rFonts w:hint="eastAsia" w:ascii="宋体" w:hAnsi="宋体" w:cs="宋体"/>
                <w:color w:val="auto"/>
                <w:sz w:val="24"/>
                <w:szCs w:val="24"/>
              </w:rPr>
            </w:pPr>
            <w:r>
              <w:rPr>
                <w:rFonts w:hint="eastAsia" w:ascii="宋体" w:hAnsi="宋体" w:cs="宋体"/>
                <w:color w:val="auto"/>
                <w:kern w:val="0"/>
                <w:sz w:val="24"/>
                <w:szCs w:val="24"/>
                <w:lang w:bidi="ar"/>
              </w:rPr>
              <w:t>★8.支持查看今日告警事件数据，包括事件总数、已处置和未处置数、处置率。</w:t>
            </w:r>
          </w:p>
        </w:tc>
        <w:tc>
          <w:tcPr>
            <w:tcW w:w="422" w:type="pct"/>
            <w:tcBorders>
              <w:top w:val="single" w:color="000000" w:sz="4" w:space="0"/>
              <w:left w:val="single" w:color="000000" w:sz="4" w:space="0"/>
              <w:bottom w:val="single" w:color="000000" w:sz="4" w:space="0"/>
              <w:right w:val="single" w:color="000000" w:sz="4" w:space="0"/>
            </w:tcBorders>
            <w:noWrap w:val="0"/>
            <w:vAlign w:val="center"/>
          </w:tcPr>
          <w:p w14:paraId="311E09A9">
            <w:pPr>
              <w:widowControl/>
              <w:snapToGrid w:val="0"/>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1</w:t>
            </w:r>
          </w:p>
        </w:tc>
        <w:tc>
          <w:tcPr>
            <w:tcW w:w="423" w:type="pct"/>
            <w:tcBorders>
              <w:top w:val="single" w:color="000000" w:sz="4" w:space="0"/>
              <w:left w:val="single" w:color="000000" w:sz="4" w:space="0"/>
              <w:bottom w:val="single" w:color="000000" w:sz="4" w:space="0"/>
              <w:right w:val="single" w:color="000000" w:sz="4" w:space="0"/>
            </w:tcBorders>
            <w:noWrap w:val="0"/>
            <w:vAlign w:val="center"/>
          </w:tcPr>
          <w:p w14:paraId="5A7B65BB">
            <w:pPr>
              <w:widowControl/>
              <w:snapToGrid w:val="0"/>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项</w:t>
            </w:r>
          </w:p>
        </w:tc>
      </w:tr>
      <w:tr w14:paraId="204F8679">
        <w:tblPrEx>
          <w:tblCellMar>
            <w:top w:w="0" w:type="dxa"/>
            <w:left w:w="108" w:type="dxa"/>
            <w:bottom w:w="0" w:type="dxa"/>
            <w:right w:w="108" w:type="dxa"/>
          </w:tblCellMar>
        </w:tblPrEx>
        <w:trPr>
          <w:trHeight w:val="439" w:hRule="atLeast"/>
          <w:jc w:val="center"/>
        </w:trPr>
        <w:tc>
          <w:tcPr>
            <w:tcW w:w="285" w:type="pct"/>
            <w:tcBorders>
              <w:top w:val="single" w:color="000000" w:sz="4" w:space="0"/>
              <w:left w:val="single" w:color="000000" w:sz="4" w:space="0"/>
              <w:bottom w:val="single" w:color="000000" w:sz="4" w:space="0"/>
              <w:right w:val="single" w:color="000000" w:sz="4" w:space="0"/>
            </w:tcBorders>
            <w:noWrap w:val="0"/>
            <w:vAlign w:val="center"/>
          </w:tcPr>
          <w:p w14:paraId="798825A4">
            <w:pPr>
              <w:widowControl/>
              <w:snapToGrid w:val="0"/>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2</w:t>
            </w:r>
          </w:p>
        </w:tc>
        <w:tc>
          <w:tcPr>
            <w:tcW w:w="577" w:type="pct"/>
            <w:tcBorders>
              <w:top w:val="single" w:color="000000" w:sz="4" w:space="0"/>
              <w:left w:val="single" w:color="000000" w:sz="4" w:space="0"/>
              <w:bottom w:val="single" w:color="000000" w:sz="4" w:space="0"/>
              <w:right w:val="single" w:color="000000" w:sz="4" w:space="0"/>
            </w:tcBorders>
            <w:noWrap w:val="0"/>
            <w:vAlign w:val="center"/>
          </w:tcPr>
          <w:p w14:paraId="1B2F0D44">
            <w:pPr>
              <w:widowControl/>
              <w:snapToGrid w:val="0"/>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人脸门禁一体机</w:t>
            </w:r>
          </w:p>
        </w:tc>
        <w:tc>
          <w:tcPr>
            <w:tcW w:w="3290" w:type="pct"/>
            <w:tcBorders>
              <w:top w:val="single" w:color="000000" w:sz="4" w:space="0"/>
              <w:left w:val="single" w:color="000000" w:sz="4" w:space="0"/>
              <w:bottom w:val="single" w:color="000000" w:sz="4" w:space="0"/>
              <w:right w:val="single" w:color="000000" w:sz="4" w:space="0"/>
            </w:tcBorders>
            <w:noWrap w:val="0"/>
            <w:vAlign w:val="center"/>
          </w:tcPr>
          <w:p w14:paraId="7E1A4EAB">
            <w:pPr>
              <w:rPr>
                <w:rFonts w:hint="eastAsia" w:ascii="宋体" w:hAnsi="宋体" w:cs="宋体"/>
                <w:color w:val="auto"/>
                <w:sz w:val="24"/>
                <w:szCs w:val="24"/>
              </w:rPr>
            </w:pPr>
            <w:r>
              <w:rPr>
                <w:rFonts w:hint="eastAsia" w:ascii="宋体" w:hAnsi="宋体" w:cs="宋体"/>
                <w:color w:val="auto"/>
                <w:sz w:val="24"/>
                <w:szCs w:val="24"/>
              </w:rPr>
              <w:t>屏幕应为不小于7英寸触摸屏；应采用水滴屏全贴合工艺；玻璃屏占比≥90%。屏幕流明度≥600cd/m2；屏幕分辨率应不低于600*1024；屏显下端应具有圆形指示灯，指示灯应支持固定频率的亮起和熄灭（呼吸状态）及识别状态提示。</w:t>
            </w:r>
          </w:p>
          <w:p w14:paraId="781C6B6E">
            <w:pPr>
              <w:rPr>
                <w:rFonts w:hint="eastAsia" w:ascii="宋体" w:hAnsi="宋体" w:cs="宋体"/>
                <w:color w:val="auto"/>
                <w:sz w:val="24"/>
                <w:szCs w:val="24"/>
              </w:rPr>
            </w:pPr>
            <w:r>
              <w:rPr>
                <w:rFonts w:hint="eastAsia" w:ascii="宋体" w:hAnsi="宋体" w:cs="宋体"/>
                <w:color w:val="auto"/>
                <w:sz w:val="24"/>
                <w:szCs w:val="24"/>
              </w:rPr>
              <w:t>一、硬件接口：不低于以下要求</w:t>
            </w:r>
          </w:p>
          <w:p w14:paraId="26BFA579">
            <w:pPr>
              <w:rPr>
                <w:rFonts w:hint="eastAsia" w:ascii="宋体" w:hAnsi="宋体" w:cs="宋体"/>
                <w:color w:val="auto"/>
                <w:sz w:val="24"/>
                <w:szCs w:val="24"/>
              </w:rPr>
            </w:pPr>
            <w:r>
              <w:rPr>
                <w:rFonts w:hint="eastAsia" w:ascii="宋体" w:hAnsi="宋体" w:cs="宋体"/>
                <w:color w:val="auto"/>
                <w:sz w:val="24"/>
                <w:szCs w:val="24"/>
              </w:rPr>
              <w:t>1.LAN×1，支持 10M/100M/1000M 网络自适应配置；</w:t>
            </w:r>
          </w:p>
          <w:p w14:paraId="5C17114C">
            <w:pPr>
              <w:rPr>
                <w:rFonts w:hint="eastAsia" w:ascii="宋体" w:hAnsi="宋体" w:cs="宋体"/>
                <w:color w:val="auto"/>
                <w:sz w:val="24"/>
                <w:szCs w:val="24"/>
              </w:rPr>
            </w:pPr>
            <w:r>
              <w:rPr>
                <w:rFonts w:hint="eastAsia" w:ascii="宋体" w:hAnsi="宋体" w:cs="宋体"/>
                <w:color w:val="auto"/>
                <w:sz w:val="24"/>
                <w:szCs w:val="24"/>
              </w:rPr>
              <w:t>2.RS-485 串口×1 个；</w:t>
            </w:r>
          </w:p>
          <w:p w14:paraId="4FF65E5C">
            <w:pPr>
              <w:rPr>
                <w:rFonts w:hint="eastAsia" w:ascii="宋体" w:hAnsi="宋体" w:cs="宋体"/>
                <w:color w:val="auto"/>
                <w:sz w:val="24"/>
                <w:szCs w:val="24"/>
              </w:rPr>
            </w:pPr>
            <w:r>
              <w:rPr>
                <w:rFonts w:hint="eastAsia" w:ascii="宋体" w:hAnsi="宋体" w:cs="宋体"/>
                <w:color w:val="auto"/>
                <w:sz w:val="24"/>
                <w:szCs w:val="24"/>
              </w:rPr>
              <w:t>3.输入、输出韦根接口×1 个（平台可配置）；</w:t>
            </w:r>
          </w:p>
          <w:p w14:paraId="2215A5E0">
            <w:pPr>
              <w:rPr>
                <w:rFonts w:hint="eastAsia" w:ascii="宋体" w:hAnsi="宋体" w:cs="宋体"/>
                <w:color w:val="auto"/>
                <w:sz w:val="24"/>
                <w:szCs w:val="24"/>
              </w:rPr>
            </w:pPr>
            <w:r>
              <w:rPr>
                <w:rFonts w:hint="eastAsia" w:ascii="宋体" w:hAnsi="宋体" w:cs="宋体"/>
                <w:color w:val="auto"/>
                <w:sz w:val="24"/>
                <w:szCs w:val="24"/>
              </w:rPr>
              <w:t>4.USB 接口×2 个，包括 type C 接口、micro USB 接口和普通 USB 连接口（需扩展线）；5.内置扬声器×1 个；</w:t>
            </w:r>
          </w:p>
          <w:p w14:paraId="429AB82A">
            <w:pPr>
              <w:rPr>
                <w:rFonts w:hint="eastAsia" w:ascii="宋体" w:hAnsi="宋体" w:cs="宋体"/>
                <w:color w:val="auto"/>
                <w:sz w:val="24"/>
                <w:szCs w:val="24"/>
              </w:rPr>
            </w:pPr>
            <w:r>
              <w:rPr>
                <w:rFonts w:hint="eastAsia" w:ascii="宋体" w:hAnsi="宋体" w:cs="宋体"/>
                <w:color w:val="auto"/>
                <w:sz w:val="24"/>
                <w:szCs w:val="24"/>
              </w:rPr>
              <w:t>6.门锁 I/O 输出×1 个；</w:t>
            </w:r>
          </w:p>
          <w:p w14:paraId="44235006">
            <w:pPr>
              <w:rPr>
                <w:rFonts w:hint="eastAsia" w:ascii="宋体" w:hAnsi="宋体" w:cs="宋体"/>
                <w:color w:val="auto"/>
                <w:sz w:val="24"/>
                <w:szCs w:val="24"/>
              </w:rPr>
            </w:pPr>
            <w:r>
              <w:rPr>
                <w:rFonts w:hint="eastAsia" w:ascii="宋体" w:hAnsi="宋体" w:cs="宋体"/>
                <w:color w:val="auto"/>
                <w:sz w:val="24"/>
                <w:szCs w:val="24"/>
              </w:rPr>
              <w:t>7.门磁 I/O 输入×1 个；</w:t>
            </w:r>
          </w:p>
          <w:p w14:paraId="562383C6">
            <w:pPr>
              <w:rPr>
                <w:rFonts w:hint="eastAsia" w:ascii="宋体" w:hAnsi="宋体" w:cs="宋体"/>
                <w:color w:val="auto"/>
                <w:sz w:val="24"/>
                <w:szCs w:val="24"/>
              </w:rPr>
            </w:pPr>
            <w:r>
              <w:rPr>
                <w:rFonts w:hint="eastAsia" w:ascii="宋体" w:hAnsi="宋体" w:cs="宋体"/>
                <w:color w:val="auto"/>
                <w:sz w:val="24"/>
                <w:szCs w:val="24"/>
              </w:rPr>
              <w:t>8.开门按钮 I/O 输入×1 个；</w:t>
            </w:r>
          </w:p>
          <w:p w14:paraId="439D5034">
            <w:pPr>
              <w:rPr>
                <w:rFonts w:hint="eastAsia" w:ascii="宋体" w:hAnsi="宋体" w:cs="宋体"/>
                <w:color w:val="auto"/>
                <w:sz w:val="24"/>
                <w:szCs w:val="24"/>
              </w:rPr>
            </w:pPr>
            <w:r>
              <w:rPr>
                <w:rFonts w:hint="eastAsia" w:ascii="宋体" w:hAnsi="宋体" w:cs="宋体"/>
                <w:color w:val="auto"/>
                <w:sz w:val="24"/>
                <w:szCs w:val="24"/>
              </w:rPr>
              <w:t>9.报警 I/O 输出×1 个；</w:t>
            </w:r>
          </w:p>
          <w:p w14:paraId="3714B0DD">
            <w:pPr>
              <w:rPr>
                <w:rFonts w:hint="eastAsia" w:ascii="宋体" w:hAnsi="宋体" w:cs="宋体"/>
                <w:color w:val="auto"/>
                <w:sz w:val="24"/>
                <w:szCs w:val="24"/>
              </w:rPr>
            </w:pPr>
            <w:r>
              <w:rPr>
                <w:rFonts w:hint="eastAsia" w:ascii="宋体" w:hAnsi="宋体" w:cs="宋体"/>
                <w:color w:val="auto"/>
                <w:sz w:val="24"/>
                <w:szCs w:val="24"/>
              </w:rPr>
              <w:t>10.报警事件 I/O 输入×2 个。</w:t>
            </w:r>
          </w:p>
          <w:p w14:paraId="5781516D">
            <w:pPr>
              <w:widowControl/>
              <w:snapToGrid w:val="0"/>
              <w:textAlignment w:val="center"/>
              <w:rPr>
                <w:rFonts w:hint="eastAsia" w:ascii="宋体" w:hAnsi="宋体" w:cs="宋体"/>
                <w:color w:val="auto"/>
                <w:sz w:val="24"/>
                <w:szCs w:val="24"/>
              </w:rPr>
            </w:pPr>
            <w:r>
              <w:rPr>
                <w:rFonts w:hint="eastAsia" w:ascii="宋体" w:hAnsi="宋体" w:cs="宋体"/>
                <w:color w:val="auto"/>
                <w:sz w:val="24"/>
                <w:szCs w:val="24"/>
              </w:rPr>
              <w:t>二、功能要求</w:t>
            </w:r>
          </w:p>
          <w:p w14:paraId="70517FF9">
            <w:pPr>
              <w:widowControl/>
              <w:snapToGrid w:val="0"/>
              <w:textAlignment w:val="center"/>
              <w:rPr>
                <w:rFonts w:hint="eastAsia" w:ascii="宋体" w:hAnsi="宋体" w:cs="宋体"/>
                <w:color w:val="auto"/>
                <w:sz w:val="24"/>
                <w:szCs w:val="24"/>
              </w:rPr>
            </w:pPr>
            <w:r>
              <w:rPr>
                <w:rFonts w:hint="eastAsia" w:ascii="宋体" w:hAnsi="宋体" w:cs="宋体"/>
                <w:color w:val="auto"/>
                <w:sz w:val="24"/>
                <w:szCs w:val="24"/>
              </w:rPr>
              <w:t>★1.设备离线应支持至少10000个用户（用户权限应能配置为管理员）、10000张人脸库、50000张卡片容量、150000 笔记录存储、10000个密码、10000个掌纹掌静脉特征。</w:t>
            </w:r>
          </w:p>
          <w:p w14:paraId="69913E75">
            <w:pPr>
              <w:widowControl/>
              <w:snapToGrid w:val="0"/>
              <w:textAlignment w:val="center"/>
              <w:rPr>
                <w:rFonts w:hint="eastAsia" w:ascii="宋体" w:hAnsi="宋体" w:cs="宋体"/>
                <w:color w:val="auto"/>
                <w:kern w:val="0"/>
                <w:sz w:val="24"/>
                <w:szCs w:val="24"/>
                <w:lang w:bidi="ar"/>
              </w:rPr>
            </w:pPr>
            <w:r>
              <w:rPr>
                <w:rFonts w:hint="eastAsia" w:ascii="宋体" w:hAnsi="宋体" w:cs="宋体"/>
                <w:color w:val="auto"/>
                <w:sz w:val="24"/>
                <w:szCs w:val="24"/>
              </w:rPr>
              <w:t>2.应具有拓展GPS定位模块能力，应能通过事件方式定时上报设备位置信息</w:t>
            </w:r>
            <w:r>
              <w:rPr>
                <w:rFonts w:hint="eastAsia" w:ascii="宋体" w:hAnsi="宋体" w:cs="宋体"/>
                <w:color w:val="auto"/>
                <w:kern w:val="0"/>
                <w:sz w:val="24"/>
                <w:szCs w:val="24"/>
                <w:lang w:bidi="ar"/>
              </w:rPr>
              <w:t>。</w:t>
            </w:r>
          </w:p>
          <w:p w14:paraId="4FAFC0C4">
            <w:pPr>
              <w:rPr>
                <w:rFonts w:hint="eastAsia" w:ascii="宋体" w:hAnsi="宋体" w:cs="宋体"/>
                <w:color w:val="auto"/>
                <w:sz w:val="24"/>
                <w:szCs w:val="24"/>
              </w:rPr>
            </w:pPr>
            <w:r>
              <w:rPr>
                <w:rFonts w:hint="eastAsia" w:ascii="宋体" w:hAnsi="宋体" w:cs="宋体"/>
                <w:color w:val="auto"/>
                <w:sz w:val="24"/>
                <w:szCs w:val="24"/>
              </w:rPr>
              <w:t>★3.设备接入系统平台后应能支持视频联动报警功能；未授权人员刷人脸时，设备应能支持抓拍图片并实时上报平台预警；系统应具有应急开启的方法，如设备支持接入消防应急信号联动开门；根据设定事件的联动关系，当检测到该事件发生时，应能触发对应的动作。</w:t>
            </w:r>
          </w:p>
          <w:p w14:paraId="00C93973">
            <w:pPr>
              <w:widowControl/>
              <w:snapToGrid w:val="0"/>
              <w:textAlignment w:val="center"/>
              <w:rPr>
                <w:rFonts w:hint="eastAsia" w:ascii="宋体" w:hAnsi="宋体" w:cs="宋体"/>
                <w:color w:val="auto"/>
                <w:sz w:val="24"/>
                <w:szCs w:val="24"/>
              </w:rPr>
            </w:pPr>
            <w:r>
              <w:rPr>
                <w:rFonts w:hint="eastAsia" w:ascii="宋体" w:hAnsi="宋体" w:cs="宋体"/>
                <w:color w:val="auto"/>
                <w:sz w:val="24"/>
                <w:szCs w:val="24"/>
              </w:rPr>
              <w:t>★4.支持本地非明文存储比对结果、身份信息及抓拍人脸照片；支持实时非明文上传比对结果、身份信息及抓拍人脸照片等至管理中心；支持断网续传离线记录非明文数据功能；支持对 USB 导出数据（事件记录及人脸等）应采用非明文方案。</w:t>
            </w:r>
          </w:p>
        </w:tc>
        <w:tc>
          <w:tcPr>
            <w:tcW w:w="422" w:type="pct"/>
            <w:tcBorders>
              <w:top w:val="single" w:color="000000" w:sz="4" w:space="0"/>
              <w:left w:val="single" w:color="000000" w:sz="4" w:space="0"/>
              <w:bottom w:val="single" w:color="000000" w:sz="4" w:space="0"/>
              <w:right w:val="single" w:color="000000" w:sz="4" w:space="0"/>
            </w:tcBorders>
            <w:noWrap w:val="0"/>
            <w:vAlign w:val="center"/>
          </w:tcPr>
          <w:p w14:paraId="69EE5B92">
            <w:pPr>
              <w:widowControl/>
              <w:snapToGrid w:val="0"/>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24</w:t>
            </w:r>
          </w:p>
        </w:tc>
        <w:tc>
          <w:tcPr>
            <w:tcW w:w="423" w:type="pct"/>
            <w:tcBorders>
              <w:top w:val="single" w:color="000000" w:sz="4" w:space="0"/>
              <w:left w:val="single" w:color="000000" w:sz="4" w:space="0"/>
              <w:bottom w:val="single" w:color="000000" w:sz="4" w:space="0"/>
              <w:right w:val="single" w:color="000000" w:sz="4" w:space="0"/>
            </w:tcBorders>
            <w:noWrap w:val="0"/>
            <w:vAlign w:val="center"/>
          </w:tcPr>
          <w:p w14:paraId="1E640D7C">
            <w:pPr>
              <w:widowControl/>
              <w:snapToGrid w:val="0"/>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台</w:t>
            </w:r>
          </w:p>
        </w:tc>
      </w:tr>
      <w:tr w14:paraId="57C9DDCB">
        <w:tblPrEx>
          <w:tblCellMar>
            <w:top w:w="0" w:type="dxa"/>
            <w:left w:w="108" w:type="dxa"/>
            <w:bottom w:w="0" w:type="dxa"/>
            <w:right w:w="108" w:type="dxa"/>
          </w:tblCellMar>
        </w:tblPrEx>
        <w:trPr>
          <w:trHeight w:val="439" w:hRule="atLeast"/>
          <w:jc w:val="center"/>
        </w:trPr>
        <w:tc>
          <w:tcPr>
            <w:tcW w:w="285" w:type="pct"/>
            <w:tcBorders>
              <w:top w:val="single" w:color="000000" w:sz="4" w:space="0"/>
              <w:left w:val="single" w:color="000000" w:sz="4" w:space="0"/>
              <w:bottom w:val="single" w:color="000000" w:sz="4" w:space="0"/>
              <w:right w:val="single" w:color="000000" w:sz="4" w:space="0"/>
            </w:tcBorders>
            <w:noWrap w:val="0"/>
            <w:vAlign w:val="center"/>
          </w:tcPr>
          <w:p w14:paraId="08F0A1A0">
            <w:pPr>
              <w:widowControl/>
              <w:snapToGrid w:val="0"/>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3</w:t>
            </w:r>
          </w:p>
        </w:tc>
        <w:tc>
          <w:tcPr>
            <w:tcW w:w="577" w:type="pct"/>
            <w:tcBorders>
              <w:top w:val="single" w:color="000000" w:sz="4" w:space="0"/>
              <w:left w:val="single" w:color="000000" w:sz="4" w:space="0"/>
              <w:bottom w:val="single" w:color="000000" w:sz="4" w:space="0"/>
              <w:right w:val="single" w:color="000000" w:sz="4" w:space="0"/>
            </w:tcBorders>
            <w:noWrap w:val="0"/>
            <w:vAlign w:val="center"/>
          </w:tcPr>
          <w:p w14:paraId="4A7ACB6E">
            <w:pPr>
              <w:widowControl/>
              <w:snapToGrid w:val="0"/>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门禁控制器</w:t>
            </w:r>
          </w:p>
        </w:tc>
        <w:tc>
          <w:tcPr>
            <w:tcW w:w="3290" w:type="pct"/>
            <w:tcBorders>
              <w:top w:val="single" w:color="000000" w:sz="4" w:space="0"/>
              <w:left w:val="single" w:color="000000" w:sz="4" w:space="0"/>
              <w:bottom w:val="single" w:color="000000" w:sz="4" w:space="0"/>
              <w:right w:val="single" w:color="000000" w:sz="4" w:space="0"/>
            </w:tcBorders>
            <w:noWrap w:val="0"/>
            <w:vAlign w:val="center"/>
          </w:tcPr>
          <w:p w14:paraId="106B2887">
            <w:pPr>
              <w:widowControl/>
              <w:snapToGrid w:val="0"/>
              <w:textAlignment w:val="center"/>
              <w:rPr>
                <w:rFonts w:hint="eastAsia" w:ascii="宋体" w:hAnsi="宋体" w:cs="宋体"/>
                <w:color w:val="auto"/>
                <w:sz w:val="24"/>
                <w:szCs w:val="24"/>
              </w:rPr>
            </w:pPr>
            <w:r>
              <w:rPr>
                <w:rFonts w:hint="eastAsia" w:ascii="宋体" w:hAnsi="宋体" w:cs="宋体"/>
                <w:color w:val="auto"/>
                <w:kern w:val="0"/>
                <w:sz w:val="24"/>
                <w:szCs w:val="24"/>
                <w:lang w:bidi="ar"/>
              </w:rPr>
              <w:t>1.管控门数：2门；</w:t>
            </w:r>
            <w:r>
              <w:rPr>
                <w:rFonts w:hint="eastAsia" w:ascii="宋体" w:hAnsi="宋体" w:cs="宋体"/>
                <w:color w:val="auto"/>
                <w:kern w:val="0"/>
                <w:sz w:val="24"/>
                <w:szCs w:val="24"/>
                <w:lang w:bidi="ar"/>
              </w:rPr>
              <w:br w:type="textWrapping"/>
            </w:r>
            <w:r>
              <w:rPr>
                <w:rFonts w:hint="eastAsia" w:ascii="宋体" w:hAnsi="宋体" w:cs="宋体"/>
                <w:color w:val="auto"/>
                <w:kern w:val="0"/>
                <w:sz w:val="24"/>
                <w:szCs w:val="24"/>
                <w:lang w:bidi="ar"/>
              </w:rPr>
              <w:t>2.通讯方式：上行TCP/IP；</w:t>
            </w:r>
            <w:r>
              <w:rPr>
                <w:rFonts w:hint="eastAsia" w:ascii="宋体" w:hAnsi="宋体" w:cs="宋体"/>
                <w:color w:val="auto"/>
                <w:kern w:val="0"/>
                <w:sz w:val="24"/>
                <w:szCs w:val="24"/>
                <w:lang w:bidi="ar"/>
              </w:rPr>
              <w:br w:type="textWrapping"/>
            </w:r>
            <w:r>
              <w:rPr>
                <w:rFonts w:hint="eastAsia" w:ascii="宋体" w:hAnsi="宋体" w:cs="宋体"/>
                <w:color w:val="auto"/>
                <w:kern w:val="0"/>
                <w:sz w:val="24"/>
                <w:szCs w:val="24"/>
                <w:lang w:bidi="ar"/>
              </w:rPr>
              <w:t>3.可接读卡器：不少RS485读卡器*4、Wiegand读卡器*4；</w:t>
            </w:r>
            <w:r>
              <w:rPr>
                <w:rFonts w:hint="eastAsia" w:ascii="宋体" w:hAnsi="宋体" w:cs="宋体"/>
                <w:color w:val="auto"/>
                <w:kern w:val="0"/>
                <w:sz w:val="24"/>
                <w:szCs w:val="24"/>
                <w:lang w:bidi="ar"/>
              </w:rPr>
              <w:br w:type="textWrapping"/>
            </w:r>
            <w:r>
              <w:rPr>
                <w:rFonts w:hint="eastAsia" w:ascii="宋体" w:hAnsi="宋体" w:cs="宋体"/>
                <w:color w:val="auto"/>
                <w:kern w:val="0"/>
                <w:sz w:val="24"/>
                <w:szCs w:val="24"/>
                <w:lang w:bidi="ar"/>
              </w:rPr>
              <w:t>4.存储容量：不低于10万张卡和20万记录存储；</w:t>
            </w:r>
            <w:r>
              <w:rPr>
                <w:rFonts w:hint="eastAsia" w:ascii="宋体" w:hAnsi="宋体" w:cs="宋体"/>
                <w:color w:val="auto"/>
                <w:kern w:val="0"/>
                <w:sz w:val="24"/>
                <w:szCs w:val="24"/>
                <w:lang w:bidi="ar"/>
              </w:rPr>
              <w:br w:type="textWrapping"/>
            </w:r>
            <w:r>
              <w:rPr>
                <w:rFonts w:hint="eastAsia" w:ascii="宋体" w:hAnsi="宋体" w:cs="宋体"/>
                <w:color w:val="auto"/>
                <w:kern w:val="0"/>
                <w:sz w:val="24"/>
                <w:szCs w:val="24"/>
                <w:lang w:bidi="ar"/>
              </w:rPr>
              <w:t>5.门禁高级功能：支持多门互锁、单主机反潜回、多重卡认证等；</w:t>
            </w:r>
            <w:r>
              <w:rPr>
                <w:rFonts w:hint="eastAsia" w:ascii="宋体" w:hAnsi="宋体" w:cs="宋体"/>
                <w:color w:val="auto"/>
                <w:kern w:val="0"/>
                <w:sz w:val="24"/>
                <w:szCs w:val="24"/>
                <w:lang w:bidi="ar"/>
              </w:rPr>
              <w:br w:type="textWrapping"/>
            </w:r>
            <w:r>
              <w:rPr>
                <w:rFonts w:hint="eastAsia" w:ascii="宋体" w:hAnsi="宋体" w:cs="宋体"/>
                <w:color w:val="auto"/>
                <w:kern w:val="0"/>
                <w:sz w:val="24"/>
                <w:szCs w:val="24"/>
                <w:lang w:bidi="ar"/>
              </w:rPr>
              <w:t>6.输入接口：门磁*2、开门按钮*2、Case输入*5、防拆*1、消防*1；</w:t>
            </w:r>
            <w:r>
              <w:rPr>
                <w:rFonts w:hint="eastAsia" w:ascii="宋体" w:hAnsi="宋体" w:cs="宋体"/>
                <w:color w:val="auto"/>
                <w:kern w:val="0"/>
                <w:sz w:val="24"/>
                <w:szCs w:val="24"/>
                <w:lang w:bidi="ar"/>
              </w:rPr>
              <w:br w:type="textWrapping"/>
            </w:r>
            <w:r>
              <w:rPr>
                <w:rFonts w:hint="eastAsia" w:ascii="宋体" w:hAnsi="宋体" w:cs="宋体"/>
                <w:color w:val="auto"/>
                <w:kern w:val="0"/>
                <w:sz w:val="24"/>
                <w:szCs w:val="24"/>
                <w:lang w:bidi="ar"/>
              </w:rPr>
              <w:t>7.输出接口：开门继电器*2、报警继电器*4；</w:t>
            </w:r>
            <w:r>
              <w:rPr>
                <w:rFonts w:hint="eastAsia" w:ascii="宋体" w:hAnsi="宋体" w:cs="宋体"/>
                <w:color w:val="auto"/>
                <w:kern w:val="0"/>
                <w:sz w:val="24"/>
                <w:szCs w:val="24"/>
                <w:lang w:bidi="ar"/>
              </w:rPr>
              <w:br w:type="textWrapping"/>
            </w:r>
            <w:r>
              <w:rPr>
                <w:rFonts w:hint="eastAsia" w:ascii="宋体" w:hAnsi="宋体" w:cs="宋体"/>
                <w:color w:val="auto"/>
                <w:kern w:val="0"/>
                <w:sz w:val="24"/>
                <w:szCs w:val="24"/>
                <w:lang w:bidi="ar"/>
              </w:rPr>
              <w:t>8.其他功能：带消防联动继电器接口；</w:t>
            </w:r>
            <w:r>
              <w:rPr>
                <w:rFonts w:hint="eastAsia" w:ascii="宋体" w:hAnsi="宋体" w:cs="宋体"/>
                <w:color w:val="auto"/>
                <w:kern w:val="0"/>
                <w:sz w:val="24"/>
                <w:szCs w:val="24"/>
                <w:lang w:bidi="ar"/>
              </w:rPr>
              <w:br w:type="textWrapping"/>
            </w:r>
            <w:r>
              <w:rPr>
                <w:rFonts w:hint="eastAsia" w:ascii="宋体" w:hAnsi="宋体" w:cs="宋体"/>
                <w:color w:val="auto"/>
                <w:kern w:val="0"/>
                <w:sz w:val="24"/>
                <w:szCs w:val="24"/>
                <w:lang w:bidi="ar"/>
              </w:rPr>
              <w:t>9.工作电压：DC 12V（自带开关电源：220V输入，12V/100W输出）。</w:t>
            </w:r>
          </w:p>
        </w:tc>
        <w:tc>
          <w:tcPr>
            <w:tcW w:w="422" w:type="pct"/>
            <w:tcBorders>
              <w:top w:val="single" w:color="000000" w:sz="4" w:space="0"/>
              <w:left w:val="single" w:color="000000" w:sz="4" w:space="0"/>
              <w:bottom w:val="single" w:color="000000" w:sz="4" w:space="0"/>
              <w:right w:val="single" w:color="000000" w:sz="4" w:space="0"/>
            </w:tcBorders>
            <w:noWrap w:val="0"/>
            <w:vAlign w:val="center"/>
          </w:tcPr>
          <w:p w14:paraId="43ED9B01">
            <w:pPr>
              <w:widowControl/>
              <w:snapToGrid w:val="0"/>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34</w:t>
            </w:r>
          </w:p>
        </w:tc>
        <w:tc>
          <w:tcPr>
            <w:tcW w:w="423" w:type="pct"/>
            <w:tcBorders>
              <w:top w:val="single" w:color="000000" w:sz="4" w:space="0"/>
              <w:left w:val="single" w:color="000000" w:sz="4" w:space="0"/>
              <w:bottom w:val="single" w:color="000000" w:sz="4" w:space="0"/>
              <w:right w:val="single" w:color="000000" w:sz="4" w:space="0"/>
            </w:tcBorders>
            <w:noWrap w:val="0"/>
            <w:vAlign w:val="center"/>
          </w:tcPr>
          <w:p w14:paraId="3E6D10A4">
            <w:pPr>
              <w:widowControl/>
              <w:snapToGrid w:val="0"/>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台</w:t>
            </w:r>
          </w:p>
        </w:tc>
      </w:tr>
      <w:tr w14:paraId="044CD901">
        <w:tblPrEx>
          <w:tblCellMar>
            <w:top w:w="0" w:type="dxa"/>
            <w:left w:w="108" w:type="dxa"/>
            <w:bottom w:w="0" w:type="dxa"/>
            <w:right w:w="108" w:type="dxa"/>
          </w:tblCellMar>
        </w:tblPrEx>
        <w:trPr>
          <w:trHeight w:val="439" w:hRule="atLeast"/>
          <w:jc w:val="center"/>
        </w:trPr>
        <w:tc>
          <w:tcPr>
            <w:tcW w:w="285" w:type="pct"/>
            <w:tcBorders>
              <w:top w:val="single" w:color="000000" w:sz="4" w:space="0"/>
              <w:left w:val="single" w:color="000000" w:sz="4" w:space="0"/>
              <w:bottom w:val="single" w:color="000000" w:sz="4" w:space="0"/>
              <w:right w:val="single" w:color="000000" w:sz="4" w:space="0"/>
            </w:tcBorders>
            <w:noWrap w:val="0"/>
            <w:vAlign w:val="center"/>
          </w:tcPr>
          <w:p w14:paraId="6B988F6D">
            <w:pPr>
              <w:widowControl/>
              <w:snapToGrid w:val="0"/>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4</w:t>
            </w:r>
          </w:p>
        </w:tc>
        <w:tc>
          <w:tcPr>
            <w:tcW w:w="577" w:type="pct"/>
            <w:tcBorders>
              <w:top w:val="single" w:color="000000" w:sz="4" w:space="0"/>
              <w:left w:val="single" w:color="000000" w:sz="4" w:space="0"/>
              <w:bottom w:val="single" w:color="000000" w:sz="4" w:space="0"/>
              <w:right w:val="single" w:color="000000" w:sz="4" w:space="0"/>
            </w:tcBorders>
            <w:noWrap w:val="0"/>
            <w:vAlign w:val="center"/>
          </w:tcPr>
          <w:p w14:paraId="417CD433">
            <w:pPr>
              <w:widowControl/>
              <w:snapToGrid w:val="0"/>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双门磁力锁</w:t>
            </w:r>
          </w:p>
        </w:tc>
        <w:tc>
          <w:tcPr>
            <w:tcW w:w="3290" w:type="pct"/>
            <w:tcBorders>
              <w:top w:val="single" w:color="000000" w:sz="4" w:space="0"/>
              <w:left w:val="single" w:color="000000" w:sz="4" w:space="0"/>
              <w:bottom w:val="single" w:color="000000" w:sz="4" w:space="0"/>
              <w:right w:val="single" w:color="000000" w:sz="4" w:space="0"/>
            </w:tcBorders>
            <w:noWrap w:val="0"/>
            <w:vAlign w:val="center"/>
          </w:tcPr>
          <w:p w14:paraId="6824CC24">
            <w:pPr>
              <w:widowControl/>
              <w:snapToGrid w:val="0"/>
              <w:textAlignment w:val="center"/>
              <w:rPr>
                <w:rFonts w:hint="eastAsia" w:ascii="宋体" w:hAnsi="宋体" w:cs="宋体"/>
                <w:color w:val="auto"/>
                <w:sz w:val="24"/>
                <w:szCs w:val="24"/>
              </w:rPr>
            </w:pPr>
            <w:r>
              <w:rPr>
                <w:rFonts w:hint="eastAsia" w:ascii="宋体" w:hAnsi="宋体" w:cs="宋体"/>
                <w:color w:val="auto"/>
                <w:kern w:val="0"/>
                <w:sz w:val="24"/>
                <w:szCs w:val="24"/>
                <w:lang w:bidi="ar"/>
              </w:rPr>
              <w:t>1.铝外壳采用高强度合金材料，阳极硬化处理；</w:t>
            </w:r>
            <w:r>
              <w:rPr>
                <w:rFonts w:hint="eastAsia" w:ascii="宋体" w:hAnsi="宋体" w:cs="宋体"/>
                <w:color w:val="auto"/>
                <w:kern w:val="0"/>
                <w:sz w:val="24"/>
                <w:szCs w:val="24"/>
                <w:lang w:bidi="ar"/>
              </w:rPr>
              <w:br w:type="textWrapping"/>
            </w:r>
            <w:r>
              <w:rPr>
                <w:rFonts w:hint="eastAsia" w:ascii="宋体" w:hAnsi="宋体" w:cs="宋体"/>
                <w:color w:val="auto"/>
                <w:kern w:val="0"/>
                <w:sz w:val="24"/>
                <w:szCs w:val="24"/>
                <w:lang w:bidi="ar"/>
              </w:rPr>
              <w:t>2.最大静态直线拉力：230kg±10%*2；</w:t>
            </w:r>
            <w:r>
              <w:rPr>
                <w:rFonts w:hint="eastAsia" w:ascii="宋体" w:hAnsi="宋体" w:cs="宋体"/>
                <w:color w:val="auto"/>
                <w:kern w:val="0"/>
                <w:sz w:val="24"/>
                <w:szCs w:val="24"/>
                <w:lang w:bidi="ar"/>
              </w:rPr>
              <w:br w:type="textWrapping"/>
            </w:r>
            <w:r>
              <w:rPr>
                <w:rFonts w:hint="eastAsia" w:ascii="仿宋" w:hAnsi="仿宋" w:eastAsia="仿宋" w:cs="仿宋"/>
                <w:color w:val="auto"/>
                <w:szCs w:val="24"/>
              </w:rPr>
              <w:t>●3.</w:t>
            </w:r>
            <w:r>
              <w:rPr>
                <w:rFonts w:hint="eastAsia" w:ascii="宋体" w:hAnsi="宋体" w:cs="宋体"/>
                <w:color w:val="auto"/>
                <w:kern w:val="0"/>
                <w:sz w:val="24"/>
                <w:szCs w:val="24"/>
                <w:lang w:bidi="ar"/>
              </w:rPr>
              <w:t>断电开锁，满足消防要求；</w:t>
            </w:r>
            <w:r>
              <w:rPr>
                <w:rFonts w:hint="eastAsia" w:ascii="宋体" w:hAnsi="宋体" w:cs="宋体"/>
                <w:color w:val="auto"/>
                <w:kern w:val="0"/>
                <w:sz w:val="24"/>
                <w:szCs w:val="24"/>
                <w:lang w:bidi="ar"/>
              </w:rPr>
              <w:br w:type="textWrapping"/>
            </w:r>
            <w:r>
              <w:rPr>
                <w:rFonts w:hint="eastAsia" w:ascii="宋体" w:hAnsi="宋体" w:cs="宋体"/>
                <w:color w:val="auto"/>
                <w:kern w:val="0"/>
                <w:sz w:val="24"/>
                <w:szCs w:val="24"/>
                <w:lang w:bidi="ar"/>
              </w:rPr>
              <w:t>4.指示灯：红灯为开锁状态， 绿灯为上锁状态；</w:t>
            </w:r>
            <w:r>
              <w:rPr>
                <w:rFonts w:hint="eastAsia" w:ascii="宋体" w:hAnsi="宋体" w:cs="宋体"/>
                <w:color w:val="auto"/>
                <w:kern w:val="0"/>
                <w:sz w:val="24"/>
                <w:szCs w:val="24"/>
                <w:lang w:bidi="ar"/>
              </w:rPr>
              <w:br w:type="textWrapping"/>
            </w:r>
            <w:r>
              <w:rPr>
                <w:rFonts w:hint="eastAsia" w:ascii="宋体" w:hAnsi="宋体" w:cs="宋体"/>
                <w:color w:val="auto"/>
                <w:kern w:val="0"/>
                <w:sz w:val="24"/>
                <w:szCs w:val="24"/>
                <w:lang w:bidi="ar"/>
              </w:rPr>
              <w:t>5.支持锁状态侦测信号(门磁)输出：NO/NC/COM接点；</w:t>
            </w:r>
            <w:r>
              <w:rPr>
                <w:rFonts w:hint="eastAsia" w:ascii="宋体" w:hAnsi="宋体" w:cs="宋体"/>
                <w:color w:val="auto"/>
                <w:kern w:val="0"/>
                <w:sz w:val="24"/>
                <w:szCs w:val="24"/>
                <w:lang w:bidi="ar"/>
              </w:rPr>
              <w:br w:type="textWrapping"/>
            </w:r>
            <w:r>
              <w:rPr>
                <w:rFonts w:hint="eastAsia" w:ascii="宋体" w:hAnsi="宋体" w:cs="宋体"/>
                <w:color w:val="auto"/>
                <w:kern w:val="0"/>
                <w:sz w:val="24"/>
                <w:szCs w:val="24"/>
                <w:lang w:bidi="ar"/>
              </w:rPr>
              <w:t>6.工作电压：12V/940mA 或 24V/470mA，可自行设定工作电压，出厂默认为DC12V；</w:t>
            </w:r>
            <w:r>
              <w:rPr>
                <w:rFonts w:hint="eastAsia" w:ascii="宋体" w:hAnsi="宋体" w:cs="宋体"/>
                <w:color w:val="auto"/>
                <w:kern w:val="0"/>
                <w:sz w:val="24"/>
                <w:szCs w:val="24"/>
                <w:lang w:bidi="ar"/>
              </w:rPr>
              <w:br w:type="textWrapping"/>
            </w:r>
            <w:r>
              <w:rPr>
                <w:rFonts w:hint="eastAsia" w:ascii="宋体" w:hAnsi="宋体" w:cs="宋体"/>
                <w:color w:val="auto"/>
                <w:kern w:val="0"/>
                <w:sz w:val="24"/>
                <w:szCs w:val="24"/>
                <w:lang w:bidi="ar"/>
              </w:rPr>
              <w:t>7.防残磁设计，选用防磨损材料；</w:t>
            </w:r>
            <w:r>
              <w:rPr>
                <w:rFonts w:hint="eastAsia" w:ascii="宋体" w:hAnsi="宋体" w:cs="宋体"/>
                <w:color w:val="auto"/>
                <w:kern w:val="0"/>
                <w:sz w:val="24"/>
                <w:szCs w:val="24"/>
                <w:lang w:bidi="ar"/>
              </w:rPr>
              <w:br w:type="textWrapping"/>
            </w:r>
            <w:r>
              <w:rPr>
                <w:rFonts w:hint="eastAsia" w:ascii="宋体" w:hAnsi="宋体" w:cs="宋体"/>
                <w:color w:val="auto"/>
                <w:kern w:val="0"/>
                <w:sz w:val="24"/>
                <w:szCs w:val="24"/>
                <w:lang w:bidi="ar"/>
              </w:rPr>
              <w:t>8.磁力锁无机械故障，完全采用电磁吸力工作；</w:t>
            </w:r>
            <w:r>
              <w:rPr>
                <w:rFonts w:hint="eastAsia" w:ascii="宋体" w:hAnsi="宋体" w:cs="宋体"/>
                <w:color w:val="auto"/>
                <w:kern w:val="0"/>
                <w:sz w:val="24"/>
                <w:szCs w:val="24"/>
                <w:lang w:bidi="ar"/>
              </w:rPr>
              <w:br w:type="textWrapping"/>
            </w:r>
            <w:r>
              <w:rPr>
                <w:rFonts w:hint="eastAsia" w:ascii="宋体" w:hAnsi="宋体" w:cs="宋体"/>
                <w:color w:val="auto"/>
                <w:kern w:val="0"/>
                <w:sz w:val="24"/>
                <w:szCs w:val="24"/>
                <w:lang w:bidi="ar"/>
              </w:rPr>
              <w:t>9.配备加大电磁吸力，双重锁体绝缘处理；</w:t>
            </w:r>
            <w:r>
              <w:rPr>
                <w:rFonts w:hint="eastAsia" w:ascii="宋体" w:hAnsi="宋体" w:cs="宋体"/>
                <w:color w:val="auto"/>
                <w:kern w:val="0"/>
                <w:sz w:val="24"/>
                <w:szCs w:val="24"/>
                <w:lang w:bidi="ar"/>
              </w:rPr>
              <w:br w:type="textWrapping"/>
            </w:r>
            <w:r>
              <w:rPr>
                <w:rFonts w:hint="eastAsia" w:ascii="宋体" w:hAnsi="宋体" w:cs="宋体"/>
                <w:color w:val="auto"/>
                <w:kern w:val="0"/>
                <w:sz w:val="24"/>
                <w:szCs w:val="24"/>
                <w:lang w:bidi="ar"/>
              </w:rPr>
              <w:t>10.使用环境：室内（不防水）；</w:t>
            </w:r>
            <w:r>
              <w:rPr>
                <w:rFonts w:hint="eastAsia" w:ascii="宋体" w:hAnsi="宋体" w:cs="宋体"/>
                <w:color w:val="auto"/>
                <w:kern w:val="0"/>
                <w:sz w:val="24"/>
                <w:szCs w:val="24"/>
                <w:lang w:bidi="ar"/>
              </w:rPr>
              <w:br w:type="textWrapping"/>
            </w:r>
            <w:r>
              <w:rPr>
                <w:rFonts w:hint="eastAsia" w:ascii="宋体" w:hAnsi="宋体" w:cs="宋体"/>
                <w:color w:val="auto"/>
                <w:kern w:val="0"/>
                <w:sz w:val="24"/>
                <w:szCs w:val="24"/>
                <w:lang w:bidi="ar"/>
              </w:rPr>
              <w:t>11.适用门型：木门、玻璃门、金属门、防火门。</w:t>
            </w:r>
          </w:p>
        </w:tc>
        <w:tc>
          <w:tcPr>
            <w:tcW w:w="422" w:type="pct"/>
            <w:tcBorders>
              <w:top w:val="single" w:color="000000" w:sz="4" w:space="0"/>
              <w:left w:val="single" w:color="000000" w:sz="4" w:space="0"/>
              <w:bottom w:val="single" w:color="000000" w:sz="4" w:space="0"/>
              <w:right w:val="single" w:color="000000" w:sz="4" w:space="0"/>
            </w:tcBorders>
            <w:noWrap w:val="0"/>
            <w:vAlign w:val="center"/>
          </w:tcPr>
          <w:p w14:paraId="50DDD0F2">
            <w:pPr>
              <w:widowControl/>
              <w:snapToGrid w:val="0"/>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45</w:t>
            </w:r>
          </w:p>
        </w:tc>
        <w:tc>
          <w:tcPr>
            <w:tcW w:w="423" w:type="pct"/>
            <w:tcBorders>
              <w:top w:val="single" w:color="000000" w:sz="4" w:space="0"/>
              <w:left w:val="single" w:color="000000" w:sz="4" w:space="0"/>
              <w:bottom w:val="single" w:color="000000" w:sz="4" w:space="0"/>
              <w:right w:val="single" w:color="000000" w:sz="4" w:space="0"/>
            </w:tcBorders>
            <w:noWrap w:val="0"/>
            <w:vAlign w:val="center"/>
          </w:tcPr>
          <w:p w14:paraId="35F7C86A">
            <w:pPr>
              <w:widowControl/>
              <w:snapToGrid w:val="0"/>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台</w:t>
            </w:r>
          </w:p>
        </w:tc>
      </w:tr>
      <w:tr w14:paraId="1508462E">
        <w:tblPrEx>
          <w:tblCellMar>
            <w:top w:w="0" w:type="dxa"/>
            <w:left w:w="108" w:type="dxa"/>
            <w:bottom w:w="0" w:type="dxa"/>
            <w:right w:w="108" w:type="dxa"/>
          </w:tblCellMar>
        </w:tblPrEx>
        <w:trPr>
          <w:trHeight w:val="439" w:hRule="atLeast"/>
          <w:jc w:val="center"/>
        </w:trPr>
        <w:tc>
          <w:tcPr>
            <w:tcW w:w="285" w:type="pct"/>
            <w:tcBorders>
              <w:top w:val="single" w:color="000000" w:sz="4" w:space="0"/>
              <w:left w:val="single" w:color="000000" w:sz="4" w:space="0"/>
              <w:bottom w:val="single" w:color="000000" w:sz="4" w:space="0"/>
              <w:right w:val="single" w:color="000000" w:sz="4" w:space="0"/>
            </w:tcBorders>
            <w:noWrap w:val="0"/>
            <w:vAlign w:val="center"/>
          </w:tcPr>
          <w:p w14:paraId="07CF86E1">
            <w:pPr>
              <w:widowControl/>
              <w:snapToGrid w:val="0"/>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5</w:t>
            </w:r>
          </w:p>
        </w:tc>
        <w:tc>
          <w:tcPr>
            <w:tcW w:w="577" w:type="pct"/>
            <w:tcBorders>
              <w:top w:val="single" w:color="000000" w:sz="4" w:space="0"/>
              <w:left w:val="single" w:color="000000" w:sz="4" w:space="0"/>
              <w:bottom w:val="single" w:color="000000" w:sz="4" w:space="0"/>
              <w:right w:val="single" w:color="000000" w:sz="4" w:space="0"/>
            </w:tcBorders>
            <w:noWrap w:val="0"/>
            <w:vAlign w:val="center"/>
          </w:tcPr>
          <w:p w14:paraId="2F58DC71">
            <w:pPr>
              <w:widowControl/>
              <w:snapToGrid w:val="0"/>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单门磁力锁</w:t>
            </w:r>
          </w:p>
        </w:tc>
        <w:tc>
          <w:tcPr>
            <w:tcW w:w="3290" w:type="pct"/>
            <w:tcBorders>
              <w:top w:val="single" w:color="000000" w:sz="4" w:space="0"/>
              <w:left w:val="single" w:color="000000" w:sz="4" w:space="0"/>
              <w:bottom w:val="single" w:color="000000" w:sz="4" w:space="0"/>
              <w:right w:val="single" w:color="000000" w:sz="4" w:space="0"/>
            </w:tcBorders>
            <w:noWrap w:val="0"/>
            <w:vAlign w:val="center"/>
          </w:tcPr>
          <w:p w14:paraId="3CD5D743">
            <w:pPr>
              <w:widowControl/>
              <w:snapToGrid w:val="0"/>
              <w:textAlignment w:val="center"/>
              <w:rPr>
                <w:rFonts w:hint="eastAsia" w:ascii="宋体" w:hAnsi="宋体" w:cs="宋体"/>
                <w:color w:val="auto"/>
                <w:sz w:val="24"/>
                <w:szCs w:val="24"/>
              </w:rPr>
            </w:pPr>
            <w:r>
              <w:rPr>
                <w:rFonts w:hint="eastAsia" w:ascii="宋体" w:hAnsi="宋体" w:cs="宋体"/>
                <w:color w:val="auto"/>
                <w:kern w:val="0"/>
                <w:sz w:val="24"/>
                <w:szCs w:val="24"/>
                <w:lang w:bidi="ar"/>
              </w:rPr>
              <w:t>1.铝外壳采用高强度合金材料，阳极硬化处理；</w:t>
            </w:r>
            <w:r>
              <w:rPr>
                <w:rFonts w:hint="eastAsia" w:ascii="宋体" w:hAnsi="宋体" w:cs="宋体"/>
                <w:color w:val="auto"/>
                <w:kern w:val="0"/>
                <w:sz w:val="24"/>
                <w:szCs w:val="24"/>
                <w:lang w:bidi="ar"/>
              </w:rPr>
              <w:br w:type="textWrapping"/>
            </w:r>
            <w:r>
              <w:rPr>
                <w:rFonts w:hint="eastAsia" w:ascii="宋体" w:hAnsi="宋体" w:cs="宋体"/>
                <w:color w:val="auto"/>
                <w:kern w:val="0"/>
                <w:sz w:val="24"/>
                <w:szCs w:val="24"/>
                <w:lang w:bidi="ar"/>
              </w:rPr>
              <w:t>2.最大静态直线拉力：230kg±10%；</w:t>
            </w:r>
            <w:r>
              <w:rPr>
                <w:rFonts w:hint="eastAsia" w:ascii="宋体" w:hAnsi="宋体" w:cs="宋体"/>
                <w:color w:val="auto"/>
                <w:kern w:val="0"/>
                <w:sz w:val="24"/>
                <w:szCs w:val="24"/>
                <w:lang w:bidi="ar"/>
              </w:rPr>
              <w:br w:type="textWrapping"/>
            </w:r>
            <w:r>
              <w:rPr>
                <w:rFonts w:hint="eastAsia" w:ascii="仿宋" w:hAnsi="仿宋" w:eastAsia="仿宋" w:cs="仿宋"/>
                <w:color w:val="auto"/>
                <w:szCs w:val="24"/>
              </w:rPr>
              <w:t>●3.</w:t>
            </w:r>
            <w:r>
              <w:rPr>
                <w:rFonts w:hint="eastAsia" w:ascii="宋体" w:hAnsi="宋体" w:cs="宋体"/>
                <w:color w:val="auto"/>
                <w:kern w:val="0"/>
                <w:sz w:val="24"/>
                <w:szCs w:val="24"/>
                <w:lang w:bidi="ar"/>
              </w:rPr>
              <w:t>断电开锁，满足消防要求；</w:t>
            </w:r>
            <w:r>
              <w:rPr>
                <w:rFonts w:hint="eastAsia" w:ascii="宋体" w:hAnsi="宋体" w:cs="宋体"/>
                <w:color w:val="auto"/>
                <w:kern w:val="0"/>
                <w:sz w:val="24"/>
                <w:szCs w:val="24"/>
                <w:lang w:bidi="ar"/>
              </w:rPr>
              <w:br w:type="textWrapping"/>
            </w:r>
            <w:r>
              <w:rPr>
                <w:rFonts w:hint="eastAsia" w:ascii="宋体" w:hAnsi="宋体" w:cs="宋体"/>
                <w:color w:val="auto"/>
                <w:kern w:val="0"/>
                <w:sz w:val="24"/>
                <w:szCs w:val="24"/>
                <w:lang w:bidi="ar"/>
              </w:rPr>
              <w:t>4.指示灯：红灯为开锁状态， 绿灯为上锁状态；</w:t>
            </w:r>
            <w:r>
              <w:rPr>
                <w:rFonts w:hint="eastAsia" w:ascii="宋体" w:hAnsi="宋体" w:cs="宋体"/>
                <w:color w:val="auto"/>
                <w:kern w:val="0"/>
                <w:sz w:val="24"/>
                <w:szCs w:val="24"/>
                <w:lang w:bidi="ar"/>
              </w:rPr>
              <w:br w:type="textWrapping"/>
            </w:r>
            <w:r>
              <w:rPr>
                <w:rFonts w:hint="eastAsia" w:ascii="宋体" w:hAnsi="宋体" w:cs="宋体"/>
                <w:color w:val="auto"/>
                <w:kern w:val="0"/>
                <w:sz w:val="24"/>
                <w:szCs w:val="24"/>
                <w:lang w:bidi="ar"/>
              </w:rPr>
              <w:t>5.支持锁状态侦测信号(门磁)输出：NO/NC/COM接点；</w:t>
            </w:r>
            <w:r>
              <w:rPr>
                <w:rFonts w:hint="eastAsia" w:ascii="宋体" w:hAnsi="宋体" w:cs="宋体"/>
                <w:color w:val="auto"/>
                <w:kern w:val="0"/>
                <w:sz w:val="24"/>
                <w:szCs w:val="24"/>
                <w:lang w:bidi="ar"/>
              </w:rPr>
              <w:br w:type="textWrapping"/>
            </w:r>
            <w:r>
              <w:rPr>
                <w:rFonts w:hint="eastAsia" w:ascii="宋体" w:hAnsi="宋体" w:cs="宋体"/>
                <w:color w:val="auto"/>
                <w:kern w:val="0"/>
                <w:sz w:val="24"/>
                <w:szCs w:val="24"/>
                <w:lang w:bidi="ar"/>
              </w:rPr>
              <w:t>6.工作电压：12V/470mA 或 24V/235mA，可自行设定工作电压，出厂默认为DC12V；</w:t>
            </w:r>
            <w:r>
              <w:rPr>
                <w:rFonts w:hint="eastAsia" w:ascii="宋体" w:hAnsi="宋体" w:cs="宋体"/>
                <w:color w:val="auto"/>
                <w:kern w:val="0"/>
                <w:sz w:val="24"/>
                <w:szCs w:val="24"/>
                <w:lang w:bidi="ar"/>
              </w:rPr>
              <w:br w:type="textWrapping"/>
            </w:r>
            <w:r>
              <w:rPr>
                <w:rFonts w:hint="eastAsia" w:ascii="宋体" w:hAnsi="宋体" w:cs="宋体"/>
                <w:color w:val="auto"/>
                <w:kern w:val="0"/>
                <w:sz w:val="24"/>
                <w:szCs w:val="24"/>
                <w:lang w:bidi="ar"/>
              </w:rPr>
              <w:t>7.防残磁设计，选用防磨损材料；</w:t>
            </w:r>
            <w:r>
              <w:rPr>
                <w:rFonts w:hint="eastAsia" w:ascii="宋体" w:hAnsi="宋体" w:cs="宋体"/>
                <w:color w:val="auto"/>
                <w:kern w:val="0"/>
                <w:sz w:val="24"/>
                <w:szCs w:val="24"/>
                <w:lang w:bidi="ar"/>
              </w:rPr>
              <w:br w:type="textWrapping"/>
            </w:r>
            <w:r>
              <w:rPr>
                <w:rFonts w:hint="eastAsia" w:ascii="宋体" w:hAnsi="宋体" w:cs="宋体"/>
                <w:color w:val="auto"/>
                <w:kern w:val="0"/>
                <w:sz w:val="24"/>
                <w:szCs w:val="24"/>
                <w:lang w:bidi="ar"/>
              </w:rPr>
              <w:t>8.磁力锁无机械故障，完全采用电磁吸力工作；</w:t>
            </w:r>
            <w:r>
              <w:rPr>
                <w:rFonts w:hint="eastAsia" w:ascii="宋体" w:hAnsi="宋体" w:cs="宋体"/>
                <w:color w:val="auto"/>
                <w:kern w:val="0"/>
                <w:sz w:val="24"/>
                <w:szCs w:val="24"/>
                <w:lang w:bidi="ar"/>
              </w:rPr>
              <w:br w:type="textWrapping"/>
            </w:r>
            <w:r>
              <w:rPr>
                <w:rFonts w:hint="eastAsia" w:ascii="宋体" w:hAnsi="宋体" w:cs="宋体"/>
                <w:color w:val="auto"/>
                <w:kern w:val="0"/>
                <w:sz w:val="24"/>
                <w:szCs w:val="24"/>
                <w:lang w:bidi="ar"/>
              </w:rPr>
              <w:t>9.配备加大电磁吸力，双重锁体绝缘处理；</w:t>
            </w:r>
            <w:r>
              <w:rPr>
                <w:rFonts w:hint="eastAsia" w:ascii="宋体" w:hAnsi="宋体" w:cs="宋体"/>
                <w:color w:val="auto"/>
                <w:kern w:val="0"/>
                <w:sz w:val="24"/>
                <w:szCs w:val="24"/>
                <w:lang w:bidi="ar"/>
              </w:rPr>
              <w:br w:type="textWrapping"/>
            </w:r>
            <w:r>
              <w:rPr>
                <w:rFonts w:hint="eastAsia" w:ascii="宋体" w:hAnsi="宋体" w:cs="宋体"/>
                <w:color w:val="auto"/>
                <w:kern w:val="0"/>
                <w:sz w:val="24"/>
                <w:szCs w:val="24"/>
                <w:lang w:bidi="ar"/>
              </w:rPr>
              <w:t>10.使用环境：室内（不防水）；</w:t>
            </w:r>
            <w:r>
              <w:rPr>
                <w:rFonts w:hint="eastAsia" w:ascii="宋体" w:hAnsi="宋体" w:cs="宋体"/>
                <w:color w:val="auto"/>
                <w:kern w:val="0"/>
                <w:sz w:val="24"/>
                <w:szCs w:val="24"/>
                <w:lang w:bidi="ar"/>
              </w:rPr>
              <w:br w:type="textWrapping"/>
            </w:r>
            <w:r>
              <w:rPr>
                <w:rFonts w:hint="eastAsia" w:ascii="宋体" w:hAnsi="宋体" w:cs="宋体"/>
                <w:color w:val="auto"/>
                <w:kern w:val="0"/>
                <w:sz w:val="24"/>
                <w:szCs w:val="24"/>
                <w:lang w:bidi="ar"/>
              </w:rPr>
              <w:t>11.适用门型：木门、玻璃门、金属门、防火门。</w:t>
            </w:r>
          </w:p>
        </w:tc>
        <w:tc>
          <w:tcPr>
            <w:tcW w:w="422" w:type="pct"/>
            <w:tcBorders>
              <w:top w:val="single" w:color="000000" w:sz="4" w:space="0"/>
              <w:left w:val="single" w:color="000000" w:sz="4" w:space="0"/>
              <w:bottom w:val="single" w:color="000000" w:sz="4" w:space="0"/>
              <w:right w:val="single" w:color="000000" w:sz="4" w:space="0"/>
            </w:tcBorders>
            <w:noWrap w:val="0"/>
            <w:vAlign w:val="center"/>
          </w:tcPr>
          <w:p w14:paraId="0C8875F5">
            <w:pPr>
              <w:widowControl/>
              <w:snapToGrid w:val="0"/>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3</w:t>
            </w:r>
          </w:p>
        </w:tc>
        <w:tc>
          <w:tcPr>
            <w:tcW w:w="423" w:type="pct"/>
            <w:tcBorders>
              <w:top w:val="single" w:color="000000" w:sz="4" w:space="0"/>
              <w:left w:val="single" w:color="000000" w:sz="4" w:space="0"/>
              <w:bottom w:val="single" w:color="000000" w:sz="4" w:space="0"/>
              <w:right w:val="single" w:color="000000" w:sz="4" w:space="0"/>
            </w:tcBorders>
            <w:noWrap w:val="0"/>
            <w:vAlign w:val="center"/>
          </w:tcPr>
          <w:p w14:paraId="2A479C22">
            <w:pPr>
              <w:widowControl/>
              <w:snapToGrid w:val="0"/>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台</w:t>
            </w:r>
          </w:p>
        </w:tc>
      </w:tr>
      <w:tr w14:paraId="6A33360D">
        <w:tblPrEx>
          <w:tblCellMar>
            <w:top w:w="0" w:type="dxa"/>
            <w:left w:w="108" w:type="dxa"/>
            <w:bottom w:w="0" w:type="dxa"/>
            <w:right w:w="108" w:type="dxa"/>
          </w:tblCellMar>
        </w:tblPrEx>
        <w:trPr>
          <w:trHeight w:val="439" w:hRule="atLeast"/>
          <w:jc w:val="center"/>
        </w:trPr>
        <w:tc>
          <w:tcPr>
            <w:tcW w:w="285" w:type="pct"/>
            <w:tcBorders>
              <w:top w:val="single" w:color="000000" w:sz="4" w:space="0"/>
              <w:left w:val="single" w:color="000000" w:sz="4" w:space="0"/>
              <w:bottom w:val="single" w:color="000000" w:sz="4" w:space="0"/>
              <w:right w:val="single" w:color="000000" w:sz="4" w:space="0"/>
            </w:tcBorders>
            <w:noWrap w:val="0"/>
            <w:vAlign w:val="center"/>
          </w:tcPr>
          <w:p w14:paraId="497C65F0">
            <w:pPr>
              <w:widowControl/>
              <w:snapToGrid w:val="0"/>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6</w:t>
            </w:r>
          </w:p>
        </w:tc>
        <w:tc>
          <w:tcPr>
            <w:tcW w:w="577" w:type="pct"/>
            <w:tcBorders>
              <w:top w:val="single" w:color="000000" w:sz="4" w:space="0"/>
              <w:left w:val="single" w:color="000000" w:sz="4" w:space="0"/>
              <w:bottom w:val="single" w:color="000000" w:sz="4" w:space="0"/>
              <w:right w:val="single" w:color="000000" w:sz="4" w:space="0"/>
            </w:tcBorders>
            <w:noWrap w:val="0"/>
            <w:vAlign w:val="center"/>
          </w:tcPr>
          <w:p w14:paraId="4E1E12E8">
            <w:pPr>
              <w:widowControl/>
              <w:snapToGrid w:val="0"/>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重型闭门器</w:t>
            </w:r>
          </w:p>
        </w:tc>
        <w:tc>
          <w:tcPr>
            <w:tcW w:w="3290" w:type="pct"/>
            <w:tcBorders>
              <w:top w:val="single" w:color="000000" w:sz="4" w:space="0"/>
              <w:left w:val="single" w:color="000000" w:sz="4" w:space="0"/>
              <w:bottom w:val="single" w:color="000000" w:sz="4" w:space="0"/>
              <w:right w:val="single" w:color="000000" w:sz="4" w:space="0"/>
            </w:tcBorders>
            <w:noWrap w:val="0"/>
            <w:vAlign w:val="center"/>
          </w:tcPr>
          <w:p w14:paraId="0E89E782">
            <w:pPr>
              <w:widowControl/>
              <w:snapToGrid w:val="0"/>
              <w:textAlignment w:val="center"/>
              <w:rPr>
                <w:rFonts w:hint="eastAsia" w:ascii="宋体" w:hAnsi="宋体" w:cs="宋体"/>
                <w:color w:val="auto"/>
                <w:sz w:val="24"/>
                <w:szCs w:val="24"/>
              </w:rPr>
            </w:pPr>
            <w:r>
              <w:rPr>
                <w:rFonts w:hint="eastAsia" w:ascii="宋体" w:hAnsi="宋体" w:cs="宋体"/>
                <w:color w:val="auto"/>
                <w:kern w:val="0"/>
                <w:sz w:val="24"/>
                <w:szCs w:val="24"/>
                <w:lang w:bidi="ar"/>
              </w:rPr>
              <w:t>不定位型，拉力不小于150KG</w:t>
            </w:r>
          </w:p>
        </w:tc>
        <w:tc>
          <w:tcPr>
            <w:tcW w:w="422" w:type="pct"/>
            <w:tcBorders>
              <w:top w:val="single" w:color="000000" w:sz="4" w:space="0"/>
              <w:left w:val="single" w:color="000000" w:sz="4" w:space="0"/>
              <w:bottom w:val="single" w:color="000000" w:sz="4" w:space="0"/>
              <w:right w:val="single" w:color="000000" w:sz="4" w:space="0"/>
            </w:tcBorders>
            <w:noWrap w:val="0"/>
            <w:vAlign w:val="center"/>
          </w:tcPr>
          <w:p w14:paraId="303CAAA6">
            <w:pPr>
              <w:widowControl/>
              <w:snapToGrid w:val="0"/>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43</w:t>
            </w:r>
          </w:p>
        </w:tc>
        <w:tc>
          <w:tcPr>
            <w:tcW w:w="423" w:type="pct"/>
            <w:tcBorders>
              <w:top w:val="single" w:color="000000" w:sz="4" w:space="0"/>
              <w:left w:val="single" w:color="000000" w:sz="4" w:space="0"/>
              <w:bottom w:val="single" w:color="000000" w:sz="4" w:space="0"/>
              <w:right w:val="single" w:color="000000" w:sz="4" w:space="0"/>
            </w:tcBorders>
            <w:noWrap w:val="0"/>
            <w:vAlign w:val="center"/>
          </w:tcPr>
          <w:p w14:paraId="1799E2D2">
            <w:pPr>
              <w:widowControl/>
              <w:snapToGrid w:val="0"/>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个</w:t>
            </w:r>
          </w:p>
        </w:tc>
      </w:tr>
      <w:tr w14:paraId="1B474B8D">
        <w:tblPrEx>
          <w:tblCellMar>
            <w:top w:w="0" w:type="dxa"/>
            <w:left w:w="108" w:type="dxa"/>
            <w:bottom w:w="0" w:type="dxa"/>
            <w:right w:w="108" w:type="dxa"/>
          </w:tblCellMar>
        </w:tblPrEx>
        <w:trPr>
          <w:trHeight w:val="439" w:hRule="atLeast"/>
          <w:jc w:val="center"/>
        </w:trPr>
        <w:tc>
          <w:tcPr>
            <w:tcW w:w="285" w:type="pct"/>
            <w:tcBorders>
              <w:top w:val="single" w:color="000000" w:sz="4" w:space="0"/>
              <w:left w:val="single" w:color="000000" w:sz="4" w:space="0"/>
              <w:bottom w:val="single" w:color="000000" w:sz="4" w:space="0"/>
              <w:right w:val="single" w:color="000000" w:sz="4" w:space="0"/>
            </w:tcBorders>
            <w:noWrap w:val="0"/>
            <w:vAlign w:val="center"/>
          </w:tcPr>
          <w:p w14:paraId="0614B1DB">
            <w:pPr>
              <w:widowControl/>
              <w:snapToGrid w:val="0"/>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7</w:t>
            </w:r>
          </w:p>
        </w:tc>
        <w:tc>
          <w:tcPr>
            <w:tcW w:w="577" w:type="pct"/>
            <w:tcBorders>
              <w:top w:val="single" w:color="000000" w:sz="4" w:space="0"/>
              <w:left w:val="single" w:color="000000" w:sz="4" w:space="0"/>
              <w:bottom w:val="single" w:color="000000" w:sz="4" w:space="0"/>
              <w:right w:val="single" w:color="000000" w:sz="4" w:space="0"/>
            </w:tcBorders>
            <w:noWrap w:val="0"/>
            <w:vAlign w:val="center"/>
          </w:tcPr>
          <w:p w14:paraId="26150D4B">
            <w:pPr>
              <w:widowControl/>
              <w:snapToGrid w:val="0"/>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门禁专用电源</w:t>
            </w:r>
          </w:p>
        </w:tc>
        <w:tc>
          <w:tcPr>
            <w:tcW w:w="3290" w:type="pct"/>
            <w:tcBorders>
              <w:top w:val="single" w:color="000000" w:sz="4" w:space="0"/>
              <w:left w:val="single" w:color="000000" w:sz="4" w:space="0"/>
              <w:bottom w:val="single" w:color="000000" w:sz="4" w:space="0"/>
              <w:right w:val="single" w:color="000000" w:sz="4" w:space="0"/>
            </w:tcBorders>
            <w:noWrap w:val="0"/>
            <w:vAlign w:val="center"/>
          </w:tcPr>
          <w:p w14:paraId="728B2369">
            <w:pPr>
              <w:widowControl/>
              <w:snapToGrid w:val="0"/>
              <w:textAlignment w:val="center"/>
              <w:rPr>
                <w:rFonts w:hint="eastAsia" w:ascii="宋体" w:hAnsi="宋体" w:cs="宋体"/>
                <w:color w:val="auto"/>
                <w:sz w:val="24"/>
                <w:szCs w:val="24"/>
              </w:rPr>
            </w:pPr>
            <w:r>
              <w:rPr>
                <w:rFonts w:hint="eastAsia" w:ascii="宋体" w:hAnsi="宋体" w:cs="宋体"/>
                <w:color w:val="auto"/>
                <w:kern w:val="0"/>
                <w:sz w:val="24"/>
                <w:szCs w:val="24"/>
                <w:lang w:bidi="ar"/>
              </w:rPr>
              <w:t>门禁专用电源，输出不小于12V5A</w:t>
            </w:r>
          </w:p>
        </w:tc>
        <w:tc>
          <w:tcPr>
            <w:tcW w:w="422" w:type="pct"/>
            <w:tcBorders>
              <w:top w:val="single" w:color="000000" w:sz="4" w:space="0"/>
              <w:left w:val="single" w:color="000000" w:sz="4" w:space="0"/>
              <w:bottom w:val="single" w:color="000000" w:sz="4" w:space="0"/>
              <w:right w:val="single" w:color="000000" w:sz="4" w:space="0"/>
            </w:tcBorders>
            <w:noWrap w:val="0"/>
            <w:vAlign w:val="center"/>
          </w:tcPr>
          <w:p w14:paraId="76C1D624">
            <w:pPr>
              <w:widowControl/>
              <w:snapToGrid w:val="0"/>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12</w:t>
            </w:r>
          </w:p>
        </w:tc>
        <w:tc>
          <w:tcPr>
            <w:tcW w:w="423" w:type="pct"/>
            <w:tcBorders>
              <w:top w:val="single" w:color="000000" w:sz="4" w:space="0"/>
              <w:left w:val="single" w:color="000000" w:sz="4" w:space="0"/>
              <w:bottom w:val="single" w:color="000000" w:sz="4" w:space="0"/>
              <w:right w:val="single" w:color="000000" w:sz="4" w:space="0"/>
            </w:tcBorders>
            <w:noWrap w:val="0"/>
            <w:vAlign w:val="center"/>
          </w:tcPr>
          <w:p w14:paraId="4A6B28F9">
            <w:pPr>
              <w:widowControl/>
              <w:snapToGrid w:val="0"/>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台</w:t>
            </w:r>
          </w:p>
        </w:tc>
      </w:tr>
      <w:tr w14:paraId="649A0E0B">
        <w:tblPrEx>
          <w:tblCellMar>
            <w:top w:w="0" w:type="dxa"/>
            <w:left w:w="108" w:type="dxa"/>
            <w:bottom w:w="0" w:type="dxa"/>
            <w:right w:w="108" w:type="dxa"/>
          </w:tblCellMar>
        </w:tblPrEx>
        <w:trPr>
          <w:trHeight w:val="439" w:hRule="atLeast"/>
          <w:jc w:val="center"/>
        </w:trPr>
        <w:tc>
          <w:tcPr>
            <w:tcW w:w="285" w:type="pct"/>
            <w:tcBorders>
              <w:top w:val="single" w:color="000000" w:sz="4" w:space="0"/>
              <w:left w:val="single" w:color="000000" w:sz="4" w:space="0"/>
              <w:bottom w:val="single" w:color="000000" w:sz="4" w:space="0"/>
              <w:right w:val="single" w:color="000000" w:sz="4" w:space="0"/>
            </w:tcBorders>
            <w:noWrap w:val="0"/>
            <w:vAlign w:val="center"/>
          </w:tcPr>
          <w:p w14:paraId="13B48904">
            <w:pPr>
              <w:widowControl/>
              <w:snapToGrid w:val="0"/>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8</w:t>
            </w:r>
          </w:p>
        </w:tc>
        <w:tc>
          <w:tcPr>
            <w:tcW w:w="577" w:type="pct"/>
            <w:tcBorders>
              <w:top w:val="single" w:color="000000" w:sz="4" w:space="0"/>
              <w:left w:val="single" w:color="000000" w:sz="4" w:space="0"/>
              <w:bottom w:val="single" w:color="000000" w:sz="4" w:space="0"/>
              <w:right w:val="single" w:color="000000" w:sz="4" w:space="0"/>
            </w:tcBorders>
            <w:noWrap w:val="0"/>
            <w:vAlign w:val="center"/>
          </w:tcPr>
          <w:p w14:paraId="33E1367A">
            <w:pPr>
              <w:widowControl/>
              <w:snapToGrid w:val="0"/>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声光报警器</w:t>
            </w:r>
          </w:p>
        </w:tc>
        <w:tc>
          <w:tcPr>
            <w:tcW w:w="3290" w:type="pct"/>
            <w:tcBorders>
              <w:top w:val="single" w:color="000000" w:sz="4" w:space="0"/>
              <w:left w:val="single" w:color="000000" w:sz="4" w:space="0"/>
              <w:bottom w:val="single" w:color="000000" w:sz="4" w:space="0"/>
              <w:right w:val="single" w:color="000000" w:sz="4" w:space="0"/>
            </w:tcBorders>
            <w:noWrap w:val="0"/>
            <w:vAlign w:val="center"/>
          </w:tcPr>
          <w:p w14:paraId="105949C8">
            <w:pPr>
              <w:widowControl/>
              <w:snapToGrid w:val="0"/>
              <w:textAlignment w:val="center"/>
              <w:rPr>
                <w:rFonts w:hint="eastAsia" w:ascii="宋体" w:hAnsi="宋体" w:cs="宋体"/>
                <w:color w:val="auto"/>
                <w:sz w:val="24"/>
                <w:szCs w:val="24"/>
              </w:rPr>
            </w:pPr>
            <w:r>
              <w:rPr>
                <w:rFonts w:hint="eastAsia" w:ascii="宋体" w:hAnsi="宋体" w:cs="宋体"/>
                <w:color w:val="auto"/>
                <w:kern w:val="0"/>
                <w:sz w:val="24"/>
                <w:szCs w:val="24"/>
                <w:lang w:bidi="ar"/>
              </w:rPr>
              <w:t>声光报警器，带延时报警，声音可调</w:t>
            </w:r>
          </w:p>
        </w:tc>
        <w:tc>
          <w:tcPr>
            <w:tcW w:w="422" w:type="pct"/>
            <w:tcBorders>
              <w:top w:val="single" w:color="000000" w:sz="4" w:space="0"/>
              <w:left w:val="single" w:color="000000" w:sz="4" w:space="0"/>
              <w:bottom w:val="single" w:color="000000" w:sz="4" w:space="0"/>
              <w:right w:val="single" w:color="000000" w:sz="4" w:space="0"/>
            </w:tcBorders>
            <w:noWrap w:val="0"/>
            <w:vAlign w:val="center"/>
          </w:tcPr>
          <w:p w14:paraId="6164A39C">
            <w:pPr>
              <w:widowControl/>
              <w:snapToGrid w:val="0"/>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46</w:t>
            </w:r>
          </w:p>
        </w:tc>
        <w:tc>
          <w:tcPr>
            <w:tcW w:w="423" w:type="pct"/>
            <w:tcBorders>
              <w:top w:val="single" w:color="000000" w:sz="4" w:space="0"/>
              <w:left w:val="single" w:color="000000" w:sz="4" w:space="0"/>
              <w:bottom w:val="single" w:color="000000" w:sz="4" w:space="0"/>
              <w:right w:val="single" w:color="000000" w:sz="4" w:space="0"/>
            </w:tcBorders>
            <w:noWrap w:val="0"/>
            <w:vAlign w:val="center"/>
          </w:tcPr>
          <w:p w14:paraId="3D0DFDD0">
            <w:pPr>
              <w:widowControl/>
              <w:snapToGrid w:val="0"/>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套</w:t>
            </w:r>
          </w:p>
        </w:tc>
      </w:tr>
      <w:tr w14:paraId="43A92378">
        <w:tblPrEx>
          <w:tblCellMar>
            <w:top w:w="0" w:type="dxa"/>
            <w:left w:w="108" w:type="dxa"/>
            <w:bottom w:w="0" w:type="dxa"/>
            <w:right w:w="108" w:type="dxa"/>
          </w:tblCellMar>
        </w:tblPrEx>
        <w:trPr>
          <w:trHeight w:val="439" w:hRule="atLeast"/>
          <w:jc w:val="center"/>
        </w:trPr>
        <w:tc>
          <w:tcPr>
            <w:tcW w:w="285" w:type="pct"/>
            <w:tcBorders>
              <w:top w:val="single" w:color="000000" w:sz="4" w:space="0"/>
              <w:left w:val="single" w:color="000000" w:sz="4" w:space="0"/>
              <w:bottom w:val="single" w:color="000000" w:sz="4" w:space="0"/>
              <w:right w:val="single" w:color="000000" w:sz="4" w:space="0"/>
            </w:tcBorders>
            <w:noWrap w:val="0"/>
            <w:vAlign w:val="center"/>
          </w:tcPr>
          <w:p w14:paraId="2EE6ACA6">
            <w:pPr>
              <w:widowControl/>
              <w:snapToGrid w:val="0"/>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9</w:t>
            </w:r>
          </w:p>
        </w:tc>
        <w:tc>
          <w:tcPr>
            <w:tcW w:w="577" w:type="pct"/>
            <w:tcBorders>
              <w:top w:val="single" w:color="000000" w:sz="4" w:space="0"/>
              <w:left w:val="single" w:color="000000" w:sz="4" w:space="0"/>
              <w:bottom w:val="single" w:color="000000" w:sz="4" w:space="0"/>
              <w:right w:val="single" w:color="000000" w:sz="4" w:space="0"/>
            </w:tcBorders>
            <w:noWrap w:val="0"/>
            <w:vAlign w:val="center"/>
          </w:tcPr>
          <w:p w14:paraId="4DD41C5A">
            <w:pPr>
              <w:widowControl/>
              <w:snapToGrid w:val="0"/>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紧急开关</w:t>
            </w:r>
          </w:p>
        </w:tc>
        <w:tc>
          <w:tcPr>
            <w:tcW w:w="3290" w:type="pct"/>
            <w:tcBorders>
              <w:top w:val="single" w:color="000000" w:sz="4" w:space="0"/>
              <w:left w:val="single" w:color="000000" w:sz="4" w:space="0"/>
              <w:bottom w:val="single" w:color="000000" w:sz="4" w:space="0"/>
              <w:right w:val="single" w:color="000000" w:sz="4" w:space="0"/>
            </w:tcBorders>
            <w:noWrap w:val="0"/>
            <w:vAlign w:val="center"/>
          </w:tcPr>
          <w:p w14:paraId="062EB473">
            <w:pPr>
              <w:widowControl/>
              <w:snapToGrid w:val="0"/>
              <w:textAlignment w:val="center"/>
              <w:rPr>
                <w:rFonts w:hint="eastAsia" w:ascii="宋体" w:hAnsi="宋体" w:cs="宋体"/>
                <w:color w:val="auto"/>
                <w:sz w:val="24"/>
                <w:szCs w:val="24"/>
              </w:rPr>
            </w:pPr>
            <w:r>
              <w:rPr>
                <w:rFonts w:hint="eastAsia" w:ascii="宋体" w:hAnsi="宋体" w:cs="宋体"/>
                <w:color w:val="auto"/>
                <w:kern w:val="0"/>
                <w:sz w:val="24"/>
                <w:szCs w:val="24"/>
                <w:lang w:bidi="ar"/>
              </w:rPr>
              <w:t>用于紧急情况下强制破碎按钮，可常开门</w:t>
            </w:r>
          </w:p>
        </w:tc>
        <w:tc>
          <w:tcPr>
            <w:tcW w:w="422" w:type="pct"/>
            <w:tcBorders>
              <w:top w:val="single" w:color="000000" w:sz="4" w:space="0"/>
              <w:left w:val="single" w:color="000000" w:sz="4" w:space="0"/>
              <w:bottom w:val="single" w:color="000000" w:sz="4" w:space="0"/>
              <w:right w:val="single" w:color="000000" w:sz="4" w:space="0"/>
            </w:tcBorders>
            <w:noWrap w:val="0"/>
            <w:vAlign w:val="center"/>
          </w:tcPr>
          <w:p w14:paraId="4B2FB467">
            <w:pPr>
              <w:widowControl/>
              <w:snapToGrid w:val="0"/>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46</w:t>
            </w:r>
          </w:p>
        </w:tc>
        <w:tc>
          <w:tcPr>
            <w:tcW w:w="423" w:type="pct"/>
            <w:tcBorders>
              <w:top w:val="single" w:color="000000" w:sz="4" w:space="0"/>
              <w:left w:val="single" w:color="000000" w:sz="4" w:space="0"/>
              <w:bottom w:val="single" w:color="000000" w:sz="4" w:space="0"/>
              <w:right w:val="single" w:color="000000" w:sz="4" w:space="0"/>
            </w:tcBorders>
            <w:noWrap w:val="0"/>
            <w:vAlign w:val="center"/>
          </w:tcPr>
          <w:p w14:paraId="14210F1B">
            <w:pPr>
              <w:widowControl/>
              <w:snapToGrid w:val="0"/>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套</w:t>
            </w:r>
          </w:p>
        </w:tc>
      </w:tr>
      <w:tr w14:paraId="11FFEF0D">
        <w:tblPrEx>
          <w:tblCellMar>
            <w:top w:w="0" w:type="dxa"/>
            <w:left w:w="108" w:type="dxa"/>
            <w:bottom w:w="0" w:type="dxa"/>
            <w:right w:w="108" w:type="dxa"/>
          </w:tblCellMar>
        </w:tblPrEx>
        <w:trPr>
          <w:trHeight w:val="439" w:hRule="atLeast"/>
          <w:jc w:val="center"/>
        </w:trPr>
        <w:tc>
          <w:tcPr>
            <w:tcW w:w="285" w:type="pct"/>
            <w:tcBorders>
              <w:top w:val="single" w:color="000000" w:sz="4" w:space="0"/>
              <w:left w:val="single" w:color="000000" w:sz="4" w:space="0"/>
              <w:bottom w:val="single" w:color="000000" w:sz="4" w:space="0"/>
              <w:right w:val="single" w:color="000000" w:sz="4" w:space="0"/>
            </w:tcBorders>
            <w:noWrap w:val="0"/>
            <w:vAlign w:val="center"/>
          </w:tcPr>
          <w:p w14:paraId="7279BFC6">
            <w:pPr>
              <w:widowControl/>
              <w:snapToGrid w:val="0"/>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10</w:t>
            </w:r>
          </w:p>
        </w:tc>
        <w:tc>
          <w:tcPr>
            <w:tcW w:w="577" w:type="pct"/>
            <w:tcBorders>
              <w:top w:val="single" w:color="000000" w:sz="4" w:space="0"/>
              <w:left w:val="single" w:color="000000" w:sz="4" w:space="0"/>
              <w:bottom w:val="single" w:color="000000" w:sz="4" w:space="0"/>
              <w:right w:val="single" w:color="000000" w:sz="4" w:space="0"/>
            </w:tcBorders>
            <w:noWrap w:val="0"/>
            <w:vAlign w:val="center"/>
          </w:tcPr>
          <w:p w14:paraId="148AD02F">
            <w:pPr>
              <w:widowControl/>
              <w:snapToGrid w:val="0"/>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总配电箱</w:t>
            </w:r>
          </w:p>
        </w:tc>
        <w:tc>
          <w:tcPr>
            <w:tcW w:w="3290" w:type="pct"/>
            <w:tcBorders>
              <w:top w:val="single" w:color="000000" w:sz="4" w:space="0"/>
              <w:left w:val="single" w:color="000000" w:sz="4" w:space="0"/>
              <w:bottom w:val="single" w:color="000000" w:sz="4" w:space="0"/>
              <w:right w:val="single" w:color="000000" w:sz="4" w:space="0"/>
            </w:tcBorders>
            <w:noWrap w:val="0"/>
            <w:vAlign w:val="center"/>
          </w:tcPr>
          <w:p w14:paraId="4694AF51">
            <w:pPr>
              <w:widowControl/>
              <w:snapToGrid w:val="0"/>
              <w:textAlignment w:val="center"/>
              <w:rPr>
                <w:rFonts w:hint="eastAsia" w:ascii="宋体" w:hAnsi="宋体" w:cs="宋体"/>
                <w:color w:val="auto"/>
                <w:sz w:val="24"/>
                <w:szCs w:val="24"/>
              </w:rPr>
            </w:pPr>
            <w:r>
              <w:rPr>
                <w:rFonts w:hint="eastAsia" w:ascii="宋体" w:hAnsi="宋体" w:cs="宋体"/>
                <w:color w:val="auto"/>
                <w:kern w:val="0"/>
                <w:sz w:val="24"/>
                <w:szCs w:val="24"/>
                <w:lang w:bidi="ar"/>
              </w:rPr>
              <w:t>定制装配，接受消防信号后断开电源</w:t>
            </w:r>
          </w:p>
        </w:tc>
        <w:tc>
          <w:tcPr>
            <w:tcW w:w="422" w:type="pct"/>
            <w:tcBorders>
              <w:top w:val="single" w:color="000000" w:sz="4" w:space="0"/>
              <w:left w:val="single" w:color="000000" w:sz="4" w:space="0"/>
              <w:bottom w:val="single" w:color="000000" w:sz="4" w:space="0"/>
              <w:right w:val="single" w:color="000000" w:sz="4" w:space="0"/>
            </w:tcBorders>
            <w:noWrap w:val="0"/>
            <w:vAlign w:val="center"/>
          </w:tcPr>
          <w:p w14:paraId="6871C9B7">
            <w:pPr>
              <w:widowControl/>
              <w:snapToGrid w:val="0"/>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1</w:t>
            </w:r>
          </w:p>
        </w:tc>
        <w:tc>
          <w:tcPr>
            <w:tcW w:w="423" w:type="pct"/>
            <w:tcBorders>
              <w:top w:val="single" w:color="000000" w:sz="4" w:space="0"/>
              <w:left w:val="single" w:color="000000" w:sz="4" w:space="0"/>
              <w:bottom w:val="single" w:color="000000" w:sz="4" w:space="0"/>
              <w:right w:val="single" w:color="000000" w:sz="4" w:space="0"/>
            </w:tcBorders>
            <w:noWrap w:val="0"/>
            <w:vAlign w:val="center"/>
          </w:tcPr>
          <w:p w14:paraId="56C80360">
            <w:pPr>
              <w:widowControl/>
              <w:snapToGrid w:val="0"/>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套</w:t>
            </w:r>
          </w:p>
        </w:tc>
      </w:tr>
      <w:tr w14:paraId="0A4C6100">
        <w:tblPrEx>
          <w:tblCellMar>
            <w:top w:w="0" w:type="dxa"/>
            <w:left w:w="108" w:type="dxa"/>
            <w:bottom w:w="0" w:type="dxa"/>
            <w:right w:w="108" w:type="dxa"/>
          </w:tblCellMar>
        </w:tblPrEx>
        <w:trPr>
          <w:trHeight w:val="439" w:hRule="atLeast"/>
          <w:jc w:val="center"/>
        </w:trPr>
        <w:tc>
          <w:tcPr>
            <w:tcW w:w="285" w:type="pct"/>
            <w:tcBorders>
              <w:top w:val="single" w:color="000000" w:sz="4" w:space="0"/>
              <w:left w:val="single" w:color="000000" w:sz="4" w:space="0"/>
              <w:bottom w:val="single" w:color="000000" w:sz="4" w:space="0"/>
              <w:right w:val="single" w:color="000000" w:sz="4" w:space="0"/>
            </w:tcBorders>
            <w:noWrap w:val="0"/>
            <w:vAlign w:val="center"/>
          </w:tcPr>
          <w:p w14:paraId="317F391C">
            <w:pPr>
              <w:widowControl/>
              <w:snapToGrid w:val="0"/>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11</w:t>
            </w:r>
          </w:p>
        </w:tc>
        <w:tc>
          <w:tcPr>
            <w:tcW w:w="577" w:type="pct"/>
            <w:tcBorders>
              <w:top w:val="single" w:color="000000" w:sz="4" w:space="0"/>
              <w:left w:val="single" w:color="000000" w:sz="4" w:space="0"/>
              <w:bottom w:val="single" w:color="000000" w:sz="4" w:space="0"/>
              <w:right w:val="single" w:color="000000" w:sz="4" w:space="0"/>
            </w:tcBorders>
            <w:noWrap w:val="0"/>
            <w:vAlign w:val="center"/>
          </w:tcPr>
          <w:p w14:paraId="1652C3A8">
            <w:pPr>
              <w:widowControl/>
              <w:snapToGrid w:val="0"/>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楼层配电箱</w:t>
            </w:r>
          </w:p>
        </w:tc>
        <w:tc>
          <w:tcPr>
            <w:tcW w:w="3290" w:type="pct"/>
            <w:tcBorders>
              <w:top w:val="single" w:color="000000" w:sz="4" w:space="0"/>
              <w:left w:val="single" w:color="000000" w:sz="4" w:space="0"/>
              <w:bottom w:val="single" w:color="000000" w:sz="4" w:space="0"/>
              <w:right w:val="single" w:color="000000" w:sz="4" w:space="0"/>
            </w:tcBorders>
            <w:noWrap w:val="0"/>
            <w:vAlign w:val="center"/>
          </w:tcPr>
          <w:p w14:paraId="48729BB6">
            <w:pPr>
              <w:widowControl/>
              <w:snapToGrid w:val="0"/>
              <w:textAlignment w:val="center"/>
              <w:rPr>
                <w:rFonts w:hint="eastAsia" w:ascii="宋体" w:hAnsi="宋体" w:cs="宋体"/>
                <w:color w:val="auto"/>
                <w:sz w:val="24"/>
                <w:szCs w:val="24"/>
              </w:rPr>
            </w:pPr>
            <w:r>
              <w:rPr>
                <w:rFonts w:hint="eastAsia" w:ascii="宋体" w:hAnsi="宋体" w:cs="宋体"/>
                <w:color w:val="auto"/>
                <w:kern w:val="0"/>
                <w:sz w:val="24"/>
                <w:szCs w:val="24"/>
                <w:lang w:bidi="ar"/>
              </w:rPr>
              <w:t>定制装配，接受消防信号后断开电源</w:t>
            </w:r>
          </w:p>
        </w:tc>
        <w:tc>
          <w:tcPr>
            <w:tcW w:w="422" w:type="pct"/>
            <w:tcBorders>
              <w:top w:val="single" w:color="000000" w:sz="4" w:space="0"/>
              <w:left w:val="single" w:color="000000" w:sz="4" w:space="0"/>
              <w:bottom w:val="single" w:color="000000" w:sz="4" w:space="0"/>
              <w:right w:val="single" w:color="000000" w:sz="4" w:space="0"/>
            </w:tcBorders>
            <w:noWrap w:val="0"/>
            <w:vAlign w:val="center"/>
          </w:tcPr>
          <w:p w14:paraId="07857EBF">
            <w:pPr>
              <w:widowControl/>
              <w:snapToGrid w:val="0"/>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6</w:t>
            </w:r>
          </w:p>
        </w:tc>
        <w:tc>
          <w:tcPr>
            <w:tcW w:w="423" w:type="pct"/>
            <w:tcBorders>
              <w:top w:val="single" w:color="000000" w:sz="4" w:space="0"/>
              <w:left w:val="single" w:color="000000" w:sz="4" w:space="0"/>
              <w:bottom w:val="single" w:color="000000" w:sz="4" w:space="0"/>
              <w:right w:val="single" w:color="000000" w:sz="4" w:space="0"/>
            </w:tcBorders>
            <w:noWrap w:val="0"/>
            <w:vAlign w:val="center"/>
          </w:tcPr>
          <w:p w14:paraId="7C349247">
            <w:pPr>
              <w:widowControl/>
              <w:snapToGrid w:val="0"/>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套</w:t>
            </w:r>
          </w:p>
        </w:tc>
      </w:tr>
      <w:tr w14:paraId="7D0FD90B">
        <w:tblPrEx>
          <w:tblCellMar>
            <w:top w:w="0" w:type="dxa"/>
            <w:left w:w="108" w:type="dxa"/>
            <w:bottom w:w="0" w:type="dxa"/>
            <w:right w:w="108" w:type="dxa"/>
          </w:tblCellMar>
        </w:tblPrEx>
        <w:trPr>
          <w:trHeight w:val="1833" w:hRule="atLeast"/>
          <w:jc w:val="center"/>
        </w:trPr>
        <w:tc>
          <w:tcPr>
            <w:tcW w:w="285" w:type="pct"/>
            <w:tcBorders>
              <w:top w:val="single" w:color="000000" w:sz="4" w:space="0"/>
              <w:left w:val="single" w:color="000000" w:sz="4" w:space="0"/>
              <w:bottom w:val="single" w:color="000000" w:sz="4" w:space="0"/>
              <w:right w:val="single" w:color="000000" w:sz="4" w:space="0"/>
            </w:tcBorders>
            <w:noWrap w:val="0"/>
            <w:vAlign w:val="center"/>
          </w:tcPr>
          <w:p w14:paraId="588A57F5">
            <w:pPr>
              <w:widowControl/>
              <w:snapToGrid w:val="0"/>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12</w:t>
            </w:r>
          </w:p>
        </w:tc>
        <w:tc>
          <w:tcPr>
            <w:tcW w:w="577" w:type="pct"/>
            <w:tcBorders>
              <w:top w:val="single" w:color="000000" w:sz="4" w:space="0"/>
              <w:left w:val="single" w:color="000000" w:sz="4" w:space="0"/>
              <w:bottom w:val="single" w:color="000000" w:sz="4" w:space="0"/>
              <w:right w:val="single" w:color="000000" w:sz="4" w:space="0"/>
            </w:tcBorders>
            <w:noWrap w:val="0"/>
            <w:vAlign w:val="center"/>
          </w:tcPr>
          <w:p w14:paraId="3905C0BE">
            <w:pPr>
              <w:widowControl/>
              <w:snapToGrid w:val="0"/>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24口交换机</w:t>
            </w:r>
          </w:p>
        </w:tc>
        <w:tc>
          <w:tcPr>
            <w:tcW w:w="3290" w:type="pct"/>
            <w:tcBorders>
              <w:top w:val="single" w:color="000000" w:sz="4" w:space="0"/>
              <w:left w:val="single" w:color="000000" w:sz="4" w:space="0"/>
              <w:bottom w:val="single" w:color="000000" w:sz="4" w:space="0"/>
              <w:right w:val="single" w:color="000000" w:sz="4" w:space="0"/>
            </w:tcBorders>
            <w:noWrap w:val="0"/>
            <w:vAlign w:val="center"/>
          </w:tcPr>
          <w:p w14:paraId="30648455">
            <w:pPr>
              <w:widowControl/>
              <w:snapToGrid w:val="0"/>
              <w:textAlignment w:val="center"/>
              <w:rPr>
                <w:rFonts w:hint="eastAsia" w:ascii="宋体" w:hAnsi="宋体" w:cs="宋体"/>
                <w:color w:val="auto"/>
                <w:sz w:val="24"/>
                <w:szCs w:val="24"/>
              </w:rPr>
            </w:pPr>
            <w:r>
              <w:rPr>
                <w:rFonts w:hint="eastAsia" w:ascii="宋体" w:hAnsi="宋体" w:cs="宋体"/>
                <w:color w:val="auto"/>
                <w:kern w:val="0"/>
                <w:sz w:val="24"/>
                <w:szCs w:val="24"/>
                <w:lang w:bidi="ar"/>
              </w:rPr>
              <w:t>1.固化千兆电口≥24个，4个1G/2.5G SFP光口；Console口≥1个；</w:t>
            </w:r>
            <w:r>
              <w:rPr>
                <w:rFonts w:hint="eastAsia" w:ascii="宋体" w:hAnsi="宋体" w:cs="宋体"/>
                <w:color w:val="auto"/>
                <w:kern w:val="0"/>
                <w:sz w:val="24"/>
                <w:szCs w:val="24"/>
                <w:lang w:bidi="ar"/>
              </w:rPr>
              <w:br w:type="textWrapping"/>
            </w:r>
            <w:r>
              <w:rPr>
                <w:rFonts w:hint="eastAsia" w:ascii="宋体" w:hAnsi="宋体" w:cs="宋体"/>
                <w:color w:val="auto"/>
                <w:kern w:val="0"/>
                <w:sz w:val="24"/>
                <w:szCs w:val="24"/>
                <w:lang w:bidi="ar"/>
              </w:rPr>
              <w:t>2.须支持全线速转发，交换容量≥336Gbps/3.36Tbps，包转发率≥96Mpps/126Mpps；</w:t>
            </w:r>
            <w:r>
              <w:rPr>
                <w:rFonts w:hint="eastAsia" w:ascii="宋体" w:hAnsi="宋体" w:cs="宋体"/>
                <w:color w:val="auto"/>
                <w:kern w:val="0"/>
                <w:sz w:val="24"/>
                <w:szCs w:val="24"/>
                <w:lang w:bidi="ar"/>
              </w:rPr>
              <w:br w:type="textWrapping"/>
            </w:r>
            <w:r>
              <w:rPr>
                <w:rFonts w:hint="eastAsia" w:ascii="宋体" w:hAnsi="宋体" w:cs="宋体"/>
                <w:color w:val="auto"/>
                <w:kern w:val="0"/>
                <w:sz w:val="24"/>
                <w:szCs w:val="24"/>
                <w:lang w:bidi="ar"/>
              </w:rPr>
              <w:t>3.须支持通过在控制器的 Web 页面对交换机进行可视化管理查看，包括交换机的端口 状态及配置、vlan 信息;</w:t>
            </w:r>
            <w:r>
              <w:rPr>
                <w:rFonts w:hint="eastAsia" w:ascii="宋体" w:hAnsi="宋体" w:cs="宋体"/>
                <w:color w:val="auto"/>
                <w:kern w:val="0"/>
                <w:sz w:val="24"/>
                <w:szCs w:val="24"/>
                <w:lang w:bidi="ar"/>
              </w:rPr>
              <w:br w:type="textWrapping"/>
            </w:r>
            <w:r>
              <w:rPr>
                <w:rFonts w:hint="eastAsia" w:ascii="宋体" w:hAnsi="宋体" w:cs="宋体"/>
                <w:color w:val="auto"/>
                <w:kern w:val="0"/>
                <w:sz w:val="24"/>
                <w:szCs w:val="24"/>
                <w:lang w:bidi="ar"/>
              </w:rPr>
              <w:t>★4.须支持终端类型库，基于指纹自动识别PC、路由器、摄像头设备、无线AP等</w:t>
            </w:r>
            <w:r>
              <w:rPr>
                <w:rFonts w:hint="eastAsia" w:ascii="宋体" w:hAnsi="宋体" w:cs="宋体"/>
                <w:b/>
                <w:bCs/>
                <w:color w:val="auto"/>
                <w:kern w:val="0"/>
                <w:sz w:val="22"/>
                <w:szCs w:val="22"/>
                <w:lang w:bidi="ar"/>
              </w:rPr>
              <w:t>（投标时提供首页具有CMA或CNAS认证标识的第三方检测报告复印件）</w:t>
            </w:r>
            <w:r>
              <w:rPr>
                <w:rFonts w:hint="eastAsia" w:ascii="宋体" w:hAnsi="宋体" w:cs="宋体"/>
                <w:color w:val="auto"/>
                <w:kern w:val="0"/>
                <w:sz w:val="22"/>
                <w:szCs w:val="22"/>
                <w:lang w:bidi="ar"/>
              </w:rPr>
              <w:t>；</w:t>
            </w:r>
            <w:r>
              <w:rPr>
                <w:rFonts w:hint="eastAsia" w:ascii="宋体" w:hAnsi="宋体" w:cs="宋体"/>
                <w:color w:val="auto"/>
                <w:kern w:val="0"/>
                <w:sz w:val="24"/>
                <w:szCs w:val="24"/>
                <w:lang w:bidi="ar"/>
              </w:rPr>
              <w:br w:type="textWrapping"/>
            </w:r>
            <w:r>
              <w:rPr>
                <w:rFonts w:hint="eastAsia" w:ascii="宋体" w:hAnsi="宋体" w:cs="宋体"/>
                <w:color w:val="auto"/>
                <w:kern w:val="0"/>
                <w:sz w:val="24"/>
                <w:szCs w:val="24"/>
                <w:lang w:bidi="ar"/>
              </w:rPr>
              <w:t>★5.须支持零配置上线，支持二层广播自动发现网管中心平台；支持配置静态IP地址三层发现网管中心平台；支持DHCP Option43方式发现网管中心平台；支持DNS域名发现网管中心平台</w:t>
            </w:r>
            <w:r>
              <w:rPr>
                <w:rFonts w:hint="eastAsia" w:ascii="宋体" w:hAnsi="宋体" w:cs="宋体"/>
                <w:b/>
                <w:bCs/>
                <w:color w:val="auto"/>
                <w:kern w:val="0"/>
                <w:sz w:val="22"/>
                <w:szCs w:val="22"/>
                <w:lang w:bidi="ar"/>
              </w:rPr>
              <w:t>（投标时提供首页具有CMA或CNAS认证标识的第三方检测报告复印件）</w:t>
            </w:r>
            <w:r>
              <w:rPr>
                <w:rFonts w:hint="eastAsia" w:ascii="宋体" w:hAnsi="宋体" w:cs="宋体"/>
                <w:color w:val="auto"/>
                <w:kern w:val="0"/>
                <w:sz w:val="22"/>
                <w:szCs w:val="22"/>
                <w:lang w:bidi="ar"/>
              </w:rPr>
              <w:t>；</w:t>
            </w:r>
            <w:r>
              <w:rPr>
                <w:rFonts w:hint="eastAsia" w:ascii="宋体" w:hAnsi="宋体" w:cs="宋体"/>
                <w:color w:val="auto"/>
                <w:kern w:val="0"/>
                <w:sz w:val="24"/>
                <w:szCs w:val="24"/>
                <w:lang w:bidi="ar"/>
              </w:rPr>
              <w:br w:type="textWrapping"/>
            </w:r>
            <w:r>
              <w:rPr>
                <w:rFonts w:hint="eastAsia" w:ascii="宋体" w:hAnsi="宋体" w:cs="宋体"/>
                <w:color w:val="auto"/>
                <w:kern w:val="0"/>
                <w:sz w:val="24"/>
                <w:szCs w:val="24"/>
                <w:lang w:bidi="ar"/>
              </w:rPr>
              <w:t>6.须支持IEEE 802.3az 标准的 EEE节能技术，可减小端口的功耗，达到了节能的目的；</w:t>
            </w:r>
            <w:r>
              <w:rPr>
                <w:rFonts w:hint="eastAsia" w:ascii="宋体" w:hAnsi="宋体" w:cs="宋体"/>
                <w:color w:val="auto"/>
                <w:kern w:val="0"/>
                <w:sz w:val="24"/>
                <w:szCs w:val="24"/>
                <w:lang w:bidi="ar"/>
              </w:rPr>
              <w:br w:type="textWrapping"/>
            </w:r>
            <w:r>
              <w:rPr>
                <w:rFonts w:hint="eastAsia" w:ascii="宋体" w:hAnsi="宋体" w:cs="宋体"/>
                <w:color w:val="auto"/>
                <w:kern w:val="0"/>
                <w:sz w:val="24"/>
                <w:szCs w:val="24"/>
                <w:lang w:bidi="ar"/>
              </w:rPr>
              <w:t>★7.须支持在交换机上创建东西向安全策略，实现全网安全风险拦截</w:t>
            </w:r>
            <w:r>
              <w:rPr>
                <w:rFonts w:hint="eastAsia" w:ascii="宋体" w:hAnsi="宋体" w:cs="宋体"/>
                <w:b/>
                <w:bCs/>
                <w:color w:val="auto"/>
                <w:kern w:val="0"/>
                <w:sz w:val="22"/>
                <w:szCs w:val="22"/>
                <w:lang w:bidi="ar"/>
              </w:rPr>
              <w:t>（投标时提供首页具有CMA或CNAS认证标识的第三方检测报告复印件）</w:t>
            </w:r>
            <w:r>
              <w:rPr>
                <w:rFonts w:hint="eastAsia" w:ascii="宋体" w:hAnsi="宋体" w:cs="宋体"/>
                <w:color w:val="auto"/>
                <w:kern w:val="0"/>
                <w:sz w:val="22"/>
                <w:szCs w:val="22"/>
                <w:lang w:bidi="ar"/>
              </w:rPr>
              <w:t>；</w:t>
            </w:r>
            <w:r>
              <w:rPr>
                <w:rFonts w:hint="eastAsia" w:ascii="宋体" w:hAnsi="宋体" w:cs="宋体"/>
                <w:color w:val="auto"/>
                <w:kern w:val="0"/>
                <w:sz w:val="24"/>
                <w:szCs w:val="24"/>
                <w:lang w:bidi="ar"/>
              </w:rPr>
              <w:br w:type="textWrapping"/>
            </w:r>
            <w:r>
              <w:rPr>
                <w:rFonts w:hint="eastAsia" w:ascii="宋体" w:hAnsi="宋体" w:cs="宋体"/>
                <w:color w:val="auto"/>
                <w:kern w:val="0"/>
                <w:sz w:val="24"/>
                <w:szCs w:val="24"/>
                <w:lang w:bidi="ar"/>
              </w:rPr>
              <w:t>8.具备安全特性，支持与无线网络设备、安全设备联动实现更安全的网络管控；</w:t>
            </w:r>
            <w:r>
              <w:rPr>
                <w:rFonts w:hint="eastAsia" w:ascii="宋体" w:hAnsi="宋体" w:cs="宋体"/>
                <w:color w:val="auto"/>
                <w:kern w:val="0"/>
                <w:sz w:val="24"/>
                <w:szCs w:val="24"/>
                <w:lang w:bidi="ar"/>
              </w:rPr>
              <w:br w:type="textWrapping"/>
            </w:r>
            <w:r>
              <w:rPr>
                <w:rFonts w:hint="eastAsia" w:ascii="宋体" w:hAnsi="宋体" w:cs="宋体"/>
                <w:color w:val="auto"/>
                <w:kern w:val="0"/>
                <w:sz w:val="24"/>
                <w:szCs w:val="24"/>
                <w:lang w:bidi="ar"/>
              </w:rPr>
              <w:t>9.为保证设备在受到外界机械碰撞时能够正常运行，要求所投交换机IK防护测试级别至少达到IK06；</w:t>
            </w:r>
            <w:r>
              <w:rPr>
                <w:rFonts w:hint="eastAsia" w:ascii="宋体" w:hAnsi="宋体" w:cs="宋体"/>
                <w:color w:val="auto"/>
                <w:kern w:val="0"/>
                <w:sz w:val="24"/>
                <w:szCs w:val="24"/>
                <w:lang w:bidi="ar"/>
              </w:rPr>
              <w:br w:type="textWrapping"/>
            </w:r>
            <w:r>
              <w:rPr>
                <w:rFonts w:hint="eastAsia" w:ascii="宋体" w:hAnsi="宋体" w:cs="宋体"/>
                <w:color w:val="auto"/>
                <w:kern w:val="0"/>
                <w:sz w:val="24"/>
                <w:szCs w:val="24"/>
                <w:lang w:bidi="ar"/>
              </w:rPr>
              <w:t>★10.为满足网络安全建设需求，交换机需满足《信息安全技术 交换机安全技术要求 GA/T 684-2007》,符合安全交换机标准</w:t>
            </w:r>
            <w:r>
              <w:rPr>
                <w:rFonts w:hint="eastAsia" w:ascii="宋体" w:hAnsi="宋体" w:cs="宋体"/>
                <w:b/>
                <w:bCs/>
                <w:color w:val="auto"/>
                <w:kern w:val="0"/>
                <w:sz w:val="22"/>
                <w:szCs w:val="22"/>
                <w:lang w:bidi="ar"/>
              </w:rPr>
              <w:t>（投标时提供首页具有CMA或CNAS认证标识的第三方检测报告复印件）。</w:t>
            </w:r>
          </w:p>
        </w:tc>
        <w:tc>
          <w:tcPr>
            <w:tcW w:w="422" w:type="pct"/>
            <w:tcBorders>
              <w:top w:val="single" w:color="000000" w:sz="4" w:space="0"/>
              <w:left w:val="single" w:color="000000" w:sz="4" w:space="0"/>
              <w:bottom w:val="single" w:color="000000" w:sz="4" w:space="0"/>
              <w:right w:val="single" w:color="000000" w:sz="4" w:space="0"/>
            </w:tcBorders>
            <w:noWrap w:val="0"/>
            <w:vAlign w:val="center"/>
          </w:tcPr>
          <w:p w14:paraId="79A6AFF9">
            <w:pPr>
              <w:widowControl/>
              <w:snapToGrid w:val="0"/>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1</w:t>
            </w:r>
          </w:p>
        </w:tc>
        <w:tc>
          <w:tcPr>
            <w:tcW w:w="423" w:type="pct"/>
            <w:tcBorders>
              <w:top w:val="single" w:color="000000" w:sz="4" w:space="0"/>
              <w:left w:val="single" w:color="000000" w:sz="4" w:space="0"/>
              <w:bottom w:val="single" w:color="000000" w:sz="4" w:space="0"/>
              <w:right w:val="single" w:color="000000" w:sz="4" w:space="0"/>
            </w:tcBorders>
            <w:noWrap w:val="0"/>
            <w:vAlign w:val="center"/>
          </w:tcPr>
          <w:p w14:paraId="44EFA2D9">
            <w:pPr>
              <w:widowControl/>
              <w:snapToGrid w:val="0"/>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台</w:t>
            </w:r>
          </w:p>
        </w:tc>
      </w:tr>
      <w:tr w14:paraId="4CEEBF54">
        <w:tblPrEx>
          <w:tblCellMar>
            <w:top w:w="0" w:type="dxa"/>
            <w:left w:w="108" w:type="dxa"/>
            <w:bottom w:w="0" w:type="dxa"/>
            <w:right w:w="108" w:type="dxa"/>
          </w:tblCellMar>
        </w:tblPrEx>
        <w:trPr>
          <w:trHeight w:val="439" w:hRule="atLeast"/>
          <w:jc w:val="center"/>
        </w:trPr>
        <w:tc>
          <w:tcPr>
            <w:tcW w:w="285" w:type="pct"/>
            <w:tcBorders>
              <w:top w:val="single" w:color="000000" w:sz="4" w:space="0"/>
              <w:left w:val="single" w:color="000000" w:sz="4" w:space="0"/>
              <w:bottom w:val="single" w:color="000000" w:sz="4" w:space="0"/>
              <w:right w:val="single" w:color="000000" w:sz="4" w:space="0"/>
            </w:tcBorders>
            <w:noWrap w:val="0"/>
            <w:vAlign w:val="center"/>
          </w:tcPr>
          <w:p w14:paraId="011FEB09">
            <w:pPr>
              <w:widowControl/>
              <w:snapToGrid w:val="0"/>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13</w:t>
            </w:r>
          </w:p>
        </w:tc>
        <w:tc>
          <w:tcPr>
            <w:tcW w:w="577" w:type="pct"/>
            <w:tcBorders>
              <w:top w:val="single" w:color="000000" w:sz="4" w:space="0"/>
              <w:left w:val="single" w:color="000000" w:sz="4" w:space="0"/>
              <w:bottom w:val="single" w:color="000000" w:sz="4" w:space="0"/>
              <w:right w:val="single" w:color="000000" w:sz="4" w:space="0"/>
            </w:tcBorders>
            <w:noWrap w:val="0"/>
            <w:vAlign w:val="center"/>
          </w:tcPr>
          <w:p w14:paraId="57F400ED">
            <w:pPr>
              <w:widowControl/>
              <w:snapToGrid w:val="0"/>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16口交换机</w:t>
            </w:r>
          </w:p>
        </w:tc>
        <w:tc>
          <w:tcPr>
            <w:tcW w:w="3290" w:type="pct"/>
            <w:tcBorders>
              <w:top w:val="single" w:color="000000" w:sz="4" w:space="0"/>
              <w:left w:val="single" w:color="000000" w:sz="4" w:space="0"/>
              <w:bottom w:val="single" w:color="000000" w:sz="4" w:space="0"/>
              <w:right w:val="single" w:color="000000" w:sz="4" w:space="0"/>
            </w:tcBorders>
            <w:noWrap w:val="0"/>
            <w:vAlign w:val="center"/>
          </w:tcPr>
          <w:p w14:paraId="77CAF921">
            <w:pPr>
              <w:widowControl/>
              <w:snapToGrid w:val="0"/>
              <w:textAlignment w:val="center"/>
              <w:rPr>
                <w:rFonts w:hint="eastAsia" w:ascii="宋体" w:hAnsi="宋体" w:cs="宋体"/>
                <w:color w:val="auto"/>
                <w:sz w:val="24"/>
                <w:szCs w:val="24"/>
              </w:rPr>
            </w:pPr>
            <w:r>
              <w:rPr>
                <w:rFonts w:hint="eastAsia" w:ascii="宋体" w:hAnsi="宋体" w:cs="宋体"/>
                <w:color w:val="auto"/>
                <w:kern w:val="0"/>
                <w:sz w:val="24"/>
                <w:szCs w:val="24"/>
                <w:lang w:bidi="ar"/>
              </w:rPr>
              <w:t>1.采用共享缓存架构，每个端口可利用的缓存空间扩大数倍，可大大增强突发大流量的转发性能</w:t>
            </w:r>
            <w:r>
              <w:rPr>
                <w:rFonts w:hint="eastAsia" w:ascii="宋体" w:hAnsi="宋体" w:cs="宋体"/>
                <w:color w:val="auto"/>
                <w:kern w:val="0"/>
                <w:sz w:val="24"/>
                <w:szCs w:val="24"/>
                <w:lang w:bidi="ar"/>
              </w:rPr>
              <w:br w:type="textWrapping"/>
            </w:r>
            <w:r>
              <w:rPr>
                <w:rFonts w:hint="eastAsia" w:ascii="宋体" w:hAnsi="宋体" w:cs="宋体"/>
                <w:color w:val="auto"/>
                <w:kern w:val="0"/>
                <w:sz w:val="24"/>
                <w:szCs w:val="24"/>
                <w:lang w:bidi="ar"/>
              </w:rPr>
              <w:t>2.固化至少16个10/100/1000Base-T电口(包含两个uplink口，可作为上行口)2个1000Base-X SFP端口(uplink口)</w:t>
            </w:r>
            <w:r>
              <w:rPr>
                <w:rFonts w:hint="eastAsia" w:ascii="宋体" w:hAnsi="宋体" w:cs="宋体"/>
                <w:color w:val="auto"/>
                <w:kern w:val="0"/>
                <w:sz w:val="24"/>
                <w:szCs w:val="24"/>
                <w:lang w:bidi="ar"/>
              </w:rPr>
              <w:br w:type="textWrapping"/>
            </w:r>
            <w:r>
              <w:rPr>
                <w:rFonts w:hint="eastAsia" w:ascii="宋体" w:hAnsi="宋体" w:cs="宋体"/>
                <w:color w:val="auto"/>
                <w:kern w:val="0"/>
                <w:sz w:val="24"/>
                <w:szCs w:val="24"/>
                <w:lang w:bidi="ar"/>
              </w:rPr>
              <w:t>3.交换容量不低于36Gbps,包转发不低于26.8Mpps</w:t>
            </w:r>
          </w:p>
        </w:tc>
        <w:tc>
          <w:tcPr>
            <w:tcW w:w="422" w:type="pct"/>
            <w:tcBorders>
              <w:top w:val="single" w:color="000000" w:sz="4" w:space="0"/>
              <w:left w:val="single" w:color="000000" w:sz="4" w:space="0"/>
              <w:bottom w:val="single" w:color="000000" w:sz="4" w:space="0"/>
              <w:right w:val="single" w:color="000000" w:sz="4" w:space="0"/>
            </w:tcBorders>
            <w:noWrap w:val="0"/>
            <w:vAlign w:val="center"/>
          </w:tcPr>
          <w:p w14:paraId="143575E8">
            <w:pPr>
              <w:widowControl/>
              <w:snapToGrid w:val="0"/>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1</w:t>
            </w:r>
          </w:p>
        </w:tc>
        <w:tc>
          <w:tcPr>
            <w:tcW w:w="423" w:type="pct"/>
            <w:tcBorders>
              <w:top w:val="single" w:color="000000" w:sz="4" w:space="0"/>
              <w:left w:val="single" w:color="000000" w:sz="4" w:space="0"/>
              <w:bottom w:val="single" w:color="000000" w:sz="4" w:space="0"/>
              <w:right w:val="single" w:color="000000" w:sz="4" w:space="0"/>
            </w:tcBorders>
            <w:noWrap w:val="0"/>
            <w:vAlign w:val="center"/>
          </w:tcPr>
          <w:p w14:paraId="086060F9">
            <w:pPr>
              <w:widowControl/>
              <w:snapToGrid w:val="0"/>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台</w:t>
            </w:r>
          </w:p>
        </w:tc>
      </w:tr>
      <w:tr w14:paraId="601C7450">
        <w:tblPrEx>
          <w:tblCellMar>
            <w:top w:w="0" w:type="dxa"/>
            <w:left w:w="108" w:type="dxa"/>
            <w:bottom w:w="0" w:type="dxa"/>
            <w:right w:w="108" w:type="dxa"/>
          </w:tblCellMar>
        </w:tblPrEx>
        <w:trPr>
          <w:trHeight w:val="439" w:hRule="atLeast"/>
          <w:jc w:val="center"/>
        </w:trPr>
        <w:tc>
          <w:tcPr>
            <w:tcW w:w="285" w:type="pct"/>
            <w:tcBorders>
              <w:top w:val="single" w:color="000000" w:sz="4" w:space="0"/>
              <w:left w:val="single" w:color="000000" w:sz="4" w:space="0"/>
              <w:bottom w:val="single" w:color="000000" w:sz="4" w:space="0"/>
              <w:right w:val="single" w:color="000000" w:sz="4" w:space="0"/>
            </w:tcBorders>
            <w:noWrap w:val="0"/>
            <w:vAlign w:val="center"/>
          </w:tcPr>
          <w:p w14:paraId="48DE2D47">
            <w:pPr>
              <w:widowControl/>
              <w:snapToGrid w:val="0"/>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14</w:t>
            </w:r>
          </w:p>
        </w:tc>
        <w:tc>
          <w:tcPr>
            <w:tcW w:w="577" w:type="pct"/>
            <w:tcBorders>
              <w:top w:val="single" w:color="000000" w:sz="4" w:space="0"/>
              <w:left w:val="single" w:color="000000" w:sz="4" w:space="0"/>
              <w:bottom w:val="single" w:color="000000" w:sz="4" w:space="0"/>
              <w:right w:val="single" w:color="000000" w:sz="4" w:space="0"/>
            </w:tcBorders>
            <w:noWrap w:val="0"/>
            <w:vAlign w:val="center"/>
          </w:tcPr>
          <w:p w14:paraId="7F37DD24">
            <w:pPr>
              <w:widowControl/>
              <w:snapToGrid w:val="0"/>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8口交换机</w:t>
            </w:r>
          </w:p>
        </w:tc>
        <w:tc>
          <w:tcPr>
            <w:tcW w:w="3290" w:type="pct"/>
            <w:tcBorders>
              <w:top w:val="single" w:color="000000" w:sz="4" w:space="0"/>
              <w:left w:val="single" w:color="000000" w:sz="4" w:space="0"/>
              <w:bottom w:val="single" w:color="000000" w:sz="4" w:space="0"/>
              <w:right w:val="single" w:color="000000" w:sz="4" w:space="0"/>
            </w:tcBorders>
            <w:noWrap w:val="0"/>
            <w:vAlign w:val="center"/>
          </w:tcPr>
          <w:p w14:paraId="77411965">
            <w:pPr>
              <w:widowControl/>
              <w:snapToGrid w:val="0"/>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1.千兆以太网</w:t>
            </w:r>
            <w:r>
              <w:rPr>
                <w:rFonts w:hint="eastAsia" w:ascii="宋体" w:hAnsi="宋体" w:cs="宋体"/>
                <w:color w:val="000000"/>
                <w:kern w:val="0"/>
                <w:sz w:val="24"/>
                <w:szCs w:val="24"/>
                <w:lang w:bidi="ar"/>
              </w:rPr>
              <w:br w:type="textWrapping"/>
            </w:r>
            <w:r>
              <w:rPr>
                <w:rFonts w:hint="eastAsia" w:ascii="宋体" w:hAnsi="宋体" w:cs="宋体"/>
                <w:color w:val="000000"/>
                <w:kern w:val="0"/>
                <w:sz w:val="24"/>
                <w:szCs w:val="24"/>
                <w:lang w:bidi="ar"/>
              </w:rPr>
              <w:t>2.背板带宽：≥16Gbps</w:t>
            </w:r>
            <w:r>
              <w:rPr>
                <w:rFonts w:hint="eastAsia" w:ascii="宋体" w:hAnsi="宋体" w:cs="宋体"/>
                <w:color w:val="000000"/>
                <w:kern w:val="0"/>
                <w:sz w:val="24"/>
                <w:szCs w:val="24"/>
                <w:lang w:bidi="ar"/>
              </w:rPr>
              <w:br w:type="textWrapping"/>
            </w:r>
            <w:r>
              <w:rPr>
                <w:rFonts w:hint="eastAsia" w:ascii="宋体" w:hAnsi="宋体" w:cs="宋体"/>
                <w:color w:val="000000"/>
                <w:kern w:val="0"/>
                <w:sz w:val="24"/>
                <w:szCs w:val="24"/>
                <w:lang w:bidi="ar"/>
              </w:rPr>
              <w:t>3.包转发率：≥12Mpps</w:t>
            </w:r>
            <w:r>
              <w:rPr>
                <w:rFonts w:hint="eastAsia" w:ascii="宋体" w:hAnsi="宋体" w:cs="宋体"/>
                <w:color w:val="000000"/>
                <w:kern w:val="0"/>
                <w:sz w:val="24"/>
                <w:szCs w:val="24"/>
                <w:lang w:bidi="ar"/>
              </w:rPr>
              <w:br w:type="textWrapping"/>
            </w:r>
            <w:r>
              <w:rPr>
                <w:rFonts w:hint="eastAsia" w:ascii="宋体" w:hAnsi="宋体" w:cs="宋体"/>
                <w:color w:val="000000"/>
                <w:kern w:val="0"/>
                <w:sz w:val="24"/>
                <w:szCs w:val="24"/>
                <w:lang w:bidi="ar"/>
              </w:rPr>
              <w:t>4.接口数目：≥8口</w:t>
            </w:r>
          </w:p>
        </w:tc>
        <w:tc>
          <w:tcPr>
            <w:tcW w:w="422" w:type="pct"/>
            <w:tcBorders>
              <w:top w:val="single" w:color="000000" w:sz="4" w:space="0"/>
              <w:left w:val="single" w:color="000000" w:sz="4" w:space="0"/>
              <w:bottom w:val="single" w:color="000000" w:sz="4" w:space="0"/>
              <w:right w:val="single" w:color="000000" w:sz="4" w:space="0"/>
            </w:tcBorders>
            <w:noWrap w:val="0"/>
            <w:vAlign w:val="center"/>
          </w:tcPr>
          <w:p w14:paraId="0CD19B79">
            <w:pPr>
              <w:widowControl/>
              <w:snapToGrid w:val="0"/>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12</w:t>
            </w:r>
          </w:p>
        </w:tc>
        <w:tc>
          <w:tcPr>
            <w:tcW w:w="423" w:type="pct"/>
            <w:tcBorders>
              <w:top w:val="single" w:color="000000" w:sz="4" w:space="0"/>
              <w:left w:val="single" w:color="000000" w:sz="4" w:space="0"/>
              <w:bottom w:val="single" w:color="000000" w:sz="4" w:space="0"/>
              <w:right w:val="single" w:color="000000" w:sz="4" w:space="0"/>
            </w:tcBorders>
            <w:noWrap w:val="0"/>
            <w:vAlign w:val="center"/>
          </w:tcPr>
          <w:p w14:paraId="5EE135B9">
            <w:pPr>
              <w:widowControl/>
              <w:snapToGrid w:val="0"/>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台</w:t>
            </w:r>
          </w:p>
        </w:tc>
      </w:tr>
      <w:tr w14:paraId="4ED033CE">
        <w:tblPrEx>
          <w:tblCellMar>
            <w:top w:w="0" w:type="dxa"/>
            <w:left w:w="108" w:type="dxa"/>
            <w:bottom w:w="0" w:type="dxa"/>
            <w:right w:w="108" w:type="dxa"/>
          </w:tblCellMar>
        </w:tblPrEx>
        <w:trPr>
          <w:trHeight w:val="439" w:hRule="atLeast"/>
          <w:jc w:val="center"/>
        </w:trPr>
        <w:tc>
          <w:tcPr>
            <w:tcW w:w="285" w:type="pct"/>
            <w:tcBorders>
              <w:top w:val="single" w:color="000000" w:sz="4" w:space="0"/>
              <w:left w:val="single" w:color="000000" w:sz="4" w:space="0"/>
              <w:bottom w:val="single" w:color="000000" w:sz="4" w:space="0"/>
              <w:right w:val="single" w:color="000000" w:sz="4" w:space="0"/>
            </w:tcBorders>
            <w:noWrap w:val="0"/>
            <w:vAlign w:val="center"/>
          </w:tcPr>
          <w:p w14:paraId="03073F1F">
            <w:pPr>
              <w:widowControl/>
              <w:snapToGrid w:val="0"/>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15</w:t>
            </w:r>
          </w:p>
        </w:tc>
        <w:tc>
          <w:tcPr>
            <w:tcW w:w="577" w:type="pct"/>
            <w:tcBorders>
              <w:top w:val="single" w:color="000000" w:sz="4" w:space="0"/>
              <w:left w:val="single" w:color="000000" w:sz="4" w:space="0"/>
              <w:bottom w:val="single" w:color="000000" w:sz="4" w:space="0"/>
              <w:right w:val="single" w:color="000000" w:sz="4" w:space="0"/>
            </w:tcBorders>
            <w:noWrap w:val="0"/>
            <w:vAlign w:val="center"/>
          </w:tcPr>
          <w:p w14:paraId="47F5879B">
            <w:pPr>
              <w:widowControl/>
              <w:snapToGrid w:val="0"/>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六类网线</w:t>
            </w:r>
          </w:p>
        </w:tc>
        <w:tc>
          <w:tcPr>
            <w:tcW w:w="3290" w:type="pct"/>
            <w:tcBorders>
              <w:top w:val="single" w:color="000000" w:sz="4" w:space="0"/>
              <w:left w:val="single" w:color="000000" w:sz="4" w:space="0"/>
              <w:bottom w:val="single" w:color="000000" w:sz="4" w:space="0"/>
              <w:right w:val="single" w:color="000000" w:sz="4" w:space="0"/>
            </w:tcBorders>
            <w:noWrap w:val="0"/>
            <w:vAlign w:val="center"/>
          </w:tcPr>
          <w:p w14:paraId="6BF81507">
            <w:pPr>
              <w:widowControl/>
              <w:snapToGrid w:val="0"/>
              <w:textAlignment w:val="center"/>
              <w:rPr>
                <w:rFonts w:hint="eastAsia" w:ascii="宋体" w:hAnsi="宋体" w:cs="宋体"/>
                <w:color w:val="000000"/>
                <w:kern w:val="0"/>
                <w:sz w:val="24"/>
                <w:szCs w:val="24"/>
                <w:lang w:bidi="ar"/>
              </w:rPr>
            </w:pPr>
            <w:r>
              <w:rPr>
                <w:rFonts w:hint="eastAsia" w:ascii="宋体" w:hAnsi="宋体" w:cs="宋体"/>
                <w:color w:val="000000"/>
                <w:kern w:val="0"/>
                <w:sz w:val="24"/>
                <w:szCs w:val="24"/>
                <w:lang w:bidi="ar"/>
              </w:rPr>
              <w:t xml:space="preserve">1.六类网线，导体采用优质铜导体，导体直径≥0.57mm±0.1mm。 </w:t>
            </w:r>
          </w:p>
          <w:p w14:paraId="100D50DA">
            <w:pPr>
              <w:widowControl/>
              <w:snapToGrid w:val="0"/>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2.满足线规23AWG。</w:t>
            </w:r>
          </w:p>
        </w:tc>
        <w:tc>
          <w:tcPr>
            <w:tcW w:w="422" w:type="pct"/>
            <w:tcBorders>
              <w:top w:val="single" w:color="000000" w:sz="4" w:space="0"/>
              <w:left w:val="single" w:color="000000" w:sz="4" w:space="0"/>
              <w:bottom w:val="single" w:color="000000" w:sz="4" w:space="0"/>
              <w:right w:val="single" w:color="000000" w:sz="4" w:space="0"/>
            </w:tcBorders>
            <w:noWrap w:val="0"/>
            <w:vAlign w:val="center"/>
          </w:tcPr>
          <w:p w14:paraId="5B47E692">
            <w:pPr>
              <w:widowControl/>
              <w:snapToGrid w:val="0"/>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4800</w:t>
            </w:r>
          </w:p>
        </w:tc>
        <w:tc>
          <w:tcPr>
            <w:tcW w:w="423" w:type="pct"/>
            <w:tcBorders>
              <w:top w:val="single" w:color="000000" w:sz="4" w:space="0"/>
              <w:left w:val="single" w:color="000000" w:sz="4" w:space="0"/>
              <w:bottom w:val="single" w:color="000000" w:sz="4" w:space="0"/>
              <w:right w:val="single" w:color="000000" w:sz="4" w:space="0"/>
            </w:tcBorders>
            <w:noWrap w:val="0"/>
            <w:vAlign w:val="center"/>
          </w:tcPr>
          <w:p w14:paraId="0275AF6D">
            <w:pPr>
              <w:widowControl/>
              <w:snapToGrid w:val="0"/>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米</w:t>
            </w:r>
          </w:p>
        </w:tc>
      </w:tr>
      <w:tr w14:paraId="4FB0A5D1">
        <w:tblPrEx>
          <w:tblCellMar>
            <w:top w:w="0" w:type="dxa"/>
            <w:left w:w="108" w:type="dxa"/>
            <w:bottom w:w="0" w:type="dxa"/>
            <w:right w:w="108" w:type="dxa"/>
          </w:tblCellMar>
        </w:tblPrEx>
        <w:trPr>
          <w:trHeight w:val="439" w:hRule="atLeast"/>
          <w:jc w:val="center"/>
        </w:trPr>
        <w:tc>
          <w:tcPr>
            <w:tcW w:w="285" w:type="pct"/>
            <w:tcBorders>
              <w:top w:val="single" w:color="000000" w:sz="4" w:space="0"/>
              <w:left w:val="single" w:color="000000" w:sz="4" w:space="0"/>
              <w:bottom w:val="single" w:color="000000" w:sz="4" w:space="0"/>
              <w:right w:val="single" w:color="000000" w:sz="4" w:space="0"/>
            </w:tcBorders>
            <w:noWrap w:val="0"/>
            <w:vAlign w:val="center"/>
          </w:tcPr>
          <w:p w14:paraId="07E70B11">
            <w:pPr>
              <w:widowControl/>
              <w:snapToGrid w:val="0"/>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16</w:t>
            </w:r>
          </w:p>
        </w:tc>
        <w:tc>
          <w:tcPr>
            <w:tcW w:w="577" w:type="pct"/>
            <w:tcBorders>
              <w:top w:val="single" w:color="000000" w:sz="4" w:space="0"/>
              <w:left w:val="single" w:color="000000" w:sz="4" w:space="0"/>
              <w:bottom w:val="single" w:color="000000" w:sz="4" w:space="0"/>
              <w:right w:val="single" w:color="000000" w:sz="4" w:space="0"/>
            </w:tcBorders>
            <w:noWrap w:val="0"/>
            <w:vAlign w:val="center"/>
          </w:tcPr>
          <w:p w14:paraId="2577CC0C">
            <w:pPr>
              <w:widowControl/>
              <w:snapToGrid w:val="0"/>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电源线</w:t>
            </w:r>
          </w:p>
        </w:tc>
        <w:tc>
          <w:tcPr>
            <w:tcW w:w="3290" w:type="pct"/>
            <w:tcBorders>
              <w:top w:val="single" w:color="000000" w:sz="4" w:space="0"/>
              <w:left w:val="single" w:color="000000" w:sz="4" w:space="0"/>
              <w:bottom w:val="single" w:color="000000" w:sz="4" w:space="0"/>
              <w:right w:val="single" w:color="000000" w:sz="4" w:space="0"/>
            </w:tcBorders>
            <w:noWrap w:val="0"/>
            <w:vAlign w:val="center"/>
          </w:tcPr>
          <w:p w14:paraId="2134DD71">
            <w:pPr>
              <w:widowControl/>
              <w:snapToGrid w:val="0"/>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RVV3*1.0电源线。</w:t>
            </w:r>
          </w:p>
        </w:tc>
        <w:tc>
          <w:tcPr>
            <w:tcW w:w="422" w:type="pct"/>
            <w:tcBorders>
              <w:top w:val="single" w:color="000000" w:sz="4" w:space="0"/>
              <w:left w:val="single" w:color="000000" w:sz="4" w:space="0"/>
              <w:bottom w:val="single" w:color="000000" w:sz="4" w:space="0"/>
              <w:right w:val="single" w:color="000000" w:sz="4" w:space="0"/>
            </w:tcBorders>
            <w:noWrap w:val="0"/>
            <w:vAlign w:val="center"/>
          </w:tcPr>
          <w:p w14:paraId="376ABA4D">
            <w:pPr>
              <w:widowControl/>
              <w:snapToGrid w:val="0"/>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3000</w:t>
            </w:r>
          </w:p>
        </w:tc>
        <w:tc>
          <w:tcPr>
            <w:tcW w:w="423" w:type="pct"/>
            <w:tcBorders>
              <w:top w:val="single" w:color="000000" w:sz="4" w:space="0"/>
              <w:left w:val="single" w:color="000000" w:sz="4" w:space="0"/>
              <w:bottom w:val="single" w:color="000000" w:sz="4" w:space="0"/>
              <w:right w:val="single" w:color="000000" w:sz="4" w:space="0"/>
            </w:tcBorders>
            <w:noWrap w:val="0"/>
            <w:vAlign w:val="center"/>
          </w:tcPr>
          <w:p w14:paraId="16FA8F1C">
            <w:pPr>
              <w:widowControl/>
              <w:snapToGrid w:val="0"/>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米</w:t>
            </w:r>
          </w:p>
        </w:tc>
      </w:tr>
      <w:tr w14:paraId="71856E80">
        <w:tblPrEx>
          <w:tblCellMar>
            <w:top w:w="0" w:type="dxa"/>
            <w:left w:w="108" w:type="dxa"/>
            <w:bottom w:w="0" w:type="dxa"/>
            <w:right w:w="108" w:type="dxa"/>
          </w:tblCellMar>
        </w:tblPrEx>
        <w:trPr>
          <w:trHeight w:val="439" w:hRule="atLeast"/>
          <w:jc w:val="center"/>
        </w:trPr>
        <w:tc>
          <w:tcPr>
            <w:tcW w:w="285" w:type="pct"/>
            <w:tcBorders>
              <w:top w:val="single" w:color="000000" w:sz="4" w:space="0"/>
              <w:left w:val="single" w:color="000000" w:sz="4" w:space="0"/>
              <w:bottom w:val="single" w:color="000000" w:sz="4" w:space="0"/>
              <w:right w:val="single" w:color="000000" w:sz="4" w:space="0"/>
            </w:tcBorders>
            <w:noWrap w:val="0"/>
            <w:vAlign w:val="center"/>
          </w:tcPr>
          <w:p w14:paraId="0479B692">
            <w:pPr>
              <w:widowControl/>
              <w:snapToGrid w:val="0"/>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17</w:t>
            </w:r>
          </w:p>
        </w:tc>
        <w:tc>
          <w:tcPr>
            <w:tcW w:w="577" w:type="pct"/>
            <w:tcBorders>
              <w:top w:val="single" w:color="000000" w:sz="4" w:space="0"/>
              <w:left w:val="single" w:color="000000" w:sz="4" w:space="0"/>
              <w:bottom w:val="single" w:color="000000" w:sz="4" w:space="0"/>
              <w:right w:val="single" w:color="000000" w:sz="4" w:space="0"/>
            </w:tcBorders>
            <w:noWrap w:val="0"/>
            <w:vAlign w:val="center"/>
          </w:tcPr>
          <w:p w14:paraId="329F5C76">
            <w:pPr>
              <w:widowControl/>
              <w:snapToGrid w:val="0"/>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四芯线</w:t>
            </w:r>
          </w:p>
        </w:tc>
        <w:tc>
          <w:tcPr>
            <w:tcW w:w="3290" w:type="pct"/>
            <w:tcBorders>
              <w:top w:val="single" w:color="000000" w:sz="4" w:space="0"/>
              <w:left w:val="single" w:color="000000" w:sz="4" w:space="0"/>
              <w:bottom w:val="single" w:color="000000" w:sz="4" w:space="0"/>
              <w:right w:val="single" w:color="000000" w:sz="4" w:space="0"/>
            </w:tcBorders>
            <w:noWrap w:val="0"/>
            <w:vAlign w:val="center"/>
          </w:tcPr>
          <w:p w14:paraId="5F9D04FE">
            <w:pPr>
              <w:widowControl/>
              <w:snapToGrid w:val="0"/>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rvv4*0.5四芯线。</w:t>
            </w:r>
          </w:p>
        </w:tc>
        <w:tc>
          <w:tcPr>
            <w:tcW w:w="422" w:type="pct"/>
            <w:tcBorders>
              <w:top w:val="single" w:color="000000" w:sz="4" w:space="0"/>
              <w:left w:val="single" w:color="000000" w:sz="4" w:space="0"/>
              <w:bottom w:val="single" w:color="000000" w:sz="4" w:space="0"/>
              <w:right w:val="single" w:color="000000" w:sz="4" w:space="0"/>
            </w:tcBorders>
            <w:noWrap w:val="0"/>
            <w:vAlign w:val="center"/>
          </w:tcPr>
          <w:p w14:paraId="43917960">
            <w:pPr>
              <w:widowControl/>
              <w:snapToGrid w:val="0"/>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900</w:t>
            </w:r>
          </w:p>
        </w:tc>
        <w:tc>
          <w:tcPr>
            <w:tcW w:w="423" w:type="pct"/>
            <w:tcBorders>
              <w:top w:val="single" w:color="000000" w:sz="4" w:space="0"/>
              <w:left w:val="single" w:color="000000" w:sz="4" w:space="0"/>
              <w:bottom w:val="single" w:color="000000" w:sz="4" w:space="0"/>
              <w:right w:val="single" w:color="000000" w:sz="4" w:space="0"/>
            </w:tcBorders>
            <w:noWrap w:val="0"/>
            <w:vAlign w:val="center"/>
          </w:tcPr>
          <w:p w14:paraId="6808BA0C">
            <w:pPr>
              <w:widowControl/>
              <w:snapToGrid w:val="0"/>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米</w:t>
            </w:r>
          </w:p>
        </w:tc>
      </w:tr>
      <w:tr w14:paraId="04045905">
        <w:tblPrEx>
          <w:tblCellMar>
            <w:top w:w="0" w:type="dxa"/>
            <w:left w:w="108" w:type="dxa"/>
            <w:bottom w:w="0" w:type="dxa"/>
            <w:right w:w="108" w:type="dxa"/>
          </w:tblCellMar>
        </w:tblPrEx>
        <w:trPr>
          <w:trHeight w:val="439" w:hRule="atLeast"/>
          <w:jc w:val="center"/>
        </w:trPr>
        <w:tc>
          <w:tcPr>
            <w:tcW w:w="285" w:type="pct"/>
            <w:tcBorders>
              <w:top w:val="single" w:color="000000" w:sz="4" w:space="0"/>
              <w:left w:val="single" w:color="000000" w:sz="4" w:space="0"/>
              <w:bottom w:val="single" w:color="000000" w:sz="4" w:space="0"/>
              <w:right w:val="single" w:color="000000" w:sz="4" w:space="0"/>
            </w:tcBorders>
            <w:noWrap w:val="0"/>
            <w:vAlign w:val="center"/>
          </w:tcPr>
          <w:p w14:paraId="780188A1">
            <w:pPr>
              <w:widowControl/>
              <w:snapToGrid w:val="0"/>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18</w:t>
            </w:r>
          </w:p>
        </w:tc>
        <w:tc>
          <w:tcPr>
            <w:tcW w:w="577" w:type="pct"/>
            <w:tcBorders>
              <w:top w:val="single" w:color="000000" w:sz="4" w:space="0"/>
              <w:left w:val="single" w:color="000000" w:sz="4" w:space="0"/>
              <w:bottom w:val="single" w:color="000000" w:sz="4" w:space="0"/>
              <w:right w:val="single" w:color="000000" w:sz="4" w:space="0"/>
            </w:tcBorders>
            <w:noWrap w:val="0"/>
            <w:vAlign w:val="center"/>
          </w:tcPr>
          <w:p w14:paraId="11B1FFC4">
            <w:pPr>
              <w:widowControl/>
              <w:snapToGrid w:val="0"/>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主干电源线</w:t>
            </w:r>
          </w:p>
        </w:tc>
        <w:tc>
          <w:tcPr>
            <w:tcW w:w="3290" w:type="pct"/>
            <w:tcBorders>
              <w:top w:val="single" w:color="000000" w:sz="4" w:space="0"/>
              <w:left w:val="single" w:color="000000" w:sz="4" w:space="0"/>
              <w:bottom w:val="single" w:color="000000" w:sz="4" w:space="0"/>
              <w:right w:val="single" w:color="000000" w:sz="4" w:space="0"/>
            </w:tcBorders>
            <w:noWrap w:val="0"/>
            <w:vAlign w:val="center"/>
          </w:tcPr>
          <w:p w14:paraId="436B2C10">
            <w:pPr>
              <w:widowControl/>
              <w:snapToGrid w:val="0"/>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RVV3*2.0电源线。</w:t>
            </w:r>
          </w:p>
        </w:tc>
        <w:tc>
          <w:tcPr>
            <w:tcW w:w="422" w:type="pct"/>
            <w:tcBorders>
              <w:top w:val="single" w:color="000000" w:sz="4" w:space="0"/>
              <w:left w:val="single" w:color="000000" w:sz="4" w:space="0"/>
              <w:bottom w:val="single" w:color="000000" w:sz="4" w:space="0"/>
              <w:right w:val="single" w:color="000000" w:sz="4" w:space="0"/>
            </w:tcBorders>
            <w:noWrap w:val="0"/>
            <w:vAlign w:val="center"/>
          </w:tcPr>
          <w:p w14:paraId="49648806">
            <w:pPr>
              <w:widowControl/>
              <w:snapToGrid w:val="0"/>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150</w:t>
            </w:r>
          </w:p>
        </w:tc>
        <w:tc>
          <w:tcPr>
            <w:tcW w:w="423" w:type="pct"/>
            <w:tcBorders>
              <w:top w:val="single" w:color="000000" w:sz="4" w:space="0"/>
              <w:left w:val="single" w:color="000000" w:sz="4" w:space="0"/>
              <w:bottom w:val="single" w:color="000000" w:sz="4" w:space="0"/>
              <w:right w:val="single" w:color="000000" w:sz="4" w:space="0"/>
            </w:tcBorders>
            <w:noWrap w:val="0"/>
            <w:vAlign w:val="center"/>
          </w:tcPr>
          <w:p w14:paraId="281FE7B2">
            <w:pPr>
              <w:widowControl/>
              <w:snapToGrid w:val="0"/>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米</w:t>
            </w:r>
          </w:p>
        </w:tc>
      </w:tr>
      <w:tr w14:paraId="68B9F85D">
        <w:tblPrEx>
          <w:tblCellMar>
            <w:top w:w="0" w:type="dxa"/>
            <w:left w:w="108" w:type="dxa"/>
            <w:bottom w:w="0" w:type="dxa"/>
            <w:right w:w="108" w:type="dxa"/>
          </w:tblCellMar>
        </w:tblPrEx>
        <w:trPr>
          <w:trHeight w:val="439" w:hRule="atLeast"/>
          <w:jc w:val="center"/>
        </w:trPr>
        <w:tc>
          <w:tcPr>
            <w:tcW w:w="285" w:type="pct"/>
            <w:tcBorders>
              <w:top w:val="single" w:color="000000" w:sz="4" w:space="0"/>
              <w:left w:val="single" w:color="000000" w:sz="4" w:space="0"/>
              <w:bottom w:val="single" w:color="000000" w:sz="4" w:space="0"/>
              <w:right w:val="single" w:color="000000" w:sz="4" w:space="0"/>
            </w:tcBorders>
            <w:noWrap w:val="0"/>
            <w:vAlign w:val="center"/>
          </w:tcPr>
          <w:p w14:paraId="13B15F96">
            <w:pPr>
              <w:widowControl/>
              <w:snapToGrid w:val="0"/>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19</w:t>
            </w:r>
          </w:p>
        </w:tc>
        <w:tc>
          <w:tcPr>
            <w:tcW w:w="577" w:type="pct"/>
            <w:tcBorders>
              <w:top w:val="single" w:color="000000" w:sz="4" w:space="0"/>
              <w:left w:val="single" w:color="000000" w:sz="4" w:space="0"/>
              <w:bottom w:val="single" w:color="000000" w:sz="4" w:space="0"/>
              <w:right w:val="single" w:color="000000" w:sz="4" w:space="0"/>
            </w:tcBorders>
            <w:noWrap w:val="0"/>
            <w:vAlign w:val="center"/>
          </w:tcPr>
          <w:p w14:paraId="7F616D14">
            <w:pPr>
              <w:widowControl/>
              <w:snapToGrid w:val="0"/>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定制铁门</w:t>
            </w:r>
          </w:p>
        </w:tc>
        <w:tc>
          <w:tcPr>
            <w:tcW w:w="3290" w:type="pct"/>
            <w:tcBorders>
              <w:top w:val="single" w:color="000000" w:sz="4" w:space="0"/>
              <w:left w:val="single" w:color="000000" w:sz="4" w:space="0"/>
              <w:bottom w:val="single" w:color="000000" w:sz="4" w:space="0"/>
              <w:right w:val="single" w:color="000000" w:sz="4" w:space="0"/>
            </w:tcBorders>
            <w:noWrap w:val="0"/>
            <w:vAlign w:val="center"/>
          </w:tcPr>
          <w:p w14:paraId="31D808B9">
            <w:pPr>
              <w:widowControl/>
              <w:snapToGrid w:val="0"/>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1.2楼北露台通道增加铁门1道；</w:t>
            </w:r>
            <w:r>
              <w:rPr>
                <w:rFonts w:hint="eastAsia" w:ascii="宋体" w:hAnsi="宋体" w:cs="宋体"/>
                <w:color w:val="000000"/>
                <w:kern w:val="0"/>
                <w:sz w:val="24"/>
                <w:szCs w:val="24"/>
                <w:lang w:bidi="ar"/>
              </w:rPr>
              <w:br w:type="textWrapping"/>
            </w:r>
            <w:r>
              <w:rPr>
                <w:rFonts w:hint="eastAsia" w:ascii="宋体" w:hAnsi="宋体" w:cs="宋体"/>
                <w:color w:val="000000"/>
                <w:kern w:val="0"/>
                <w:sz w:val="24"/>
                <w:szCs w:val="24"/>
                <w:lang w:bidi="ar"/>
              </w:rPr>
              <w:t>2.5楼室外楼梯铁门3道。</w:t>
            </w:r>
          </w:p>
        </w:tc>
        <w:tc>
          <w:tcPr>
            <w:tcW w:w="422" w:type="pct"/>
            <w:tcBorders>
              <w:top w:val="single" w:color="000000" w:sz="4" w:space="0"/>
              <w:left w:val="single" w:color="000000" w:sz="4" w:space="0"/>
              <w:bottom w:val="single" w:color="000000" w:sz="4" w:space="0"/>
              <w:right w:val="single" w:color="000000" w:sz="4" w:space="0"/>
            </w:tcBorders>
            <w:noWrap w:val="0"/>
            <w:vAlign w:val="center"/>
          </w:tcPr>
          <w:p w14:paraId="22C3FE63">
            <w:pPr>
              <w:widowControl/>
              <w:snapToGrid w:val="0"/>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3</w:t>
            </w:r>
          </w:p>
        </w:tc>
        <w:tc>
          <w:tcPr>
            <w:tcW w:w="423" w:type="pct"/>
            <w:tcBorders>
              <w:top w:val="single" w:color="000000" w:sz="4" w:space="0"/>
              <w:left w:val="single" w:color="000000" w:sz="4" w:space="0"/>
              <w:bottom w:val="single" w:color="000000" w:sz="4" w:space="0"/>
              <w:right w:val="single" w:color="000000" w:sz="4" w:space="0"/>
            </w:tcBorders>
            <w:noWrap w:val="0"/>
            <w:vAlign w:val="center"/>
          </w:tcPr>
          <w:p w14:paraId="7A0E8807">
            <w:pPr>
              <w:widowControl/>
              <w:snapToGrid w:val="0"/>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处</w:t>
            </w:r>
          </w:p>
        </w:tc>
      </w:tr>
      <w:tr w14:paraId="09CC9AA0">
        <w:tblPrEx>
          <w:tblCellMar>
            <w:top w:w="0" w:type="dxa"/>
            <w:left w:w="108" w:type="dxa"/>
            <w:bottom w:w="0" w:type="dxa"/>
            <w:right w:w="108" w:type="dxa"/>
          </w:tblCellMar>
        </w:tblPrEx>
        <w:trPr>
          <w:trHeight w:val="439" w:hRule="atLeast"/>
          <w:jc w:val="center"/>
        </w:trPr>
        <w:tc>
          <w:tcPr>
            <w:tcW w:w="285" w:type="pct"/>
            <w:tcBorders>
              <w:top w:val="single" w:color="000000" w:sz="4" w:space="0"/>
              <w:left w:val="single" w:color="000000" w:sz="4" w:space="0"/>
              <w:bottom w:val="single" w:color="000000" w:sz="4" w:space="0"/>
              <w:right w:val="single" w:color="000000" w:sz="4" w:space="0"/>
            </w:tcBorders>
            <w:noWrap w:val="0"/>
            <w:vAlign w:val="center"/>
          </w:tcPr>
          <w:p w14:paraId="4B4127F8">
            <w:pPr>
              <w:widowControl/>
              <w:snapToGrid w:val="0"/>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20</w:t>
            </w:r>
          </w:p>
        </w:tc>
        <w:tc>
          <w:tcPr>
            <w:tcW w:w="577" w:type="pct"/>
            <w:tcBorders>
              <w:top w:val="single" w:color="000000" w:sz="4" w:space="0"/>
              <w:left w:val="single" w:color="000000" w:sz="4" w:space="0"/>
              <w:bottom w:val="single" w:color="000000" w:sz="4" w:space="0"/>
              <w:right w:val="single" w:color="000000" w:sz="4" w:space="0"/>
            </w:tcBorders>
            <w:noWrap w:val="0"/>
            <w:vAlign w:val="center"/>
          </w:tcPr>
          <w:p w14:paraId="2ACBB555">
            <w:pPr>
              <w:widowControl/>
              <w:snapToGrid w:val="0"/>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管材</w:t>
            </w:r>
          </w:p>
        </w:tc>
        <w:tc>
          <w:tcPr>
            <w:tcW w:w="3290" w:type="pct"/>
            <w:tcBorders>
              <w:top w:val="single" w:color="000000" w:sz="4" w:space="0"/>
              <w:left w:val="single" w:color="000000" w:sz="4" w:space="0"/>
              <w:bottom w:val="single" w:color="000000" w:sz="4" w:space="0"/>
              <w:right w:val="single" w:color="000000" w:sz="4" w:space="0"/>
            </w:tcBorders>
            <w:noWrap w:val="0"/>
            <w:vAlign w:val="center"/>
          </w:tcPr>
          <w:p w14:paraId="38400F30">
            <w:pPr>
              <w:widowControl/>
              <w:snapToGrid w:val="0"/>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满足现场环境所需的所有管材。</w:t>
            </w:r>
          </w:p>
        </w:tc>
        <w:tc>
          <w:tcPr>
            <w:tcW w:w="422" w:type="pct"/>
            <w:tcBorders>
              <w:top w:val="single" w:color="000000" w:sz="4" w:space="0"/>
              <w:left w:val="single" w:color="000000" w:sz="4" w:space="0"/>
              <w:bottom w:val="single" w:color="000000" w:sz="4" w:space="0"/>
              <w:right w:val="single" w:color="000000" w:sz="4" w:space="0"/>
            </w:tcBorders>
            <w:noWrap w:val="0"/>
            <w:vAlign w:val="center"/>
          </w:tcPr>
          <w:p w14:paraId="06255CE3">
            <w:pPr>
              <w:widowControl/>
              <w:snapToGrid w:val="0"/>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700</w:t>
            </w:r>
          </w:p>
        </w:tc>
        <w:tc>
          <w:tcPr>
            <w:tcW w:w="423" w:type="pct"/>
            <w:tcBorders>
              <w:top w:val="single" w:color="000000" w:sz="4" w:space="0"/>
              <w:left w:val="single" w:color="000000" w:sz="4" w:space="0"/>
              <w:bottom w:val="single" w:color="000000" w:sz="4" w:space="0"/>
              <w:right w:val="single" w:color="000000" w:sz="4" w:space="0"/>
            </w:tcBorders>
            <w:noWrap w:val="0"/>
            <w:vAlign w:val="center"/>
          </w:tcPr>
          <w:p w14:paraId="24F7903F">
            <w:pPr>
              <w:widowControl/>
              <w:snapToGrid w:val="0"/>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米</w:t>
            </w:r>
          </w:p>
        </w:tc>
      </w:tr>
      <w:tr w14:paraId="01CFF624">
        <w:tblPrEx>
          <w:tblCellMar>
            <w:top w:w="0" w:type="dxa"/>
            <w:left w:w="108" w:type="dxa"/>
            <w:bottom w:w="0" w:type="dxa"/>
            <w:right w:w="108" w:type="dxa"/>
          </w:tblCellMar>
        </w:tblPrEx>
        <w:trPr>
          <w:trHeight w:val="439" w:hRule="atLeast"/>
          <w:jc w:val="center"/>
        </w:trPr>
        <w:tc>
          <w:tcPr>
            <w:tcW w:w="285" w:type="pct"/>
            <w:tcBorders>
              <w:top w:val="single" w:color="000000" w:sz="4" w:space="0"/>
              <w:left w:val="single" w:color="000000" w:sz="4" w:space="0"/>
              <w:bottom w:val="single" w:color="000000" w:sz="4" w:space="0"/>
              <w:right w:val="single" w:color="000000" w:sz="4" w:space="0"/>
            </w:tcBorders>
            <w:noWrap w:val="0"/>
            <w:vAlign w:val="center"/>
          </w:tcPr>
          <w:p w14:paraId="6E1ECF60">
            <w:pPr>
              <w:widowControl/>
              <w:snapToGrid w:val="0"/>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21</w:t>
            </w:r>
          </w:p>
        </w:tc>
        <w:tc>
          <w:tcPr>
            <w:tcW w:w="577" w:type="pct"/>
            <w:tcBorders>
              <w:top w:val="single" w:color="000000" w:sz="4" w:space="0"/>
              <w:left w:val="single" w:color="000000" w:sz="4" w:space="0"/>
              <w:bottom w:val="single" w:color="000000" w:sz="4" w:space="0"/>
              <w:right w:val="single" w:color="000000" w:sz="4" w:space="0"/>
            </w:tcBorders>
            <w:noWrap w:val="0"/>
            <w:vAlign w:val="center"/>
          </w:tcPr>
          <w:p w14:paraId="5DDE44E5">
            <w:pPr>
              <w:widowControl/>
              <w:snapToGrid w:val="0"/>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一键开门</w:t>
            </w:r>
          </w:p>
        </w:tc>
        <w:tc>
          <w:tcPr>
            <w:tcW w:w="3290" w:type="pct"/>
            <w:tcBorders>
              <w:top w:val="single" w:color="000000" w:sz="4" w:space="0"/>
              <w:left w:val="single" w:color="000000" w:sz="4" w:space="0"/>
              <w:bottom w:val="single" w:color="000000" w:sz="4" w:space="0"/>
              <w:right w:val="single" w:color="000000" w:sz="4" w:space="0"/>
            </w:tcBorders>
            <w:noWrap w:val="0"/>
            <w:vAlign w:val="center"/>
          </w:tcPr>
          <w:p w14:paraId="75BEF387">
            <w:pPr>
              <w:widowControl/>
              <w:snapToGrid w:val="0"/>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定制一键控制所有门禁全部常开。</w:t>
            </w:r>
          </w:p>
        </w:tc>
        <w:tc>
          <w:tcPr>
            <w:tcW w:w="422" w:type="pct"/>
            <w:tcBorders>
              <w:top w:val="single" w:color="000000" w:sz="4" w:space="0"/>
              <w:left w:val="single" w:color="000000" w:sz="4" w:space="0"/>
              <w:bottom w:val="single" w:color="000000" w:sz="4" w:space="0"/>
              <w:right w:val="single" w:color="000000" w:sz="4" w:space="0"/>
            </w:tcBorders>
            <w:noWrap w:val="0"/>
            <w:vAlign w:val="center"/>
          </w:tcPr>
          <w:p w14:paraId="6754753B">
            <w:pPr>
              <w:widowControl/>
              <w:snapToGrid w:val="0"/>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1</w:t>
            </w:r>
          </w:p>
        </w:tc>
        <w:tc>
          <w:tcPr>
            <w:tcW w:w="423" w:type="pct"/>
            <w:tcBorders>
              <w:top w:val="single" w:color="000000" w:sz="4" w:space="0"/>
              <w:left w:val="single" w:color="000000" w:sz="4" w:space="0"/>
              <w:bottom w:val="single" w:color="000000" w:sz="4" w:space="0"/>
              <w:right w:val="single" w:color="000000" w:sz="4" w:space="0"/>
            </w:tcBorders>
            <w:noWrap w:val="0"/>
            <w:vAlign w:val="center"/>
          </w:tcPr>
          <w:p w14:paraId="1FC0643D">
            <w:pPr>
              <w:widowControl/>
              <w:snapToGrid w:val="0"/>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项</w:t>
            </w:r>
          </w:p>
        </w:tc>
      </w:tr>
      <w:tr w14:paraId="25CE0ABB">
        <w:tblPrEx>
          <w:tblCellMar>
            <w:top w:w="0" w:type="dxa"/>
            <w:left w:w="108" w:type="dxa"/>
            <w:bottom w:w="0" w:type="dxa"/>
            <w:right w:w="108" w:type="dxa"/>
          </w:tblCellMar>
        </w:tblPrEx>
        <w:trPr>
          <w:trHeight w:val="439" w:hRule="atLeast"/>
          <w:jc w:val="center"/>
        </w:trPr>
        <w:tc>
          <w:tcPr>
            <w:tcW w:w="285" w:type="pct"/>
            <w:tcBorders>
              <w:top w:val="single" w:color="000000" w:sz="4" w:space="0"/>
              <w:left w:val="single" w:color="000000" w:sz="4" w:space="0"/>
              <w:bottom w:val="single" w:color="000000" w:sz="4" w:space="0"/>
              <w:right w:val="single" w:color="000000" w:sz="4" w:space="0"/>
            </w:tcBorders>
            <w:noWrap w:val="0"/>
            <w:vAlign w:val="center"/>
          </w:tcPr>
          <w:p w14:paraId="140C0C06">
            <w:pPr>
              <w:widowControl/>
              <w:snapToGrid w:val="0"/>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22</w:t>
            </w:r>
          </w:p>
        </w:tc>
        <w:tc>
          <w:tcPr>
            <w:tcW w:w="577" w:type="pct"/>
            <w:tcBorders>
              <w:top w:val="single" w:color="000000" w:sz="4" w:space="0"/>
              <w:left w:val="single" w:color="000000" w:sz="4" w:space="0"/>
              <w:bottom w:val="single" w:color="000000" w:sz="4" w:space="0"/>
              <w:right w:val="single" w:color="000000" w:sz="4" w:space="0"/>
            </w:tcBorders>
            <w:noWrap w:val="0"/>
            <w:vAlign w:val="center"/>
          </w:tcPr>
          <w:p w14:paraId="265B0B35">
            <w:pPr>
              <w:widowControl/>
              <w:snapToGrid w:val="0"/>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系统对接</w:t>
            </w:r>
          </w:p>
        </w:tc>
        <w:tc>
          <w:tcPr>
            <w:tcW w:w="3290" w:type="pct"/>
            <w:tcBorders>
              <w:top w:val="single" w:color="000000" w:sz="4" w:space="0"/>
              <w:left w:val="single" w:color="000000" w:sz="4" w:space="0"/>
              <w:bottom w:val="single" w:color="000000" w:sz="4" w:space="0"/>
              <w:right w:val="single" w:color="000000" w:sz="4" w:space="0"/>
            </w:tcBorders>
            <w:noWrap w:val="0"/>
            <w:vAlign w:val="center"/>
          </w:tcPr>
          <w:p w14:paraId="2651A53F">
            <w:pPr>
              <w:widowControl/>
              <w:snapToGrid w:val="0"/>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人脸库平台对接人员、照片信息和消防联动对接。</w:t>
            </w:r>
          </w:p>
        </w:tc>
        <w:tc>
          <w:tcPr>
            <w:tcW w:w="422" w:type="pct"/>
            <w:tcBorders>
              <w:top w:val="single" w:color="000000" w:sz="4" w:space="0"/>
              <w:left w:val="single" w:color="000000" w:sz="4" w:space="0"/>
              <w:bottom w:val="single" w:color="000000" w:sz="4" w:space="0"/>
              <w:right w:val="single" w:color="000000" w:sz="4" w:space="0"/>
            </w:tcBorders>
            <w:noWrap w:val="0"/>
            <w:vAlign w:val="center"/>
          </w:tcPr>
          <w:p w14:paraId="23DFAC09">
            <w:pPr>
              <w:widowControl/>
              <w:snapToGrid w:val="0"/>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1</w:t>
            </w:r>
          </w:p>
        </w:tc>
        <w:tc>
          <w:tcPr>
            <w:tcW w:w="423" w:type="pct"/>
            <w:tcBorders>
              <w:top w:val="single" w:color="000000" w:sz="4" w:space="0"/>
              <w:left w:val="single" w:color="000000" w:sz="4" w:space="0"/>
              <w:bottom w:val="single" w:color="000000" w:sz="4" w:space="0"/>
              <w:right w:val="single" w:color="000000" w:sz="4" w:space="0"/>
            </w:tcBorders>
            <w:noWrap w:val="0"/>
            <w:vAlign w:val="center"/>
          </w:tcPr>
          <w:p w14:paraId="0E42EC5E">
            <w:pPr>
              <w:widowControl/>
              <w:snapToGrid w:val="0"/>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项</w:t>
            </w:r>
          </w:p>
        </w:tc>
      </w:tr>
      <w:tr w14:paraId="4EEFABFC">
        <w:tblPrEx>
          <w:tblCellMar>
            <w:top w:w="0" w:type="dxa"/>
            <w:left w:w="108" w:type="dxa"/>
            <w:bottom w:w="0" w:type="dxa"/>
            <w:right w:w="108" w:type="dxa"/>
          </w:tblCellMar>
        </w:tblPrEx>
        <w:trPr>
          <w:trHeight w:val="439" w:hRule="atLeast"/>
          <w:jc w:val="center"/>
        </w:trPr>
        <w:tc>
          <w:tcPr>
            <w:tcW w:w="285" w:type="pct"/>
            <w:tcBorders>
              <w:top w:val="single" w:color="000000" w:sz="4" w:space="0"/>
              <w:left w:val="single" w:color="000000" w:sz="4" w:space="0"/>
              <w:bottom w:val="single" w:color="000000" w:sz="4" w:space="0"/>
              <w:right w:val="single" w:color="000000" w:sz="4" w:space="0"/>
            </w:tcBorders>
            <w:noWrap w:val="0"/>
            <w:vAlign w:val="center"/>
          </w:tcPr>
          <w:p w14:paraId="1FDE0F2A">
            <w:pPr>
              <w:widowControl/>
              <w:snapToGrid w:val="0"/>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23</w:t>
            </w:r>
          </w:p>
        </w:tc>
        <w:tc>
          <w:tcPr>
            <w:tcW w:w="577" w:type="pct"/>
            <w:tcBorders>
              <w:top w:val="single" w:color="000000" w:sz="4" w:space="0"/>
              <w:left w:val="single" w:color="000000" w:sz="4" w:space="0"/>
              <w:bottom w:val="single" w:color="000000" w:sz="4" w:space="0"/>
              <w:right w:val="single" w:color="000000" w:sz="4" w:space="0"/>
            </w:tcBorders>
            <w:noWrap w:val="0"/>
            <w:vAlign w:val="center"/>
          </w:tcPr>
          <w:p w14:paraId="44A132F0">
            <w:pPr>
              <w:widowControl/>
              <w:snapToGrid w:val="0"/>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墙面开槽及恢复</w:t>
            </w:r>
          </w:p>
        </w:tc>
        <w:tc>
          <w:tcPr>
            <w:tcW w:w="3290" w:type="pct"/>
            <w:tcBorders>
              <w:top w:val="single" w:color="000000" w:sz="4" w:space="0"/>
              <w:left w:val="single" w:color="000000" w:sz="4" w:space="0"/>
              <w:bottom w:val="single" w:color="000000" w:sz="4" w:space="0"/>
              <w:right w:val="single" w:color="000000" w:sz="4" w:space="0"/>
            </w:tcBorders>
            <w:noWrap w:val="0"/>
            <w:vAlign w:val="center"/>
          </w:tcPr>
          <w:p w14:paraId="75B5B710">
            <w:pPr>
              <w:widowControl/>
              <w:snapToGrid w:val="0"/>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墙面开槽及恢复。</w:t>
            </w:r>
          </w:p>
        </w:tc>
        <w:tc>
          <w:tcPr>
            <w:tcW w:w="422" w:type="pct"/>
            <w:tcBorders>
              <w:top w:val="single" w:color="000000" w:sz="4" w:space="0"/>
              <w:left w:val="single" w:color="000000" w:sz="4" w:space="0"/>
              <w:bottom w:val="single" w:color="000000" w:sz="4" w:space="0"/>
              <w:right w:val="single" w:color="000000" w:sz="4" w:space="0"/>
            </w:tcBorders>
            <w:noWrap w:val="0"/>
            <w:vAlign w:val="center"/>
          </w:tcPr>
          <w:p w14:paraId="03084513">
            <w:pPr>
              <w:widowControl/>
              <w:snapToGrid w:val="0"/>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300</w:t>
            </w:r>
          </w:p>
        </w:tc>
        <w:tc>
          <w:tcPr>
            <w:tcW w:w="423" w:type="pct"/>
            <w:tcBorders>
              <w:top w:val="single" w:color="000000" w:sz="4" w:space="0"/>
              <w:left w:val="single" w:color="000000" w:sz="4" w:space="0"/>
              <w:bottom w:val="single" w:color="000000" w:sz="4" w:space="0"/>
              <w:right w:val="single" w:color="000000" w:sz="4" w:space="0"/>
            </w:tcBorders>
            <w:noWrap w:val="0"/>
            <w:vAlign w:val="center"/>
          </w:tcPr>
          <w:p w14:paraId="170D04B7">
            <w:pPr>
              <w:widowControl/>
              <w:snapToGrid w:val="0"/>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米</w:t>
            </w:r>
          </w:p>
        </w:tc>
      </w:tr>
      <w:tr w14:paraId="2A192CC6">
        <w:tblPrEx>
          <w:tblCellMar>
            <w:top w:w="0" w:type="dxa"/>
            <w:left w:w="108" w:type="dxa"/>
            <w:bottom w:w="0" w:type="dxa"/>
            <w:right w:w="108" w:type="dxa"/>
          </w:tblCellMar>
        </w:tblPrEx>
        <w:trPr>
          <w:trHeight w:val="439" w:hRule="atLeast"/>
          <w:jc w:val="center"/>
        </w:trPr>
        <w:tc>
          <w:tcPr>
            <w:tcW w:w="285" w:type="pct"/>
            <w:tcBorders>
              <w:top w:val="single" w:color="000000" w:sz="4" w:space="0"/>
              <w:left w:val="single" w:color="000000" w:sz="4" w:space="0"/>
              <w:bottom w:val="single" w:color="000000" w:sz="4" w:space="0"/>
              <w:right w:val="single" w:color="000000" w:sz="4" w:space="0"/>
            </w:tcBorders>
            <w:noWrap w:val="0"/>
            <w:vAlign w:val="center"/>
          </w:tcPr>
          <w:p w14:paraId="54D39BF6">
            <w:pPr>
              <w:widowControl/>
              <w:snapToGrid w:val="0"/>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24</w:t>
            </w:r>
          </w:p>
        </w:tc>
        <w:tc>
          <w:tcPr>
            <w:tcW w:w="577" w:type="pct"/>
            <w:tcBorders>
              <w:top w:val="single" w:color="000000" w:sz="4" w:space="0"/>
              <w:left w:val="single" w:color="000000" w:sz="4" w:space="0"/>
              <w:bottom w:val="single" w:color="000000" w:sz="4" w:space="0"/>
              <w:right w:val="single" w:color="000000" w:sz="4" w:space="0"/>
            </w:tcBorders>
            <w:noWrap w:val="0"/>
            <w:vAlign w:val="center"/>
          </w:tcPr>
          <w:p w14:paraId="7CFDB62E">
            <w:pPr>
              <w:widowControl/>
              <w:snapToGrid w:val="0"/>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系统集成安装调试</w:t>
            </w:r>
          </w:p>
        </w:tc>
        <w:tc>
          <w:tcPr>
            <w:tcW w:w="3290" w:type="pct"/>
            <w:tcBorders>
              <w:top w:val="single" w:color="000000" w:sz="4" w:space="0"/>
              <w:left w:val="single" w:color="000000" w:sz="4" w:space="0"/>
              <w:bottom w:val="single" w:color="000000" w:sz="4" w:space="0"/>
              <w:right w:val="single" w:color="000000" w:sz="4" w:space="0"/>
            </w:tcBorders>
            <w:noWrap w:val="0"/>
            <w:vAlign w:val="center"/>
          </w:tcPr>
          <w:p w14:paraId="023865F4">
            <w:pPr>
              <w:widowControl/>
              <w:snapToGrid w:val="0"/>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系统集成安装调试，门禁一体机、门禁控制器、磁力锁等安装调试，含必要辅材。</w:t>
            </w:r>
          </w:p>
        </w:tc>
        <w:tc>
          <w:tcPr>
            <w:tcW w:w="422" w:type="pct"/>
            <w:tcBorders>
              <w:top w:val="single" w:color="000000" w:sz="4" w:space="0"/>
              <w:left w:val="single" w:color="000000" w:sz="4" w:space="0"/>
              <w:bottom w:val="single" w:color="000000" w:sz="4" w:space="0"/>
              <w:right w:val="single" w:color="000000" w:sz="4" w:space="0"/>
            </w:tcBorders>
            <w:noWrap w:val="0"/>
            <w:vAlign w:val="center"/>
          </w:tcPr>
          <w:p w14:paraId="2F6090F3">
            <w:pPr>
              <w:widowControl/>
              <w:snapToGrid w:val="0"/>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46</w:t>
            </w:r>
          </w:p>
        </w:tc>
        <w:tc>
          <w:tcPr>
            <w:tcW w:w="423" w:type="pct"/>
            <w:tcBorders>
              <w:top w:val="single" w:color="000000" w:sz="4" w:space="0"/>
              <w:left w:val="single" w:color="000000" w:sz="4" w:space="0"/>
              <w:bottom w:val="single" w:color="000000" w:sz="4" w:space="0"/>
              <w:right w:val="single" w:color="000000" w:sz="4" w:space="0"/>
            </w:tcBorders>
            <w:noWrap w:val="0"/>
            <w:vAlign w:val="center"/>
          </w:tcPr>
          <w:p w14:paraId="3394ED51">
            <w:pPr>
              <w:widowControl/>
              <w:snapToGrid w:val="0"/>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项</w:t>
            </w:r>
          </w:p>
        </w:tc>
      </w:tr>
    </w:tbl>
    <w:p w14:paraId="633E485F">
      <w:pPr>
        <w:spacing w:line="360" w:lineRule="auto"/>
        <w:ind w:firstLine="482" w:firstLineChars="200"/>
        <w:rPr>
          <w:rFonts w:ascii="宋体" w:hAnsi="宋体" w:cs="宋体"/>
          <w:b/>
          <w:bCs/>
          <w:color w:val="000000"/>
          <w:sz w:val="24"/>
          <w:szCs w:val="24"/>
        </w:rPr>
      </w:pPr>
      <w:r>
        <w:rPr>
          <w:rFonts w:hint="eastAsia" w:ascii="宋体" w:hAnsi="宋体" w:cs="宋体"/>
          <w:b/>
          <w:bCs/>
          <w:color w:val="000000"/>
          <w:sz w:val="24"/>
          <w:szCs w:val="24"/>
        </w:rPr>
        <w:t>四、其他要求</w:t>
      </w:r>
    </w:p>
    <w:p w14:paraId="2F043A64">
      <w:pPr>
        <w:pStyle w:val="4"/>
        <w:ind w:firstLine="480"/>
        <w:rPr>
          <w:rFonts w:hint="eastAsia" w:eastAsia="宋体"/>
          <w:color w:val="000000"/>
        </w:rPr>
      </w:pPr>
      <w:r>
        <w:rPr>
          <w:rFonts w:hint="eastAsia"/>
          <w:color w:val="000000"/>
        </w:rPr>
        <w:t>1、</w:t>
      </w:r>
      <w:r>
        <w:rPr>
          <w:rFonts w:hint="eastAsia" w:eastAsia="宋体"/>
          <w:color w:val="000000"/>
        </w:rPr>
        <w:t>新增管理系统需无缝接入学校现有的管理系统，可实现一体控制。</w:t>
      </w:r>
    </w:p>
    <w:p w14:paraId="41C39513">
      <w:pPr>
        <w:pStyle w:val="4"/>
        <w:ind w:firstLine="480"/>
        <w:rPr>
          <w:rFonts w:hint="eastAsia"/>
          <w:b/>
          <w:bCs/>
          <w:color w:val="000000"/>
        </w:rPr>
      </w:pPr>
      <w:r>
        <w:rPr>
          <w:rFonts w:hint="eastAsia" w:eastAsia="宋体"/>
          <w:color w:val="000000"/>
        </w:rPr>
        <w:t>2、</w:t>
      </w:r>
      <w:r>
        <w:rPr>
          <w:rFonts w:hint="eastAsia" w:eastAsia="宋体"/>
          <w:b/>
          <w:bCs/>
          <w:color w:val="000000"/>
          <w:lang w:val="en-US" w:eastAsia="zh-CN"/>
        </w:rPr>
        <w:t>合同签订后服务前,比</w:t>
      </w:r>
      <w:r>
        <w:rPr>
          <w:rFonts w:hint="eastAsia" w:eastAsia="宋体"/>
          <w:b/>
          <w:bCs/>
          <w:color w:val="000000"/>
        </w:rPr>
        <w:t>选</w:t>
      </w:r>
      <w:r>
        <w:rPr>
          <w:rFonts w:hint="eastAsia"/>
          <w:b/>
          <w:bCs/>
          <w:color w:val="000000"/>
        </w:rPr>
        <w:t>人有权要求参选人提供人脸门禁一体机厂家出具的系统对接承诺函（包括不限于：与人脸库对接、与安防管理平台等），若参选</w:t>
      </w:r>
      <w:r>
        <w:rPr>
          <w:rFonts w:hint="eastAsia"/>
          <w:b/>
          <w:bCs/>
          <w:color w:val="000000"/>
          <w:lang w:val="en-US" w:eastAsia="zh-CN"/>
        </w:rPr>
        <w:t>人</w:t>
      </w:r>
      <w:r>
        <w:rPr>
          <w:rFonts w:hint="eastAsia"/>
          <w:b/>
          <w:bCs/>
          <w:color w:val="000000"/>
        </w:rPr>
        <w:t>不能提供，视为其虚假响应，比选人有权解除合同，并追究参选人违约责任。</w:t>
      </w:r>
    </w:p>
    <w:p w14:paraId="34DC7EC2">
      <w:pPr>
        <w:pStyle w:val="4"/>
        <w:ind w:firstLine="480"/>
        <w:rPr>
          <w:rFonts w:hint="eastAsia"/>
          <w:color w:val="000000"/>
        </w:rPr>
      </w:pPr>
      <w:r>
        <w:rPr>
          <w:rFonts w:hint="eastAsia"/>
          <w:color w:val="000000"/>
        </w:rPr>
        <w:t>3、具体设备现状以及项目环境等情况，参选人参选前可自行到现场进行了解。若参选人因未及时勘察现场而导致报价缺项、漏项，造成中标后无法履约的，参选人自行承担一切后果。</w:t>
      </w:r>
    </w:p>
    <w:p w14:paraId="6869F7CA">
      <w:pPr>
        <w:pStyle w:val="4"/>
        <w:ind w:firstLine="480"/>
        <w:rPr>
          <w:color w:val="000000"/>
        </w:rPr>
      </w:pPr>
      <w:r>
        <w:rPr>
          <w:rFonts w:hint="eastAsia"/>
          <w:b/>
          <w:bCs/>
          <w:color w:val="000000"/>
        </w:rPr>
        <w:t>4、比选文件中需要提供承诺函，承诺合同签订后供货前若采购人要求，需提供该产品到采购人处进行功能验证，未提供视为参选无效。</w:t>
      </w:r>
    </w:p>
    <w:p w14:paraId="2E644D6D">
      <w:pPr>
        <w:pStyle w:val="4"/>
        <w:ind w:firstLine="480"/>
        <w:rPr>
          <w:rFonts w:hint="eastAsia"/>
          <w:color w:val="000000"/>
          <w:szCs w:val="24"/>
        </w:rPr>
      </w:pPr>
      <w:r>
        <w:rPr>
          <w:rFonts w:hint="eastAsia"/>
          <w:color w:val="000000"/>
          <w:szCs w:val="24"/>
        </w:rPr>
        <w:t>五、报价要求</w:t>
      </w:r>
    </w:p>
    <w:p w14:paraId="04C45292">
      <w:r>
        <w:rPr>
          <w:rFonts w:hint="eastAsia" w:ascii="宋体" w:hAnsi="宋体" w:cs="宋体"/>
          <w:color w:val="000000"/>
          <w:sz w:val="24"/>
          <w:szCs w:val="24"/>
        </w:rPr>
        <w:t>本项目报总价，比选报价包括本项目需求（包含比选文件要求内容、参选文件承诺内容、评审过程澄清修改内容等）的全部货物及所需附件购置费、包装费、运输费、人工费、保险费、不同系统平台间对接费用、安装调试费、各种税费、资料费、售后服务费及完成项目应有的全部费用，中选后比选人不再另行支付任何费用，</w:t>
      </w:r>
      <w:r>
        <w:rPr>
          <w:rFonts w:hint="eastAsia" w:ascii="宋体" w:hAnsi="宋体" w:cs="宋体"/>
          <w:b/>
          <w:bCs/>
          <w:color w:val="000000"/>
          <w:sz w:val="24"/>
          <w:szCs w:val="24"/>
        </w:rPr>
        <w:t>比选分项报价表中须明确列出所投产品所含货物名称、品牌、型号规格、原产地及生产厂商，否则可能导致响应无效。</w:t>
      </w:r>
      <w:bookmarkStart w:id="1" w:name="_GoBack"/>
      <w:bookmarkEnd w:id="1"/>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116ED22"/>
    <w:multiLevelType w:val="singleLevel"/>
    <w:tmpl w:val="8116ED22"/>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7"/>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3E45830"/>
    <w:rsid w:val="63E4583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仿宋_GB2312" w:hAnsi="@仿宋_GB2312" w:eastAsia="宋体" w:cs="@仿宋_GB2312"/>
      <w:kern w:val="2"/>
      <w:sz w:val="21"/>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 w:type="paragraph" w:customStyle="1" w:styleId="4">
    <w:name w:val="段落"/>
    <w:basedOn w:val="1"/>
    <w:qFormat/>
    <w:uiPriority w:val="0"/>
    <w:pPr>
      <w:spacing w:line="360" w:lineRule="auto"/>
      <w:ind w:firstLine="420" w:firstLineChars="200"/>
      <w:jc w:val="left"/>
    </w:pPr>
    <w:rPr>
      <w:rFonts w:ascii="宋体" w:hAnsi="宋体" w:cs="宋体"/>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0</Words>
  <Characters>0</Characters>
  <Lines>0</Lines>
  <Paragraphs>0</Paragraphs>
  <TotalTime>0</TotalTime>
  <ScaleCrop>false</ScaleCrop>
  <LinksUpToDate>false</LinksUpToDate>
  <CharactersWithSpaces>0</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2025-07-09T03:11:00Z</dcterms:created>
  <dc:creator>森</dc:creator>
  <cp:lastModifiedBy>森</cp:lastModifiedBy>
  <dcterms:modified xsi:type="dcterms:W3CDTF">2025-07-09T03:13:11Z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9D1304DB1DEB404F8DFF620952898176_11</vt:lpwstr>
  </property>
  <property fmtid="{D5CDD505-2E9C-101B-9397-08002B2CF9AE}" pid="4" name="KSOTemplateDocerSaveRecord">
    <vt:lpwstr>eyJoZGlkIjoiOTc3M2Y5NzIzMDFlZjAyY2Q4Njk5ODkyYjFjNzBiNTQiLCJ1c2VySWQiOiI0MzAwMTYzNzkifQ==</vt:lpwstr>
  </property>
</Properties>
</file>